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848"/>
            <w:shd w:fill="1D182F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Arial" w:hAnsi="Arial"/>
                <w:b/>
                <w:color w:val="00CFB4"/>
                <w:sz w:val="16"/>
              </w:rPr>
              <w:t>TESTING RESOURCE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color w:val="FFFFFF"/>
                <w:sz w:val="42"/>
              </w:rPr>
              <w:t>Testing Strategy Template</w:t>
            </w:r>
          </w:p>
          <w:p>
            <w:pPr>
              <w:spacing w:before="80"/>
            </w:pPr>
            <w:r>
              <w:rPr>
                <w:rFonts w:ascii="Arial" w:hAnsi="Arial"/>
                <w:color w:val="FFFFFF"/>
                <w:sz w:val="19"/>
              </w:rPr>
              <w:t>Define the scope, risk, roles, environments, evidence and exit criteria for marketplace testing.</w:t>
            </w:r>
          </w:p>
        </w:tc>
        <w:tc>
          <w:tcPr>
            <w:tcW w:type="dxa" w:w="1728"/>
            <w:shd w:fill="00CFB4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D182F"/>
                <w:sz w:val="40"/>
              </w:rPr>
              <w:t>MP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Marketplace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Owner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Version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Last updated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B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D182F"/>
                <w:sz w:val="19"/>
              </w:rPr>
              <w:t xml:space="preserve">How to use this template. </w:t>
            </w:r>
            <w:r>
              <w:rPr>
                <w:rFonts w:ascii="Arial" w:hAnsi="Arial"/>
                <w:color w:val="1D182F"/>
                <w:sz w:val="19"/>
              </w:rPr>
              <w:t>Use this document before detailed test execution. The Test Matrix records individual scenarios; this strategy defines how the full testing programme will be governed.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Testing programme name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Launch scope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Test lead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Target completion date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1. Objectives and success criteria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Prove the approved marketplace operating model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Protect customer, Seller and financial outcomes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Validate connected-system boundaries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Confirm operational support and recovery readiness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2. Scope and exclusions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In scope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Out of scope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Reason or dependency</w:t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Marketplace configuration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Catalogue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Integrations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Customer journeys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Seller readiness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Finance and reconciliation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Performance and security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3. Risk priorities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Required test coverage</w:t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4. Test sequence and environments</w:t>
      </w:r>
    </w:p>
    <w:p>
      <w:pPr>
        <w:pStyle w:val="ListNumber"/>
        <w:spacing w:after="80"/>
      </w:pPr>
      <w:r>
        <w:rPr>
          <w:rFonts w:ascii="Arial" w:hAnsi="Arial"/>
          <w:color w:val="1D182F"/>
          <w:sz w:val="19"/>
        </w:rPr>
        <w:t>Marketplace Configuration Testing</w:t>
      </w:r>
    </w:p>
    <w:p>
      <w:pPr>
        <w:pStyle w:val="ListNumber"/>
        <w:spacing w:after="80"/>
      </w:pPr>
      <w:r>
        <w:rPr>
          <w:rFonts w:ascii="Arial" w:hAnsi="Arial"/>
          <w:color w:val="1D182F"/>
          <w:sz w:val="19"/>
        </w:rPr>
        <w:t>Catalogue Testing</w:t>
      </w:r>
    </w:p>
    <w:p>
      <w:pPr>
        <w:pStyle w:val="ListNumber"/>
        <w:spacing w:after="80"/>
      </w:pPr>
      <w:r>
        <w:rPr>
          <w:rFonts w:ascii="Arial" w:hAnsi="Arial"/>
          <w:color w:val="1D182F"/>
          <w:sz w:val="19"/>
        </w:rPr>
        <w:t>End-to-End Testing</w:t>
      </w:r>
    </w:p>
    <w:p>
      <w:pPr>
        <w:pStyle w:val="ListNumber"/>
        <w:spacing w:after="80"/>
      </w:pPr>
      <w:r>
        <w:rPr>
          <w:rFonts w:ascii="Arial" w:hAnsi="Arial"/>
          <w:color w:val="1D182F"/>
          <w:sz w:val="19"/>
        </w:rPr>
        <w:t>Seller Launch Readiness</w:t>
      </w:r>
    </w:p>
    <w:p>
      <w:pPr>
        <w:pStyle w:val="ListNumber"/>
        <w:spacing w:after="80"/>
      </w:pPr>
      <w:r>
        <w:rPr>
          <w:rFonts w:ascii="Arial" w:hAnsi="Arial"/>
          <w:color w:val="1D182F"/>
          <w:sz w:val="19"/>
        </w:rPr>
        <w:t>Production Readiness</w:t>
      </w:r>
    </w:p>
    <w:p>
      <w:pPr>
        <w:pStyle w:val="ListNumber"/>
        <w:spacing w:after="80"/>
      </w:pPr>
      <w:r>
        <w:rPr>
          <w:rFonts w:ascii="Arial" w:hAnsi="Arial"/>
          <w:color w:val="1D182F"/>
          <w:sz w:val="19"/>
        </w:rPr>
        <w:t>Controlled Go-Live validation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 stage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Primary environment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Production evidence permitted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Entry criteria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Exit criteria</w:t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Configuration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Catalogue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End-to-End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Seller readiness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Production readiness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5. Roles, evidence and defect governance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Approval authority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Backup</w:t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Test lead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Marketplace Operations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Technology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Finance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Customer Service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Seller Management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B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D182F"/>
                <w:sz w:val="19"/>
              </w:rPr>
              <w:t xml:space="preserve">Evidence standard. </w:t>
            </w:r>
            <w:r>
              <w:rPr>
                <w:rFonts w:ascii="Arial" w:hAnsi="Arial"/>
                <w:color w:val="1D182F"/>
                <w:sz w:val="19"/>
              </w:rPr>
              <w:t>Every result should link to the tested environment, record IDs, expected outcome, actual outcome and approver.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6. Final approval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Approval area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Approver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Conditions</w:t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Testing exit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Seller readiness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Production readiness handoff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5A6E"/>
        <w:sz w:val="15"/>
      </w:rPr>
      <w:t>Marketplacer Operator Onboarding Hub | Adapt this template to your approved marketplace operating model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18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