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1B51A" w14:textId="49774E37" w:rsidR="00C4657D" w:rsidRPr="007020EA" w:rsidRDefault="007020EA" w:rsidP="00C4657D">
      <w:pPr>
        <w:rPr>
          <w:b/>
          <w:bCs/>
        </w:rPr>
      </w:pPr>
      <w:r w:rsidRPr="007020EA">
        <w:rPr>
          <w:b/>
          <w:bCs/>
        </w:rPr>
        <w:t xml:space="preserve">Gastrointestinal Devices MedTech Market </w:t>
      </w:r>
      <w:r>
        <w:rPr>
          <w:b/>
          <w:bCs/>
        </w:rPr>
        <w:t xml:space="preserve">Research, </w:t>
      </w:r>
      <w:r w:rsidRPr="007020EA">
        <w:rPr>
          <w:b/>
          <w:bCs/>
        </w:rPr>
        <w:t>Size, Share, Growth and Forecast 2025 to 2030</w:t>
      </w:r>
    </w:p>
    <w:p w14:paraId="0A450C57" w14:textId="77777777" w:rsidR="00C4657D" w:rsidRDefault="00C4657D" w:rsidP="00C4657D"/>
    <w:p w14:paraId="24138D5B" w14:textId="77777777" w:rsidR="00C4657D" w:rsidRPr="00C4657D" w:rsidRDefault="00C4657D" w:rsidP="00C4657D">
      <w:pPr>
        <w:rPr>
          <w:b/>
          <w:bCs/>
        </w:rPr>
      </w:pPr>
      <w:r w:rsidRPr="00C4657D">
        <w:rPr>
          <w:b/>
          <w:bCs/>
        </w:rPr>
        <w:t>Market Overview</w:t>
      </w:r>
    </w:p>
    <w:p w14:paraId="2C27DB1C" w14:textId="00DB6267" w:rsidR="00C4657D" w:rsidRPr="00C4657D" w:rsidRDefault="00C4657D" w:rsidP="00C4657D">
      <w:r w:rsidRPr="00C4657D">
        <w:t xml:space="preserve">The </w:t>
      </w:r>
      <w:hyperlink r:id="rId5" w:history="1">
        <w:r w:rsidRPr="00C4657D">
          <w:rPr>
            <w:rStyle w:val="Hyperlink"/>
            <w:b/>
            <w:bCs/>
          </w:rPr>
          <w:t>gastrointestinal (GI) devices market</w:t>
        </w:r>
      </w:hyperlink>
      <w:r w:rsidRPr="00C4657D">
        <w:t xml:space="preserve"> is a rapidly evolving segment of the medical technology (MedTech) industry. It includes a range of diagnostic, therapeutic, and monitoring devices designed to manage various conditions related to the gastrointestinal tract. This sector is growing due to an aging population, increasing prevalence of GI disorders, advancements in minimally invasive techniques, and the rise of innovative technologies.</w:t>
      </w:r>
    </w:p>
    <w:p w14:paraId="0D294787" w14:textId="0B92AF98" w:rsidR="00C4657D" w:rsidRDefault="00C4657D" w:rsidP="00C4657D">
      <w:pPr>
        <w:rPr>
          <w:b/>
          <w:bCs/>
        </w:rPr>
      </w:pPr>
      <w:r>
        <w:rPr>
          <w:b/>
          <w:bCs/>
        </w:rPr>
        <w:t xml:space="preserve">Download Sample PDF: </w:t>
      </w:r>
      <w:hyperlink r:id="rId6" w:history="1">
        <w:r w:rsidR="008D443F" w:rsidRPr="00312A2F">
          <w:rPr>
            <w:rStyle w:val="Hyperlink"/>
            <w:b/>
            <w:bCs/>
          </w:rPr>
          <w:t>https://meditechinsights.com/gastrointestinal-devices-medtech-market/request-sample/</w:t>
        </w:r>
      </w:hyperlink>
    </w:p>
    <w:p w14:paraId="1E7944C4" w14:textId="77777777" w:rsidR="00BD724F" w:rsidRDefault="00BD724F" w:rsidP="00C4657D">
      <w:pPr>
        <w:rPr>
          <w:b/>
          <w:bCs/>
        </w:rPr>
      </w:pPr>
    </w:p>
    <w:p w14:paraId="5B9B6134" w14:textId="03884986" w:rsidR="00C4657D" w:rsidRPr="00C4657D" w:rsidRDefault="00C4657D" w:rsidP="00C4657D">
      <w:r w:rsidRPr="00C4657D">
        <w:rPr>
          <w:b/>
          <w:bCs/>
        </w:rPr>
        <w:t>Technological Advancements</w:t>
      </w:r>
      <w:r w:rsidRPr="00C4657D">
        <w:t>:</w:t>
      </w:r>
    </w:p>
    <w:p w14:paraId="72ECF8CE" w14:textId="77777777" w:rsidR="00C4657D" w:rsidRPr="00C4657D" w:rsidRDefault="00C4657D" w:rsidP="00C4657D">
      <w:pPr>
        <w:numPr>
          <w:ilvl w:val="1"/>
          <w:numId w:val="1"/>
        </w:numPr>
      </w:pPr>
      <w:r w:rsidRPr="00C4657D">
        <w:rPr>
          <w:b/>
          <w:bCs/>
        </w:rPr>
        <w:t>Minimally invasive procedures</w:t>
      </w:r>
      <w:r w:rsidRPr="00C4657D">
        <w:t xml:space="preserve"> like </w:t>
      </w:r>
      <w:r w:rsidRPr="00C4657D">
        <w:rPr>
          <w:b/>
          <w:bCs/>
        </w:rPr>
        <w:t>endoscopy</w:t>
      </w:r>
      <w:r w:rsidRPr="00C4657D">
        <w:t xml:space="preserve"> and </w:t>
      </w:r>
      <w:r w:rsidRPr="00C4657D">
        <w:rPr>
          <w:b/>
          <w:bCs/>
        </w:rPr>
        <w:t>laparoscopy</w:t>
      </w:r>
      <w:r w:rsidRPr="00C4657D">
        <w:t xml:space="preserve"> are reshaping GI treatments, providing faster recovery times and reduced complications.</w:t>
      </w:r>
    </w:p>
    <w:p w14:paraId="0811ECC7" w14:textId="77777777" w:rsidR="00C4657D" w:rsidRPr="00C4657D" w:rsidRDefault="00C4657D" w:rsidP="00C4657D">
      <w:pPr>
        <w:numPr>
          <w:ilvl w:val="1"/>
          <w:numId w:val="1"/>
        </w:numPr>
      </w:pPr>
      <w:r w:rsidRPr="00C4657D">
        <w:t xml:space="preserve">The rise of </w:t>
      </w:r>
      <w:r w:rsidRPr="00C4657D">
        <w:rPr>
          <w:b/>
          <w:bCs/>
        </w:rPr>
        <w:t>AI</w:t>
      </w:r>
      <w:r w:rsidRPr="00C4657D">
        <w:t xml:space="preserve"> and </w:t>
      </w:r>
      <w:r w:rsidRPr="00C4657D">
        <w:rPr>
          <w:b/>
          <w:bCs/>
        </w:rPr>
        <w:t>machine learning</w:t>
      </w:r>
      <w:r w:rsidRPr="00C4657D">
        <w:t xml:space="preserve"> in endoscopic systems is enhancing diagnostic accuracy.</w:t>
      </w:r>
    </w:p>
    <w:p w14:paraId="32B53E2C" w14:textId="77777777" w:rsidR="00C4657D" w:rsidRPr="00C4657D" w:rsidRDefault="00C4657D" w:rsidP="00C4657D">
      <w:pPr>
        <w:numPr>
          <w:ilvl w:val="1"/>
          <w:numId w:val="1"/>
        </w:numPr>
      </w:pPr>
      <w:r w:rsidRPr="00C4657D">
        <w:rPr>
          <w:b/>
          <w:bCs/>
        </w:rPr>
        <w:t>Smart GI devices</w:t>
      </w:r>
      <w:r w:rsidRPr="00C4657D">
        <w:t xml:space="preserve"> equipped with sensors for continuous monitoring are gaining popularity, enabling better disease management, particularly in chronic conditions like Crohn's disease and ulcerative colitis.</w:t>
      </w:r>
    </w:p>
    <w:p w14:paraId="6E1EFA72" w14:textId="77777777" w:rsidR="00C4657D" w:rsidRPr="00C4657D" w:rsidRDefault="00C4657D" w:rsidP="00C4657D">
      <w:pPr>
        <w:rPr>
          <w:b/>
          <w:bCs/>
        </w:rPr>
      </w:pPr>
      <w:r w:rsidRPr="00C4657D">
        <w:rPr>
          <w:b/>
          <w:bCs/>
        </w:rPr>
        <w:t>Key Trends in the GI Devices Market</w:t>
      </w:r>
    </w:p>
    <w:p w14:paraId="357AC6CC" w14:textId="77777777" w:rsidR="00C4657D" w:rsidRPr="00C4657D" w:rsidRDefault="00C4657D" w:rsidP="00C4657D">
      <w:r w:rsidRPr="00C4657D">
        <w:rPr>
          <w:b/>
          <w:bCs/>
        </w:rPr>
        <w:t>Growth in Endoscopic Devices</w:t>
      </w:r>
      <w:r w:rsidRPr="00C4657D">
        <w:t>:</w:t>
      </w:r>
    </w:p>
    <w:p w14:paraId="422962CA" w14:textId="77777777" w:rsidR="00C4657D" w:rsidRPr="00C4657D" w:rsidRDefault="00C4657D" w:rsidP="00C4657D">
      <w:pPr>
        <w:numPr>
          <w:ilvl w:val="1"/>
          <w:numId w:val="2"/>
        </w:numPr>
      </w:pPr>
      <w:r w:rsidRPr="00C4657D">
        <w:rPr>
          <w:b/>
          <w:bCs/>
        </w:rPr>
        <w:t>Endoscopes</w:t>
      </w:r>
      <w:r w:rsidRPr="00C4657D">
        <w:t xml:space="preserve"> are a critical component in the GI devices market, used for diagnostic and therapeutic purposes in conditions like colorectal cancer, GERD, and other gastrointestinal disorders. These devices are evolving to offer higher-resolution imaging and real-time diagnostics, including the integration of </w:t>
      </w:r>
      <w:r w:rsidRPr="00C4657D">
        <w:rPr>
          <w:b/>
          <w:bCs/>
        </w:rPr>
        <w:t>capsule endoscopy</w:t>
      </w:r>
      <w:r w:rsidRPr="00C4657D">
        <w:t xml:space="preserve"> and </w:t>
      </w:r>
      <w:r w:rsidRPr="00C4657D">
        <w:rPr>
          <w:b/>
          <w:bCs/>
        </w:rPr>
        <w:t>robotic endoscopy</w:t>
      </w:r>
      <w:r w:rsidRPr="00C4657D">
        <w:t>.</w:t>
      </w:r>
    </w:p>
    <w:p w14:paraId="48BFC1B0" w14:textId="77777777" w:rsidR="00C4657D" w:rsidRPr="00C4657D" w:rsidRDefault="00C4657D" w:rsidP="00C4657D">
      <w:r w:rsidRPr="00C4657D">
        <w:rPr>
          <w:b/>
          <w:bCs/>
        </w:rPr>
        <w:t>Advances in GI Surgery</w:t>
      </w:r>
      <w:r w:rsidRPr="00C4657D">
        <w:t>:</w:t>
      </w:r>
    </w:p>
    <w:p w14:paraId="7F7662C3" w14:textId="77777777" w:rsidR="00C4657D" w:rsidRPr="00C4657D" w:rsidRDefault="00C4657D" w:rsidP="00C4657D">
      <w:pPr>
        <w:numPr>
          <w:ilvl w:val="1"/>
          <w:numId w:val="2"/>
        </w:numPr>
      </w:pPr>
      <w:r w:rsidRPr="00C4657D">
        <w:t>Laparoscopic and robotic-assisted surgeries are transforming the treatment of GI diseases. These minimally invasive techniques provide faster recovery times, smaller incisions, and improved outcomes.</w:t>
      </w:r>
    </w:p>
    <w:p w14:paraId="7BB7CD45" w14:textId="77777777" w:rsidR="00C4657D" w:rsidRPr="00C4657D" w:rsidRDefault="00C4657D" w:rsidP="00C4657D">
      <w:pPr>
        <w:numPr>
          <w:ilvl w:val="1"/>
          <w:numId w:val="2"/>
        </w:numPr>
      </w:pPr>
      <w:r w:rsidRPr="00C4657D">
        <w:lastRenderedPageBreak/>
        <w:t xml:space="preserve">The adoption of robotic systems, like </w:t>
      </w:r>
      <w:r w:rsidRPr="00C4657D">
        <w:rPr>
          <w:b/>
          <w:bCs/>
        </w:rPr>
        <w:t>Da Vinci Surgical System</w:t>
      </w:r>
      <w:r w:rsidRPr="00C4657D">
        <w:t>, in GI surgeries is increasing due to enhanced precision and control during procedures.</w:t>
      </w:r>
    </w:p>
    <w:p w14:paraId="554AC8C6" w14:textId="77777777" w:rsidR="00C4657D" w:rsidRPr="00C4657D" w:rsidRDefault="00C4657D" w:rsidP="00C4657D">
      <w:r w:rsidRPr="00C4657D">
        <w:rPr>
          <w:b/>
          <w:bCs/>
        </w:rPr>
        <w:t>Portable and Wearable GI Devices</w:t>
      </w:r>
      <w:r w:rsidRPr="00C4657D">
        <w:t>:</w:t>
      </w:r>
    </w:p>
    <w:p w14:paraId="310545BF" w14:textId="77777777" w:rsidR="00C4657D" w:rsidRPr="00C4657D" w:rsidRDefault="00C4657D" w:rsidP="00C4657D">
      <w:pPr>
        <w:numPr>
          <w:ilvl w:val="1"/>
          <w:numId w:val="2"/>
        </w:numPr>
      </w:pPr>
      <w:r w:rsidRPr="00C4657D">
        <w:rPr>
          <w:b/>
          <w:bCs/>
        </w:rPr>
        <w:t>Wearable sensors</w:t>
      </w:r>
      <w:r w:rsidRPr="00C4657D">
        <w:t xml:space="preserve"> and </w:t>
      </w:r>
      <w:r w:rsidRPr="00C4657D">
        <w:rPr>
          <w:b/>
          <w:bCs/>
        </w:rPr>
        <w:t>digestive health monitoring devices</w:t>
      </w:r>
      <w:r w:rsidRPr="00C4657D">
        <w:t xml:space="preserve"> are gaining popularity, offering continuous tracking of GI conditions. These include devices that monitor </w:t>
      </w:r>
      <w:r w:rsidRPr="00C4657D">
        <w:rPr>
          <w:b/>
          <w:bCs/>
        </w:rPr>
        <w:t>gut microbiota</w:t>
      </w:r>
      <w:r w:rsidRPr="00C4657D">
        <w:t xml:space="preserve">, </w:t>
      </w:r>
      <w:r w:rsidRPr="00C4657D">
        <w:rPr>
          <w:b/>
          <w:bCs/>
        </w:rPr>
        <w:t>GI motility</w:t>
      </w:r>
      <w:r w:rsidRPr="00C4657D">
        <w:t>, or even detect blood in the stool, helping clinicians make informed decisions for early diagnosis and personalized treatment plans.</w:t>
      </w:r>
    </w:p>
    <w:p w14:paraId="325186DB" w14:textId="77777777" w:rsidR="00C4657D" w:rsidRPr="00C4657D" w:rsidRDefault="00C4657D" w:rsidP="00C4657D">
      <w:pPr>
        <w:numPr>
          <w:ilvl w:val="1"/>
          <w:numId w:val="2"/>
        </w:numPr>
      </w:pPr>
      <w:r w:rsidRPr="00C4657D">
        <w:rPr>
          <w:b/>
          <w:bCs/>
        </w:rPr>
        <w:t>Smart pills</w:t>
      </w:r>
      <w:r w:rsidRPr="00C4657D">
        <w:t xml:space="preserve"> and digital health applications are also evolving, providing remote monitoring capabilities for patients with chronic GI diseases.</w:t>
      </w:r>
    </w:p>
    <w:p w14:paraId="7CAF4A8F" w14:textId="77777777" w:rsidR="00C4657D" w:rsidRPr="00C4657D" w:rsidRDefault="00C4657D" w:rsidP="00C4657D">
      <w:r w:rsidRPr="00C4657D">
        <w:rPr>
          <w:b/>
          <w:bCs/>
        </w:rPr>
        <w:t>Personalized and Targeted Therapies</w:t>
      </w:r>
      <w:r w:rsidRPr="00C4657D">
        <w:t>:</w:t>
      </w:r>
    </w:p>
    <w:p w14:paraId="6BCC4955" w14:textId="77777777" w:rsidR="00C4657D" w:rsidRPr="00C4657D" w:rsidRDefault="00C4657D" w:rsidP="00C4657D">
      <w:pPr>
        <w:numPr>
          <w:ilvl w:val="1"/>
          <w:numId w:val="2"/>
        </w:numPr>
      </w:pPr>
      <w:r w:rsidRPr="00C4657D">
        <w:t xml:space="preserve">The increasing availability of </w:t>
      </w:r>
      <w:r w:rsidRPr="00C4657D">
        <w:rPr>
          <w:b/>
          <w:bCs/>
        </w:rPr>
        <w:t>personalized medicine</w:t>
      </w:r>
      <w:r w:rsidRPr="00C4657D">
        <w:t xml:space="preserve"> in GI care, such as genetic testing for conditions like IBD and colorectal cancer, is driving demand for tailored treatment strategies, which includes the use of specialized devices for drug delivery and therapy monitoring.</w:t>
      </w:r>
    </w:p>
    <w:p w14:paraId="1726259C" w14:textId="77777777" w:rsidR="00C4657D" w:rsidRPr="00C4657D" w:rsidRDefault="00C4657D" w:rsidP="00C4657D">
      <w:r w:rsidRPr="00C4657D">
        <w:rPr>
          <w:b/>
          <w:bCs/>
        </w:rPr>
        <w:t>Focus on Chronic Conditions</w:t>
      </w:r>
      <w:r w:rsidRPr="00C4657D">
        <w:t>:</w:t>
      </w:r>
    </w:p>
    <w:p w14:paraId="2D7DA285" w14:textId="77777777" w:rsidR="00C4657D" w:rsidRPr="00C4657D" w:rsidRDefault="00C4657D" w:rsidP="00C4657D">
      <w:pPr>
        <w:numPr>
          <w:ilvl w:val="1"/>
          <w:numId w:val="2"/>
        </w:numPr>
      </w:pPr>
      <w:r w:rsidRPr="00C4657D">
        <w:t xml:space="preserve">Chronic diseases like </w:t>
      </w:r>
      <w:r w:rsidRPr="00C4657D">
        <w:rPr>
          <w:b/>
          <w:bCs/>
        </w:rPr>
        <w:t>irritable bowel syndrome (IBS)</w:t>
      </w:r>
      <w:r w:rsidRPr="00C4657D">
        <w:t xml:space="preserve">, </w:t>
      </w:r>
      <w:r w:rsidRPr="00C4657D">
        <w:rPr>
          <w:b/>
          <w:bCs/>
        </w:rPr>
        <w:t>inflammatory bowel disease (IBD)</w:t>
      </w:r>
      <w:r w:rsidRPr="00C4657D">
        <w:t xml:space="preserve">, </w:t>
      </w:r>
      <w:r w:rsidRPr="00C4657D">
        <w:rPr>
          <w:b/>
          <w:bCs/>
        </w:rPr>
        <w:t>liver diseases</w:t>
      </w:r>
      <w:r w:rsidRPr="00C4657D">
        <w:t xml:space="preserve">, and </w:t>
      </w:r>
      <w:r w:rsidRPr="00C4657D">
        <w:rPr>
          <w:b/>
          <w:bCs/>
        </w:rPr>
        <w:t>gastroesophageal reflux disease (GERD)</w:t>
      </w:r>
      <w:r w:rsidRPr="00C4657D">
        <w:t xml:space="preserve"> are driving demand for long-term monitoring and treatment solutions, further fueling the need for effective GI devices.</w:t>
      </w:r>
    </w:p>
    <w:p w14:paraId="16D00CA8" w14:textId="77777777" w:rsidR="00BD724F" w:rsidRDefault="00BD724F" w:rsidP="00BD724F">
      <w:pPr>
        <w:pStyle w:val="NormalWeb"/>
        <w:spacing w:before="0" w:beforeAutospacing="0" w:after="150" w:afterAutospacing="0"/>
        <w:rPr>
          <w:rFonts w:ascii="OpenSans-Regular" w:hAnsi="OpenSans-Regular"/>
          <w:color w:val="333333"/>
          <w:spacing w:val="3"/>
          <w:sz w:val="21"/>
          <w:szCs w:val="21"/>
        </w:rPr>
      </w:pPr>
      <w:r>
        <w:rPr>
          <w:rStyle w:val="Strong"/>
          <w:rFonts w:ascii="OpenSans-Regular" w:eastAsiaTheme="majorEastAsia" w:hAnsi="OpenSans-Regular"/>
          <w:color w:val="333333"/>
          <w:spacing w:val="3"/>
          <w:sz w:val="21"/>
          <w:szCs w:val="21"/>
        </w:rPr>
        <w:t>Medi-Tech Insights’ latest research insight on Gastrointestinal Devices MedTech market analyses the global market with respect to product and geography.</w:t>
      </w:r>
    </w:p>
    <w:p w14:paraId="4682536F" w14:textId="77777777" w:rsidR="00BD724F" w:rsidRDefault="00BD724F" w:rsidP="00BD724F">
      <w:pPr>
        <w:pStyle w:val="NormalWeb"/>
        <w:spacing w:before="0" w:beforeAutospacing="0" w:after="150" w:afterAutospacing="0"/>
        <w:rPr>
          <w:rFonts w:ascii="OpenSans-Regular" w:hAnsi="OpenSans-Regular"/>
          <w:color w:val="333333"/>
          <w:spacing w:val="3"/>
          <w:sz w:val="21"/>
          <w:szCs w:val="21"/>
        </w:rPr>
      </w:pPr>
      <w:r>
        <w:rPr>
          <w:rFonts w:ascii="OpenSans-Regular" w:hAnsi="OpenSans-Regular"/>
          <w:color w:val="333333"/>
          <w:spacing w:val="3"/>
          <w:sz w:val="21"/>
          <w:szCs w:val="21"/>
        </w:rPr>
        <w:t xml:space="preserve">Based on product, Gastrointestinal Devices MedTech market comprises of 4 segments, viz., GI endoscopes, </w:t>
      </w:r>
      <w:proofErr w:type="spellStart"/>
      <w:r>
        <w:rPr>
          <w:rFonts w:ascii="OpenSans-Regular" w:hAnsi="OpenSans-Regular"/>
          <w:color w:val="333333"/>
          <w:spacing w:val="3"/>
          <w:sz w:val="21"/>
          <w:szCs w:val="21"/>
        </w:rPr>
        <w:t>endotherapy</w:t>
      </w:r>
      <w:proofErr w:type="spellEnd"/>
      <w:r>
        <w:rPr>
          <w:rFonts w:ascii="OpenSans-Regular" w:hAnsi="OpenSans-Regular"/>
          <w:color w:val="333333"/>
          <w:spacing w:val="3"/>
          <w:sz w:val="21"/>
          <w:szCs w:val="21"/>
        </w:rPr>
        <w:t xml:space="preserve"> devices, laparoscopes, and laparoscopic devices. Based on our research &amp; interviews with industry experts, it is evident that GI endoscopes is the largest product segment. Within endoscope market, reusable endoscopes form major chunk of the market, owing to the fact that they are high-cost capital equipment with relatively greater adoption. However, single-use endoscope market is slated to grow faster. Shift driven by relatively lower acquisition cost, lower level of training &amp; skills, no reprocessing cost and no risk of cross-contamination. Major players offering single-use endoscopes are Boston Scientific and Ambu.</w:t>
      </w:r>
    </w:p>
    <w:p w14:paraId="10C7B154" w14:textId="32BC5C7C" w:rsidR="00BD724F" w:rsidRDefault="00BD724F" w:rsidP="00BD724F">
      <w:pPr>
        <w:pStyle w:val="NormalWeb"/>
        <w:spacing w:before="0" w:beforeAutospacing="0" w:after="150" w:afterAutospacing="0"/>
        <w:rPr>
          <w:rFonts w:ascii="OpenSans-Regular" w:hAnsi="OpenSans-Regular"/>
          <w:color w:val="333333"/>
          <w:spacing w:val="3"/>
          <w:sz w:val="21"/>
          <w:szCs w:val="21"/>
        </w:rPr>
      </w:pPr>
      <w:r>
        <w:rPr>
          <w:rStyle w:val="Emphasis"/>
          <w:rFonts w:ascii="OpenSans-Regular" w:eastAsiaTheme="majorEastAsia" w:hAnsi="OpenSans-Regular"/>
          <w:color w:val="333333"/>
          <w:spacing w:val="3"/>
          <w:sz w:val="21"/>
          <w:szCs w:val="21"/>
        </w:rPr>
        <w:t>“</w:t>
      </w:r>
      <w:r>
        <w:rPr>
          <w:rStyle w:val="Emphasis"/>
          <w:rFonts w:ascii="OpenSans-Regular" w:eastAsiaTheme="majorEastAsia" w:hAnsi="OpenSans-Regular"/>
          <w:color w:val="333333"/>
          <w:spacing w:val="3"/>
          <w:sz w:val="21"/>
          <w:szCs w:val="21"/>
        </w:rPr>
        <w:t>Currently, penetration of single-use endoscopes in GI is &lt;5%. It is expected to increase to 10-15% in the next 5 years</w:t>
      </w:r>
      <w:r>
        <w:rPr>
          <w:rFonts w:ascii="OpenSans-Regular" w:hAnsi="OpenSans-Regular"/>
          <w:color w:val="333333"/>
          <w:spacing w:val="3"/>
          <w:sz w:val="21"/>
          <w:szCs w:val="21"/>
        </w:rPr>
        <w:t>.</w:t>
      </w:r>
      <w:r>
        <w:rPr>
          <w:rStyle w:val="Emphasis"/>
          <w:rFonts w:ascii="OpenSans-Regular" w:eastAsiaTheme="majorEastAsia" w:hAnsi="OpenSans-Regular"/>
          <w:color w:val="333333"/>
          <w:spacing w:val="3"/>
          <w:sz w:val="21"/>
          <w:szCs w:val="21"/>
        </w:rPr>
        <w:t>” - </w:t>
      </w:r>
      <w:r>
        <w:rPr>
          <w:rStyle w:val="Strong"/>
          <w:rFonts w:ascii="OpenSans-Regular" w:eastAsiaTheme="majorEastAsia" w:hAnsi="OpenSans-Regular"/>
          <w:i/>
          <w:iCs/>
          <w:color w:val="333333"/>
          <w:spacing w:val="3"/>
          <w:sz w:val="21"/>
          <w:szCs w:val="21"/>
        </w:rPr>
        <w:t>CEO, Leading Gastrointestinal MedTech Company </w:t>
      </w:r>
    </w:p>
    <w:p w14:paraId="7459544F" w14:textId="3C3AC275" w:rsidR="008D443F" w:rsidRDefault="008D443F" w:rsidP="00C4657D">
      <w:pPr>
        <w:rPr>
          <w:b/>
          <w:bCs/>
        </w:rPr>
      </w:pPr>
      <w:r>
        <w:rPr>
          <w:b/>
          <w:bCs/>
        </w:rPr>
        <w:t xml:space="preserve">Request for TOC: </w:t>
      </w:r>
      <w:hyperlink r:id="rId7" w:history="1">
        <w:r w:rsidRPr="00312A2F">
          <w:rPr>
            <w:rStyle w:val="Hyperlink"/>
            <w:b/>
            <w:bCs/>
          </w:rPr>
          <w:t>https://meditechinsights.com/gastrointestinal-devices-medtech-market/request-sample/</w:t>
        </w:r>
      </w:hyperlink>
    </w:p>
    <w:p w14:paraId="47D0A1C8" w14:textId="02DD06C5" w:rsidR="00C4657D" w:rsidRPr="00C4657D" w:rsidRDefault="00C4657D" w:rsidP="00C4657D">
      <w:pPr>
        <w:rPr>
          <w:b/>
          <w:bCs/>
        </w:rPr>
      </w:pPr>
      <w:r w:rsidRPr="00C4657D">
        <w:rPr>
          <w:b/>
          <w:bCs/>
        </w:rPr>
        <w:t>Market Segmentation</w:t>
      </w:r>
    </w:p>
    <w:p w14:paraId="29DB4ADA" w14:textId="77777777" w:rsidR="00C4657D" w:rsidRPr="00C4657D" w:rsidRDefault="00C4657D" w:rsidP="00C4657D">
      <w:r w:rsidRPr="00C4657D">
        <w:rPr>
          <w:b/>
          <w:bCs/>
        </w:rPr>
        <w:lastRenderedPageBreak/>
        <w:t>Device Type</w:t>
      </w:r>
      <w:r w:rsidRPr="00C4657D">
        <w:t>:</w:t>
      </w:r>
    </w:p>
    <w:p w14:paraId="5CD354D3" w14:textId="77777777" w:rsidR="00C4657D" w:rsidRPr="00C4657D" w:rsidRDefault="00C4657D" w:rsidP="00C4657D">
      <w:pPr>
        <w:numPr>
          <w:ilvl w:val="1"/>
          <w:numId w:val="3"/>
        </w:numPr>
      </w:pPr>
      <w:r w:rsidRPr="00C4657D">
        <w:rPr>
          <w:b/>
          <w:bCs/>
        </w:rPr>
        <w:t>Diagnostic devices</w:t>
      </w:r>
      <w:r w:rsidRPr="00C4657D">
        <w:t>: Endoscopes, capsule endoscopes, imaging systems, and GI monitoring devices.</w:t>
      </w:r>
    </w:p>
    <w:p w14:paraId="326A155E" w14:textId="77777777" w:rsidR="00C4657D" w:rsidRPr="00C4657D" w:rsidRDefault="00C4657D" w:rsidP="00C4657D">
      <w:pPr>
        <w:numPr>
          <w:ilvl w:val="1"/>
          <w:numId w:val="3"/>
        </w:numPr>
      </w:pPr>
      <w:r w:rsidRPr="00C4657D">
        <w:rPr>
          <w:b/>
          <w:bCs/>
        </w:rPr>
        <w:t>Therapeutic devices</w:t>
      </w:r>
      <w:r w:rsidRPr="00C4657D">
        <w:t>: Surgical instruments (e.g., laparoscopes), stents, GI drug delivery systems, and robotic systems.</w:t>
      </w:r>
    </w:p>
    <w:p w14:paraId="2AC29483" w14:textId="77777777" w:rsidR="00C4657D" w:rsidRPr="00C4657D" w:rsidRDefault="00C4657D" w:rsidP="00C4657D">
      <w:pPr>
        <w:numPr>
          <w:ilvl w:val="1"/>
          <w:numId w:val="3"/>
        </w:numPr>
      </w:pPr>
      <w:r w:rsidRPr="00C4657D">
        <w:rPr>
          <w:b/>
          <w:bCs/>
        </w:rPr>
        <w:t>Monitoring devices</w:t>
      </w:r>
      <w:r w:rsidRPr="00C4657D">
        <w:t>: Wearable sensors, biofeedback systems, and devices for continuous monitoring of GI function.</w:t>
      </w:r>
    </w:p>
    <w:p w14:paraId="05C82582" w14:textId="77777777" w:rsidR="00C4657D" w:rsidRPr="00C4657D" w:rsidRDefault="00C4657D" w:rsidP="00C4657D">
      <w:r w:rsidRPr="00C4657D">
        <w:rPr>
          <w:b/>
          <w:bCs/>
        </w:rPr>
        <w:t>Indication</w:t>
      </w:r>
      <w:r w:rsidRPr="00C4657D">
        <w:t>:</w:t>
      </w:r>
    </w:p>
    <w:p w14:paraId="6A539D61" w14:textId="77777777" w:rsidR="00C4657D" w:rsidRPr="00C4657D" w:rsidRDefault="00C4657D" w:rsidP="00C4657D">
      <w:pPr>
        <w:numPr>
          <w:ilvl w:val="1"/>
          <w:numId w:val="3"/>
        </w:numPr>
      </w:pPr>
      <w:r w:rsidRPr="00C4657D">
        <w:rPr>
          <w:b/>
          <w:bCs/>
        </w:rPr>
        <w:t>Colorectal cancer</w:t>
      </w:r>
      <w:r w:rsidRPr="00C4657D">
        <w:t>: Leading cause of GI-related deaths, increasing the demand for screening and diagnostic devices.</w:t>
      </w:r>
    </w:p>
    <w:p w14:paraId="24C97213" w14:textId="77777777" w:rsidR="00C4657D" w:rsidRPr="00C4657D" w:rsidRDefault="00C4657D" w:rsidP="00C4657D">
      <w:pPr>
        <w:numPr>
          <w:ilvl w:val="1"/>
          <w:numId w:val="3"/>
        </w:numPr>
      </w:pPr>
      <w:r w:rsidRPr="00C4657D">
        <w:rPr>
          <w:b/>
          <w:bCs/>
        </w:rPr>
        <w:t>Gastroesophageal reflux disease (GERD)</w:t>
      </w:r>
      <w:r w:rsidRPr="00C4657D">
        <w:t>: Drives demand for diagnostic tools like pH monitoring and therapeutic devices like fundoplication procedures.</w:t>
      </w:r>
    </w:p>
    <w:p w14:paraId="5F2A0297" w14:textId="77777777" w:rsidR="00C4657D" w:rsidRPr="00C4657D" w:rsidRDefault="00C4657D" w:rsidP="00C4657D">
      <w:pPr>
        <w:numPr>
          <w:ilvl w:val="1"/>
          <w:numId w:val="3"/>
        </w:numPr>
      </w:pPr>
      <w:r w:rsidRPr="00C4657D">
        <w:rPr>
          <w:b/>
          <w:bCs/>
        </w:rPr>
        <w:t>Inflammatory bowel diseases (IBD)</w:t>
      </w:r>
      <w:r w:rsidRPr="00C4657D">
        <w:t>: Including Crohn’s disease and ulcerative colitis, creating opportunities for both diagnostic tools and drug delivery systems.</w:t>
      </w:r>
    </w:p>
    <w:p w14:paraId="69B243D4" w14:textId="77777777" w:rsidR="00C4657D" w:rsidRPr="00C4657D" w:rsidRDefault="00C4657D" w:rsidP="00C4657D">
      <w:pPr>
        <w:numPr>
          <w:ilvl w:val="1"/>
          <w:numId w:val="3"/>
        </w:numPr>
      </w:pPr>
      <w:r w:rsidRPr="00C4657D">
        <w:rPr>
          <w:b/>
          <w:bCs/>
        </w:rPr>
        <w:t>Irritable bowel syndrome (IBS)</w:t>
      </w:r>
      <w:r w:rsidRPr="00C4657D">
        <w:t>: Increasing awareness and better management options through digital solutions and wearables.</w:t>
      </w:r>
    </w:p>
    <w:p w14:paraId="76E10836" w14:textId="77777777" w:rsidR="00C4657D" w:rsidRPr="00C4657D" w:rsidRDefault="00C4657D" w:rsidP="00C4657D">
      <w:pPr>
        <w:numPr>
          <w:ilvl w:val="1"/>
          <w:numId w:val="3"/>
        </w:numPr>
      </w:pPr>
      <w:r w:rsidRPr="00C4657D">
        <w:rPr>
          <w:b/>
          <w:bCs/>
        </w:rPr>
        <w:t>Liver diseases</w:t>
      </w:r>
      <w:r w:rsidRPr="00C4657D">
        <w:t>: Hepatitis, cirrhosis, and non-alcoholic fatty liver disease (NAFLD) are leading to increased demand for liver-related diagnostics and therapeutic interventions.</w:t>
      </w:r>
    </w:p>
    <w:p w14:paraId="3204E48C" w14:textId="77777777" w:rsidR="00C4657D" w:rsidRPr="00C4657D" w:rsidRDefault="00C4657D" w:rsidP="00C4657D">
      <w:r w:rsidRPr="00C4657D">
        <w:rPr>
          <w:b/>
          <w:bCs/>
        </w:rPr>
        <w:t>End-User</w:t>
      </w:r>
      <w:r w:rsidRPr="00C4657D">
        <w:t>:</w:t>
      </w:r>
    </w:p>
    <w:p w14:paraId="00C09C1D" w14:textId="77777777" w:rsidR="00C4657D" w:rsidRPr="00C4657D" w:rsidRDefault="00C4657D" w:rsidP="00C4657D">
      <w:pPr>
        <w:numPr>
          <w:ilvl w:val="1"/>
          <w:numId w:val="3"/>
        </w:numPr>
      </w:pPr>
      <w:r w:rsidRPr="00C4657D">
        <w:rPr>
          <w:b/>
          <w:bCs/>
        </w:rPr>
        <w:t>Hospitals &amp; Clinics</w:t>
      </w:r>
      <w:r w:rsidRPr="00C4657D">
        <w:t>: Primary demand generators for GI devices as they perform a significant number of diagnostic and therapeutic procedures.</w:t>
      </w:r>
    </w:p>
    <w:p w14:paraId="7831C26C" w14:textId="77777777" w:rsidR="00C4657D" w:rsidRPr="00C4657D" w:rsidRDefault="00C4657D" w:rsidP="00C4657D">
      <w:pPr>
        <w:numPr>
          <w:ilvl w:val="1"/>
          <w:numId w:val="3"/>
        </w:numPr>
      </w:pPr>
      <w:r w:rsidRPr="00C4657D">
        <w:rPr>
          <w:b/>
          <w:bCs/>
        </w:rPr>
        <w:t>Outpatient Surgery Centers</w:t>
      </w:r>
      <w:r w:rsidRPr="00C4657D">
        <w:t>: Growth of outpatient procedures for GI diseases is rising due to the trend toward minimally invasive and cost-effective treatments.</w:t>
      </w:r>
    </w:p>
    <w:p w14:paraId="27FCAACA" w14:textId="77777777" w:rsidR="00C4657D" w:rsidRPr="00C4657D" w:rsidRDefault="00C4657D" w:rsidP="00C4657D">
      <w:pPr>
        <w:numPr>
          <w:ilvl w:val="1"/>
          <w:numId w:val="3"/>
        </w:numPr>
      </w:pPr>
      <w:r w:rsidRPr="00C4657D">
        <w:rPr>
          <w:b/>
          <w:bCs/>
        </w:rPr>
        <w:t>Homecare Settings</w:t>
      </w:r>
      <w:r w:rsidRPr="00C4657D">
        <w:t>: The rise of home-based care and the use of remote monitoring devices is expected to increase, especially for chronic GI conditions.</w:t>
      </w:r>
    </w:p>
    <w:p w14:paraId="2330C8A6" w14:textId="77777777" w:rsidR="00C4657D" w:rsidRPr="00C4657D" w:rsidRDefault="00C4657D" w:rsidP="00C4657D">
      <w:r w:rsidRPr="00C4657D">
        <w:rPr>
          <w:b/>
          <w:bCs/>
        </w:rPr>
        <w:t>Geography</w:t>
      </w:r>
      <w:r w:rsidRPr="00C4657D">
        <w:t>:</w:t>
      </w:r>
    </w:p>
    <w:p w14:paraId="218E43CD" w14:textId="77777777" w:rsidR="00C4657D" w:rsidRPr="00C4657D" w:rsidRDefault="00C4657D" w:rsidP="00C4657D">
      <w:pPr>
        <w:numPr>
          <w:ilvl w:val="1"/>
          <w:numId w:val="3"/>
        </w:numPr>
      </w:pPr>
      <w:r w:rsidRPr="00C4657D">
        <w:rPr>
          <w:b/>
          <w:bCs/>
        </w:rPr>
        <w:t>North America</w:t>
      </w:r>
      <w:r w:rsidRPr="00C4657D">
        <w:t>: The largest market, driven by advanced healthcare infrastructure, high prevalence of GI diseases, and high adoption of new technologies.</w:t>
      </w:r>
    </w:p>
    <w:p w14:paraId="69CBCB7D" w14:textId="77777777" w:rsidR="00C4657D" w:rsidRPr="00C4657D" w:rsidRDefault="00C4657D" w:rsidP="00C4657D">
      <w:pPr>
        <w:numPr>
          <w:ilvl w:val="1"/>
          <w:numId w:val="3"/>
        </w:numPr>
      </w:pPr>
      <w:r w:rsidRPr="00C4657D">
        <w:rPr>
          <w:b/>
          <w:bCs/>
        </w:rPr>
        <w:lastRenderedPageBreak/>
        <w:t>Europe</w:t>
      </w:r>
      <w:r w:rsidRPr="00C4657D">
        <w:t>: Growth is driven by aging populations and the rising incidence of GI conditions, especially in Western European countries.</w:t>
      </w:r>
    </w:p>
    <w:p w14:paraId="4A4A6735" w14:textId="77777777" w:rsidR="00C4657D" w:rsidRPr="00C4657D" w:rsidRDefault="00C4657D" w:rsidP="00C4657D">
      <w:pPr>
        <w:numPr>
          <w:ilvl w:val="1"/>
          <w:numId w:val="3"/>
        </w:numPr>
      </w:pPr>
      <w:r w:rsidRPr="00C4657D">
        <w:rPr>
          <w:b/>
          <w:bCs/>
        </w:rPr>
        <w:t>Asia-Pacific</w:t>
      </w:r>
      <w:r w:rsidRPr="00C4657D">
        <w:t>: The fastest-growing region due to increasing healthcare access, rising awareness, and the growing burden of GI diseases, especially in China and India.</w:t>
      </w:r>
    </w:p>
    <w:p w14:paraId="23662C34" w14:textId="77777777" w:rsidR="00C4657D" w:rsidRPr="00C4657D" w:rsidRDefault="00C4657D" w:rsidP="00C4657D">
      <w:pPr>
        <w:numPr>
          <w:ilvl w:val="1"/>
          <w:numId w:val="3"/>
        </w:numPr>
      </w:pPr>
      <w:r w:rsidRPr="00C4657D">
        <w:rPr>
          <w:b/>
          <w:bCs/>
        </w:rPr>
        <w:t>Latin America &amp; Middle East &amp; Africa</w:t>
      </w:r>
      <w:r w:rsidRPr="00C4657D">
        <w:t>: Growing markets driven by expanding healthcare infrastructure and increasing demand for diagnostics.</w:t>
      </w:r>
    </w:p>
    <w:p w14:paraId="3BBF653A" w14:textId="77777777" w:rsidR="00BD724F" w:rsidRPr="00BD724F" w:rsidRDefault="00BD724F" w:rsidP="00BD724F">
      <w:pPr>
        <w:rPr>
          <w:b/>
          <w:bCs/>
        </w:rPr>
      </w:pPr>
      <w:r w:rsidRPr="00BD724F">
        <w:rPr>
          <w:b/>
          <w:bCs/>
        </w:rPr>
        <w:t xml:space="preserve">Download Sample PDF: </w:t>
      </w:r>
      <w:hyperlink r:id="rId8" w:history="1">
        <w:r w:rsidRPr="00BD724F">
          <w:rPr>
            <w:rStyle w:val="Hyperlink"/>
            <w:b/>
            <w:bCs/>
          </w:rPr>
          <w:t>https://meditechinsights.com/gastrointestinal-devices-medtech-market/request-sample/</w:t>
        </w:r>
      </w:hyperlink>
    </w:p>
    <w:p w14:paraId="35BD6A28" w14:textId="3B585B24" w:rsidR="00C4657D" w:rsidRDefault="00C4657D" w:rsidP="00C4657D">
      <w:pPr>
        <w:rPr>
          <w:b/>
          <w:bCs/>
        </w:rPr>
      </w:pPr>
      <w:r w:rsidRPr="00C4657D">
        <w:rPr>
          <w:b/>
          <w:bCs/>
        </w:rPr>
        <w:t>Forecast &amp; Demand</w:t>
      </w:r>
    </w:p>
    <w:p w14:paraId="0E9E2427" w14:textId="6094563E" w:rsidR="00C4657D" w:rsidRPr="00C4657D" w:rsidRDefault="00C4657D" w:rsidP="00C4657D">
      <w:pPr>
        <w:rPr>
          <w:b/>
          <w:bCs/>
        </w:rPr>
      </w:pPr>
      <w:r w:rsidRPr="00C4657D">
        <w:rPr>
          <w:b/>
          <w:bCs/>
        </w:rPr>
        <w:t>Future Outlook</w:t>
      </w:r>
      <w:r w:rsidRPr="00C4657D">
        <w:t>:</w:t>
      </w:r>
    </w:p>
    <w:p w14:paraId="63DDAF4D" w14:textId="77777777" w:rsidR="00C4657D" w:rsidRPr="00C4657D" w:rsidRDefault="00C4657D" w:rsidP="00C4657D">
      <w:pPr>
        <w:numPr>
          <w:ilvl w:val="1"/>
          <w:numId w:val="4"/>
        </w:numPr>
      </w:pPr>
      <w:r w:rsidRPr="00C4657D">
        <w:t>The market is expected to continue growing due to the increasing incidence of GI diseases, aging populations, and the growing demand for less invasive treatment options.</w:t>
      </w:r>
    </w:p>
    <w:p w14:paraId="4A9B1395" w14:textId="77777777" w:rsidR="00C4657D" w:rsidRPr="00C4657D" w:rsidRDefault="00C4657D" w:rsidP="00C4657D">
      <w:pPr>
        <w:numPr>
          <w:ilvl w:val="1"/>
          <w:numId w:val="4"/>
        </w:numPr>
      </w:pPr>
      <w:r w:rsidRPr="00C4657D">
        <w:t>Technological advancements in AI, robotic-assisted surgery, and personalized healthcare are likely to accelerate market growth.</w:t>
      </w:r>
    </w:p>
    <w:p w14:paraId="3A4B2993" w14:textId="77777777" w:rsidR="00C4657D" w:rsidRPr="00C4657D" w:rsidRDefault="00C4657D" w:rsidP="00C4657D">
      <w:pPr>
        <w:numPr>
          <w:ilvl w:val="1"/>
          <w:numId w:val="4"/>
        </w:numPr>
      </w:pPr>
      <w:r w:rsidRPr="00C4657D">
        <w:t>The increasing focus on chronic disease management, particularly through wearables and remote monitoring, will drive demand for new types of GI devices.</w:t>
      </w:r>
    </w:p>
    <w:p w14:paraId="7086BC33" w14:textId="77777777" w:rsidR="00C4657D" w:rsidRPr="00C4657D" w:rsidRDefault="00C4657D" w:rsidP="00C4657D">
      <w:r w:rsidRPr="00C4657D">
        <w:rPr>
          <w:b/>
          <w:bCs/>
        </w:rPr>
        <w:t>Key Players in the Market</w:t>
      </w:r>
      <w:r w:rsidRPr="00C4657D">
        <w:t>:</w:t>
      </w:r>
    </w:p>
    <w:p w14:paraId="7BEEDB86" w14:textId="77777777" w:rsidR="00C4657D" w:rsidRPr="00C4657D" w:rsidRDefault="00C4657D" w:rsidP="00C4657D">
      <w:pPr>
        <w:numPr>
          <w:ilvl w:val="1"/>
          <w:numId w:val="4"/>
        </w:numPr>
      </w:pPr>
      <w:r w:rsidRPr="00C4657D">
        <w:t xml:space="preserve">Major companies in the GI devices sector include </w:t>
      </w:r>
      <w:r w:rsidRPr="00C4657D">
        <w:rPr>
          <w:b/>
          <w:bCs/>
        </w:rPr>
        <w:t>Medtronic</w:t>
      </w:r>
      <w:r w:rsidRPr="00C4657D">
        <w:t xml:space="preserve">, </w:t>
      </w:r>
      <w:r w:rsidRPr="00C4657D">
        <w:rPr>
          <w:b/>
          <w:bCs/>
        </w:rPr>
        <w:t>Boston Scientific</w:t>
      </w:r>
      <w:r w:rsidRPr="00C4657D">
        <w:t xml:space="preserve">, </w:t>
      </w:r>
      <w:r w:rsidRPr="00C4657D">
        <w:rPr>
          <w:b/>
          <w:bCs/>
        </w:rPr>
        <w:t>Johnson &amp; Johnson</w:t>
      </w:r>
      <w:r w:rsidRPr="00C4657D">
        <w:t xml:space="preserve">, </w:t>
      </w:r>
      <w:r w:rsidRPr="00C4657D">
        <w:rPr>
          <w:b/>
          <w:bCs/>
        </w:rPr>
        <w:t>Stryker</w:t>
      </w:r>
      <w:r w:rsidRPr="00C4657D">
        <w:t xml:space="preserve">, </w:t>
      </w:r>
      <w:r w:rsidRPr="00C4657D">
        <w:rPr>
          <w:b/>
          <w:bCs/>
        </w:rPr>
        <w:t>Fujifilm</w:t>
      </w:r>
      <w:r w:rsidRPr="00C4657D">
        <w:t xml:space="preserve">, and </w:t>
      </w:r>
      <w:r w:rsidRPr="00C4657D">
        <w:rPr>
          <w:b/>
          <w:bCs/>
        </w:rPr>
        <w:t>Pentax Medical</w:t>
      </w:r>
      <w:r w:rsidRPr="00C4657D">
        <w:t>.</w:t>
      </w:r>
    </w:p>
    <w:p w14:paraId="15688C35" w14:textId="77777777" w:rsidR="00C4657D" w:rsidRPr="00C4657D" w:rsidRDefault="00C4657D" w:rsidP="00C4657D">
      <w:pPr>
        <w:numPr>
          <w:ilvl w:val="1"/>
          <w:numId w:val="4"/>
        </w:numPr>
      </w:pPr>
      <w:r w:rsidRPr="00C4657D">
        <w:t>Smaller, innovative companies are also entering the market with novel technologies such as capsule endoscopes, GI motility monitoring systems, and biofeedback solutions.</w:t>
      </w:r>
    </w:p>
    <w:p w14:paraId="5E13824F" w14:textId="4D398F14" w:rsidR="008D443F" w:rsidRDefault="008D443F" w:rsidP="008D443F">
      <w:pPr>
        <w:pStyle w:val="paragraph"/>
        <w:spacing w:before="0" w:beforeAutospacing="0" w:after="0" w:afterAutospacing="0"/>
        <w:textAlignment w:val="baseline"/>
        <w:rPr>
          <w:rStyle w:val="normaltextrun"/>
          <w:rFonts w:asciiTheme="minorHAnsi" w:eastAsiaTheme="majorEastAsia" w:hAnsiTheme="minorHAnsi" w:cstheme="minorHAnsi"/>
          <w:b/>
          <w:bCs/>
        </w:rPr>
      </w:pPr>
      <w:r>
        <w:rPr>
          <w:rStyle w:val="normaltextrun"/>
          <w:rFonts w:asciiTheme="minorHAnsi" w:eastAsiaTheme="majorEastAsia" w:hAnsiTheme="minorHAnsi" w:cstheme="minorHAnsi"/>
          <w:b/>
          <w:bCs/>
        </w:rPr>
        <w:t>Related Report:</w:t>
      </w:r>
    </w:p>
    <w:p w14:paraId="227DA3F0" w14:textId="6D7A263B" w:rsidR="008D443F" w:rsidRPr="008D443F" w:rsidRDefault="008D443F" w:rsidP="007020EA">
      <w:pPr>
        <w:pStyle w:val="paragraph"/>
        <w:numPr>
          <w:ilvl w:val="0"/>
          <w:numId w:val="6"/>
        </w:numPr>
        <w:spacing w:after="0"/>
        <w:textAlignment w:val="baseline"/>
        <w:rPr>
          <w:rStyle w:val="normaltextrun"/>
          <w:rFonts w:asciiTheme="minorHAnsi" w:eastAsiaTheme="majorEastAsia" w:hAnsiTheme="minorHAnsi" w:cstheme="minorHAnsi"/>
          <w:b/>
          <w:bCs/>
        </w:rPr>
      </w:pPr>
      <w:hyperlink r:id="rId9" w:history="1">
        <w:r w:rsidRPr="008D443F">
          <w:rPr>
            <w:rStyle w:val="Hyperlink"/>
            <w:rFonts w:asciiTheme="minorHAnsi" w:eastAsiaTheme="majorEastAsia" w:hAnsiTheme="minorHAnsi" w:cstheme="minorHAnsi"/>
            <w:b/>
            <w:bCs/>
          </w:rPr>
          <w:t>Drug Screening Market</w:t>
        </w:r>
      </w:hyperlink>
      <w:r>
        <w:rPr>
          <w:rStyle w:val="normaltextrun"/>
          <w:rFonts w:asciiTheme="minorHAnsi" w:eastAsiaTheme="majorEastAsia" w:hAnsiTheme="minorHAnsi" w:cstheme="minorHAnsi"/>
          <w:b/>
          <w:bCs/>
        </w:rPr>
        <w:t xml:space="preserve"> </w:t>
      </w:r>
    </w:p>
    <w:p w14:paraId="4906EF00" w14:textId="67072465" w:rsidR="008D443F" w:rsidRPr="008D443F" w:rsidRDefault="008D443F" w:rsidP="007020EA">
      <w:pPr>
        <w:pStyle w:val="paragraph"/>
        <w:numPr>
          <w:ilvl w:val="0"/>
          <w:numId w:val="6"/>
        </w:numPr>
        <w:spacing w:after="0"/>
        <w:textAlignment w:val="baseline"/>
        <w:rPr>
          <w:rStyle w:val="normaltextrun"/>
          <w:rFonts w:asciiTheme="minorHAnsi" w:eastAsiaTheme="majorEastAsia" w:hAnsiTheme="minorHAnsi" w:cstheme="minorHAnsi"/>
          <w:b/>
          <w:bCs/>
        </w:rPr>
      </w:pPr>
      <w:hyperlink r:id="rId10" w:history="1">
        <w:r w:rsidRPr="008D443F">
          <w:rPr>
            <w:rStyle w:val="Hyperlink"/>
            <w:rFonts w:asciiTheme="minorHAnsi" w:eastAsiaTheme="majorEastAsia" w:hAnsiTheme="minorHAnsi" w:cstheme="minorHAnsi"/>
            <w:b/>
            <w:bCs/>
          </w:rPr>
          <w:t>Surgical Instrument Tracking Systems Market</w:t>
        </w:r>
      </w:hyperlink>
    </w:p>
    <w:p w14:paraId="2A0BB169" w14:textId="4BBD9B81" w:rsidR="008D443F" w:rsidRPr="008D443F" w:rsidRDefault="008D443F" w:rsidP="007020EA">
      <w:pPr>
        <w:pStyle w:val="paragraph"/>
        <w:numPr>
          <w:ilvl w:val="0"/>
          <w:numId w:val="6"/>
        </w:numPr>
        <w:spacing w:after="0"/>
        <w:textAlignment w:val="baseline"/>
        <w:rPr>
          <w:rStyle w:val="normaltextrun"/>
          <w:rFonts w:asciiTheme="minorHAnsi" w:eastAsiaTheme="majorEastAsia" w:hAnsiTheme="minorHAnsi" w:cstheme="minorHAnsi"/>
          <w:b/>
          <w:bCs/>
        </w:rPr>
      </w:pPr>
      <w:hyperlink r:id="rId11" w:history="1">
        <w:r w:rsidRPr="008D443F">
          <w:rPr>
            <w:rStyle w:val="Hyperlink"/>
            <w:rFonts w:asciiTheme="minorHAnsi" w:eastAsiaTheme="majorEastAsia" w:hAnsiTheme="minorHAnsi" w:cstheme="minorHAnsi"/>
            <w:b/>
            <w:bCs/>
          </w:rPr>
          <w:t>Cell and Gene Therapy CDMO Market</w:t>
        </w:r>
      </w:hyperlink>
      <w:r w:rsidRPr="008D443F">
        <w:rPr>
          <w:rStyle w:val="normaltextrun"/>
          <w:rFonts w:asciiTheme="minorHAnsi" w:eastAsiaTheme="majorEastAsia" w:hAnsiTheme="minorHAnsi" w:cstheme="minorHAnsi"/>
          <w:b/>
          <w:bCs/>
        </w:rPr>
        <w:tab/>
      </w:r>
    </w:p>
    <w:p w14:paraId="6FED805F" w14:textId="3CD6C45F" w:rsidR="008D443F" w:rsidRDefault="008D443F" w:rsidP="007020EA">
      <w:pPr>
        <w:pStyle w:val="paragraph"/>
        <w:numPr>
          <w:ilvl w:val="0"/>
          <w:numId w:val="6"/>
        </w:numPr>
        <w:spacing w:before="0" w:beforeAutospacing="0" w:after="0" w:afterAutospacing="0"/>
        <w:textAlignment w:val="baseline"/>
        <w:rPr>
          <w:rStyle w:val="normaltextrun"/>
          <w:rFonts w:asciiTheme="minorHAnsi" w:eastAsiaTheme="majorEastAsia" w:hAnsiTheme="minorHAnsi" w:cstheme="minorHAnsi"/>
          <w:b/>
          <w:bCs/>
        </w:rPr>
      </w:pPr>
      <w:hyperlink r:id="rId12" w:history="1">
        <w:r w:rsidRPr="008D443F">
          <w:rPr>
            <w:rStyle w:val="Hyperlink"/>
            <w:rFonts w:asciiTheme="minorHAnsi" w:eastAsiaTheme="majorEastAsia" w:hAnsiTheme="minorHAnsi" w:cstheme="minorHAnsi"/>
            <w:b/>
            <w:bCs/>
          </w:rPr>
          <w:t>CMF (Craniomaxillofacial) Devices Market</w:t>
        </w:r>
      </w:hyperlink>
      <w:r>
        <w:rPr>
          <w:rStyle w:val="normaltextrun"/>
          <w:rFonts w:asciiTheme="minorHAnsi" w:eastAsiaTheme="majorEastAsia" w:hAnsiTheme="minorHAnsi" w:cstheme="minorHAnsi"/>
          <w:b/>
          <w:bCs/>
        </w:rPr>
        <w:t xml:space="preserve"> </w:t>
      </w:r>
      <w:r w:rsidRPr="008D443F">
        <w:rPr>
          <w:rStyle w:val="normaltextrun"/>
          <w:rFonts w:asciiTheme="minorHAnsi" w:eastAsiaTheme="majorEastAsia" w:hAnsiTheme="minorHAnsi" w:cstheme="minorHAnsi"/>
          <w:b/>
          <w:bCs/>
        </w:rPr>
        <w:tab/>
      </w:r>
    </w:p>
    <w:p w14:paraId="7CE4806D" w14:textId="77777777" w:rsidR="008D443F" w:rsidRDefault="008D443F" w:rsidP="008D443F">
      <w:pPr>
        <w:pStyle w:val="paragraph"/>
        <w:spacing w:before="0" w:beforeAutospacing="0" w:after="0" w:afterAutospacing="0"/>
        <w:textAlignment w:val="baseline"/>
        <w:rPr>
          <w:rStyle w:val="normaltextrun"/>
          <w:rFonts w:asciiTheme="minorHAnsi" w:eastAsiaTheme="majorEastAsia" w:hAnsiTheme="minorHAnsi" w:cstheme="minorHAnsi"/>
          <w:b/>
          <w:bCs/>
        </w:rPr>
      </w:pPr>
    </w:p>
    <w:p w14:paraId="2496560C" w14:textId="21F05D48" w:rsidR="008D443F" w:rsidRPr="008D443F" w:rsidRDefault="008D443F" w:rsidP="008D443F">
      <w:pPr>
        <w:pStyle w:val="paragraph"/>
        <w:spacing w:before="0" w:beforeAutospacing="0" w:after="0" w:afterAutospacing="0"/>
        <w:textAlignment w:val="baseline"/>
        <w:rPr>
          <w:rFonts w:asciiTheme="minorHAnsi" w:eastAsiaTheme="majorEastAsia" w:hAnsiTheme="minorHAnsi" w:cstheme="minorHAnsi"/>
        </w:rPr>
      </w:pPr>
      <w:r w:rsidRPr="007F75AA">
        <w:rPr>
          <w:rStyle w:val="normaltextrun"/>
          <w:rFonts w:asciiTheme="minorHAnsi" w:eastAsiaTheme="majorEastAsia" w:hAnsiTheme="minorHAnsi" w:cstheme="minorHAnsi"/>
        </w:rPr>
        <w:t>About Medi-Tech Insights</w:t>
      </w:r>
      <w:r w:rsidRPr="007F75AA">
        <w:rPr>
          <w:rStyle w:val="eop"/>
          <w:rFonts w:asciiTheme="minorHAnsi" w:eastAsiaTheme="majorEastAsia" w:hAnsiTheme="minorHAnsi" w:cstheme="minorHAnsi"/>
        </w:rPr>
        <w:t> </w:t>
      </w:r>
      <w:r>
        <w:rPr>
          <w:rStyle w:val="eop"/>
          <w:rFonts w:asciiTheme="minorHAnsi" w:eastAsiaTheme="majorEastAsia" w:hAnsiTheme="minorHAnsi" w:cstheme="minorHAnsi"/>
        </w:rPr>
        <w:t>;</w:t>
      </w:r>
      <w:r w:rsidRPr="007F75AA">
        <w:rPr>
          <w:rStyle w:val="eop"/>
          <w:rFonts w:asciiTheme="minorHAnsi" w:eastAsiaTheme="majorEastAsia" w:hAnsiTheme="minorHAnsi" w:cstheme="minorHAnsi"/>
        </w:rPr>
        <w:br/>
      </w:r>
    </w:p>
    <w:p w14:paraId="366FD237" w14:textId="77777777" w:rsidR="008D443F" w:rsidRDefault="008D443F" w:rsidP="008D443F">
      <w:pPr>
        <w:pStyle w:val="paragraph"/>
        <w:spacing w:before="0" w:beforeAutospacing="0" w:after="0" w:afterAutospacing="0"/>
        <w:textAlignment w:val="baseline"/>
        <w:rPr>
          <w:rStyle w:val="eop"/>
          <w:rFonts w:asciiTheme="minorHAnsi" w:eastAsiaTheme="majorEastAsia" w:hAnsiTheme="minorHAnsi" w:cstheme="minorHAnsi"/>
        </w:rPr>
      </w:pPr>
      <w:r w:rsidRPr="007F75AA">
        <w:rPr>
          <w:rStyle w:val="normaltextrun"/>
          <w:rFonts w:asciiTheme="minorHAnsi" w:eastAsiaTheme="majorEastAsia" w:hAnsiTheme="minorHAnsi" w:cstheme="minorHAnsi"/>
        </w:rPr>
        <w:lastRenderedPageBreak/>
        <w:t>Medi-Tech Insights is a healthcare-focused business research &amp; insights firm. Our clients include Fortune 500 companies, blue-chip investors &amp; hyper-growth start-ups. We have completed 100+ projects in Digital Health, Healthcare IT, Medical Technology, Medical Devices &amp; Pharma Services in the areas of market assessments, due diligence, competitive intelligence, market sizing and forecasting, pricing analysis &amp; go-to-market strategy. Our methodology includes rigorous secondary research combined with deep-dive interviews with industry-leading CXO, VPs, and key demand/supply side decision-makers.</w:t>
      </w:r>
      <w:r w:rsidRPr="007F75AA">
        <w:rPr>
          <w:rStyle w:val="eop"/>
          <w:rFonts w:asciiTheme="minorHAnsi" w:eastAsiaTheme="majorEastAsia" w:hAnsiTheme="minorHAnsi" w:cstheme="minorHAnsi"/>
        </w:rPr>
        <w:t> </w:t>
      </w:r>
    </w:p>
    <w:p w14:paraId="7AE0693C" w14:textId="77777777" w:rsidR="008D443F" w:rsidRPr="007F75AA" w:rsidRDefault="008D443F" w:rsidP="008D443F">
      <w:pPr>
        <w:pStyle w:val="paragraph"/>
        <w:spacing w:before="0" w:beforeAutospacing="0" w:after="0" w:afterAutospacing="0"/>
        <w:textAlignment w:val="baseline"/>
        <w:rPr>
          <w:rFonts w:asciiTheme="minorHAnsi" w:hAnsiTheme="minorHAnsi" w:cstheme="minorHAnsi"/>
        </w:rPr>
      </w:pPr>
    </w:p>
    <w:p w14:paraId="0E321A29" w14:textId="77777777" w:rsidR="008D443F" w:rsidRPr="008D443F" w:rsidRDefault="008D443F" w:rsidP="008D443F">
      <w:pPr>
        <w:rPr>
          <w:rFonts w:cstheme="minorHAnsi"/>
        </w:rPr>
      </w:pPr>
      <w:r w:rsidRPr="008D443F">
        <w:rPr>
          <w:rFonts w:cstheme="minorHAnsi"/>
          <w:b/>
          <w:bCs/>
        </w:rPr>
        <w:t>Contact:</w:t>
      </w:r>
      <w:r w:rsidRPr="008D443F">
        <w:rPr>
          <w:rFonts w:cstheme="minorHAnsi"/>
        </w:rPr>
        <w:t> </w:t>
      </w:r>
    </w:p>
    <w:p w14:paraId="33225802" w14:textId="77777777" w:rsidR="008D443F" w:rsidRPr="008D443F" w:rsidRDefault="008D443F" w:rsidP="008D443F">
      <w:pPr>
        <w:rPr>
          <w:rFonts w:cstheme="minorHAnsi"/>
        </w:rPr>
      </w:pPr>
      <w:r w:rsidRPr="008D443F">
        <w:rPr>
          <w:rFonts w:cstheme="minorHAnsi"/>
        </w:rPr>
        <w:t>Ruta Halde </w:t>
      </w:r>
      <w:r w:rsidRPr="008D443F">
        <w:rPr>
          <w:rFonts w:cstheme="minorHAnsi"/>
        </w:rPr>
        <w:br/>
        <w:t>Associate, Medi-Tech Insights </w:t>
      </w:r>
      <w:r w:rsidRPr="008D443F">
        <w:rPr>
          <w:rFonts w:cstheme="minorHAnsi"/>
        </w:rPr>
        <w:br/>
      </w:r>
      <w:hyperlink r:id="rId13" w:tgtFrame="_blank" w:history="1">
        <w:r w:rsidRPr="008D443F">
          <w:rPr>
            <w:rStyle w:val="Hyperlink"/>
            <w:rFonts w:cstheme="minorHAnsi"/>
          </w:rPr>
          <w:t>+32 498 86 80 79</w:t>
        </w:r>
      </w:hyperlink>
      <w:r w:rsidRPr="008D443F">
        <w:rPr>
          <w:rFonts w:cstheme="minorHAnsi"/>
        </w:rPr>
        <w:t> </w:t>
      </w:r>
      <w:r w:rsidRPr="008D443F">
        <w:rPr>
          <w:rFonts w:cstheme="minorHAnsi"/>
        </w:rPr>
        <w:br/>
      </w:r>
      <w:hyperlink r:id="rId14" w:tgtFrame="_blank" w:history="1">
        <w:r w:rsidRPr="008D443F">
          <w:rPr>
            <w:rStyle w:val="Hyperlink"/>
            <w:rFonts w:cstheme="minorHAnsi"/>
          </w:rPr>
          <w:t>info@meditechinsights.com</w:t>
        </w:r>
      </w:hyperlink>
      <w:r w:rsidRPr="008D443F">
        <w:rPr>
          <w:rFonts w:cstheme="minorHAnsi"/>
        </w:rPr>
        <w:t> </w:t>
      </w:r>
    </w:p>
    <w:p w14:paraId="248954FC" w14:textId="77777777" w:rsidR="00FF6031" w:rsidRDefault="00FF6031"/>
    <w:sectPr w:rsidR="00FF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265CC"/>
    <w:multiLevelType w:val="multilevel"/>
    <w:tmpl w:val="43B61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D30BD"/>
    <w:multiLevelType w:val="multilevel"/>
    <w:tmpl w:val="21307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62875"/>
    <w:multiLevelType w:val="hybridMultilevel"/>
    <w:tmpl w:val="A346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789D"/>
    <w:multiLevelType w:val="hybridMultilevel"/>
    <w:tmpl w:val="E95AD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D72DF"/>
    <w:multiLevelType w:val="multilevel"/>
    <w:tmpl w:val="5F06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129AE"/>
    <w:multiLevelType w:val="multilevel"/>
    <w:tmpl w:val="4014C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353008">
    <w:abstractNumId w:val="0"/>
  </w:num>
  <w:num w:numId="2" w16cid:durableId="1014068746">
    <w:abstractNumId w:val="5"/>
  </w:num>
  <w:num w:numId="3" w16cid:durableId="339356517">
    <w:abstractNumId w:val="1"/>
  </w:num>
  <w:num w:numId="4" w16cid:durableId="221184253">
    <w:abstractNumId w:val="4"/>
  </w:num>
  <w:num w:numId="5" w16cid:durableId="1032072516">
    <w:abstractNumId w:val="2"/>
  </w:num>
  <w:num w:numId="6" w16cid:durableId="1133521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C0"/>
    <w:rsid w:val="007020EA"/>
    <w:rsid w:val="008A6403"/>
    <w:rsid w:val="008D3AC0"/>
    <w:rsid w:val="008D443F"/>
    <w:rsid w:val="00BD724F"/>
    <w:rsid w:val="00C23A9A"/>
    <w:rsid w:val="00C4657D"/>
    <w:rsid w:val="00D0512A"/>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F40E"/>
  <w15:chartTrackingRefBased/>
  <w15:docId w15:val="{01571FC2-BD86-464B-8CD3-E1F0E84D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AC0"/>
    <w:rPr>
      <w:rFonts w:eastAsiaTheme="majorEastAsia" w:cstheme="majorBidi"/>
      <w:color w:val="272727" w:themeColor="text1" w:themeTint="D8"/>
    </w:rPr>
  </w:style>
  <w:style w:type="paragraph" w:styleId="Title">
    <w:name w:val="Title"/>
    <w:basedOn w:val="Normal"/>
    <w:next w:val="Normal"/>
    <w:link w:val="TitleChar"/>
    <w:uiPriority w:val="10"/>
    <w:qFormat/>
    <w:rsid w:val="008D3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AC0"/>
    <w:pPr>
      <w:spacing w:before="160"/>
      <w:jc w:val="center"/>
    </w:pPr>
    <w:rPr>
      <w:i/>
      <w:iCs/>
      <w:color w:val="404040" w:themeColor="text1" w:themeTint="BF"/>
    </w:rPr>
  </w:style>
  <w:style w:type="character" w:customStyle="1" w:styleId="QuoteChar">
    <w:name w:val="Quote Char"/>
    <w:basedOn w:val="DefaultParagraphFont"/>
    <w:link w:val="Quote"/>
    <w:uiPriority w:val="29"/>
    <w:rsid w:val="008D3AC0"/>
    <w:rPr>
      <w:i/>
      <w:iCs/>
      <w:color w:val="404040" w:themeColor="text1" w:themeTint="BF"/>
    </w:rPr>
  </w:style>
  <w:style w:type="paragraph" w:styleId="ListParagraph">
    <w:name w:val="List Paragraph"/>
    <w:basedOn w:val="Normal"/>
    <w:uiPriority w:val="34"/>
    <w:qFormat/>
    <w:rsid w:val="008D3AC0"/>
    <w:pPr>
      <w:ind w:left="720"/>
      <w:contextualSpacing/>
    </w:pPr>
  </w:style>
  <w:style w:type="character" w:styleId="IntenseEmphasis">
    <w:name w:val="Intense Emphasis"/>
    <w:basedOn w:val="DefaultParagraphFont"/>
    <w:uiPriority w:val="21"/>
    <w:qFormat/>
    <w:rsid w:val="008D3AC0"/>
    <w:rPr>
      <w:i/>
      <w:iCs/>
      <w:color w:val="2F5496" w:themeColor="accent1" w:themeShade="BF"/>
    </w:rPr>
  </w:style>
  <w:style w:type="paragraph" w:styleId="IntenseQuote">
    <w:name w:val="Intense Quote"/>
    <w:basedOn w:val="Normal"/>
    <w:next w:val="Normal"/>
    <w:link w:val="IntenseQuoteChar"/>
    <w:uiPriority w:val="30"/>
    <w:qFormat/>
    <w:rsid w:val="008D3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AC0"/>
    <w:rPr>
      <w:i/>
      <w:iCs/>
      <w:color w:val="2F5496" w:themeColor="accent1" w:themeShade="BF"/>
    </w:rPr>
  </w:style>
  <w:style w:type="character" w:styleId="IntenseReference">
    <w:name w:val="Intense Reference"/>
    <w:basedOn w:val="DefaultParagraphFont"/>
    <w:uiPriority w:val="32"/>
    <w:qFormat/>
    <w:rsid w:val="008D3AC0"/>
    <w:rPr>
      <w:b/>
      <w:bCs/>
      <w:smallCaps/>
      <w:color w:val="2F5496" w:themeColor="accent1" w:themeShade="BF"/>
      <w:spacing w:val="5"/>
    </w:rPr>
  </w:style>
  <w:style w:type="character" w:styleId="Hyperlink">
    <w:name w:val="Hyperlink"/>
    <w:basedOn w:val="DefaultParagraphFont"/>
    <w:uiPriority w:val="99"/>
    <w:unhideWhenUsed/>
    <w:rsid w:val="00C4657D"/>
    <w:rPr>
      <w:color w:val="0563C1" w:themeColor="hyperlink"/>
      <w:u w:val="single"/>
    </w:rPr>
  </w:style>
  <w:style w:type="character" w:styleId="UnresolvedMention">
    <w:name w:val="Unresolved Mention"/>
    <w:basedOn w:val="DefaultParagraphFont"/>
    <w:uiPriority w:val="99"/>
    <w:semiHidden/>
    <w:unhideWhenUsed/>
    <w:rsid w:val="00C4657D"/>
    <w:rPr>
      <w:color w:val="605E5C"/>
      <w:shd w:val="clear" w:color="auto" w:fill="E1DFDD"/>
    </w:rPr>
  </w:style>
  <w:style w:type="paragraph" w:customStyle="1" w:styleId="paragraph">
    <w:name w:val="paragraph"/>
    <w:basedOn w:val="Normal"/>
    <w:rsid w:val="008D443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D443F"/>
  </w:style>
  <w:style w:type="character" w:customStyle="1" w:styleId="eop">
    <w:name w:val="eop"/>
    <w:basedOn w:val="DefaultParagraphFont"/>
    <w:rsid w:val="008D443F"/>
  </w:style>
  <w:style w:type="paragraph" w:styleId="NormalWeb">
    <w:name w:val="Normal (Web)"/>
    <w:basedOn w:val="Normal"/>
    <w:uiPriority w:val="99"/>
    <w:semiHidden/>
    <w:unhideWhenUsed/>
    <w:rsid w:val="00BD72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724F"/>
    <w:rPr>
      <w:b/>
      <w:bCs/>
    </w:rPr>
  </w:style>
  <w:style w:type="character" w:styleId="Emphasis">
    <w:name w:val="Emphasis"/>
    <w:basedOn w:val="DefaultParagraphFont"/>
    <w:uiPriority w:val="20"/>
    <w:qFormat/>
    <w:rsid w:val="00BD72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techinsights.com/gastrointestinal-devices-medtech-market/request-sample/" TargetMode="External"/><Relationship Id="rId13" Type="http://schemas.openxmlformats.org/officeDocument/2006/relationships/hyperlink" Target="tel:+32%20498%2086%2080%2079" TargetMode="External"/><Relationship Id="rId3" Type="http://schemas.openxmlformats.org/officeDocument/2006/relationships/settings" Target="settings.xml"/><Relationship Id="rId7" Type="http://schemas.openxmlformats.org/officeDocument/2006/relationships/hyperlink" Target="https://meditechinsights.com/gastrointestinal-devices-medtech-market/request-sample/" TargetMode="External"/><Relationship Id="rId12" Type="http://schemas.openxmlformats.org/officeDocument/2006/relationships/hyperlink" Target="https://meditechinsights.com/cmf-craniomaxillofacial-devices-mark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techinsights.com/gastrointestinal-devices-medtech-market/request-sample/" TargetMode="External"/><Relationship Id="rId11" Type="http://schemas.openxmlformats.org/officeDocument/2006/relationships/hyperlink" Target="https://meditechinsights.com/cell-and-gene-therapy-cdmo-market/" TargetMode="External"/><Relationship Id="rId5" Type="http://schemas.openxmlformats.org/officeDocument/2006/relationships/hyperlink" Target="https://meditechinsights.com/gastrointestinal-devices-medtech-market/" TargetMode="External"/><Relationship Id="rId15" Type="http://schemas.openxmlformats.org/officeDocument/2006/relationships/fontTable" Target="fontTable.xml"/><Relationship Id="rId10" Type="http://schemas.openxmlformats.org/officeDocument/2006/relationships/hyperlink" Target="https://meditechinsights.com/surgical-instrument-tracking-systems-market/" TargetMode="External"/><Relationship Id="rId4" Type="http://schemas.openxmlformats.org/officeDocument/2006/relationships/webSettings" Target="webSettings.xml"/><Relationship Id="rId9" Type="http://schemas.openxmlformats.org/officeDocument/2006/relationships/hyperlink" Target="https://meditechinsights.com/global-drug-screening-market/" TargetMode="External"/><Relationship Id="rId14" Type="http://schemas.openxmlformats.org/officeDocument/2006/relationships/hyperlink" Target="mailto:info@meditechins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Belsare</dc:creator>
  <cp:keywords/>
  <dc:description/>
  <cp:lastModifiedBy>Ankita Belsare</cp:lastModifiedBy>
  <cp:revision>3</cp:revision>
  <dcterms:created xsi:type="dcterms:W3CDTF">2025-10-17T12:29:00Z</dcterms:created>
  <dcterms:modified xsi:type="dcterms:W3CDTF">2025-10-17T12:32:00Z</dcterms:modified>
</cp:coreProperties>
</file>