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4F75" w14:textId="77777777" w:rsidR="00B826BA" w:rsidRDefault="00E96667">
      <w:pPr>
        <w:jc w:val="center"/>
      </w:pPr>
      <w:r>
        <w:t>196 FERC ¶ 61,231</w:t>
      </w:r>
    </w:p>
    <w:p w14:paraId="4B6CEA08" w14:textId="60C38443" w:rsidR="004A5408" w:rsidRPr="00CD0B38" w:rsidRDefault="004A5408" w:rsidP="0027626B">
      <w:pPr>
        <w:jc w:val="center"/>
      </w:pPr>
      <w:r>
        <w:rPr>
          <w:b/>
        </w:rPr>
        <w:fldChar w:fldCharType="begin"/>
      </w:r>
      <w:r>
        <w:rPr>
          <w:b/>
        </w:rPr>
        <w:instrText xml:space="preserve"> MACROBUTTON  AcceptAllChangesInDoc </w:instrText>
      </w:r>
      <w:r>
        <w:rPr>
          <w:b/>
        </w:rPr>
        <w:fldChar w:fldCharType="end"/>
      </w:r>
      <w:r w:rsidRPr="00CD0B38">
        <w:t>UNITED STATES OF AMERICA</w:t>
      </w:r>
    </w:p>
    <w:p w14:paraId="2C5B0AA0" w14:textId="77777777" w:rsidR="004A5408" w:rsidRPr="00CD0B38" w:rsidRDefault="004A5408">
      <w:pPr>
        <w:jc w:val="center"/>
      </w:pPr>
      <w:r w:rsidRPr="00CD0B38">
        <w:t>FEDERAL ENERGY REGULATORY COMMISSION</w:t>
      </w:r>
    </w:p>
    <w:p w14:paraId="3BB36E2C" w14:textId="77777777" w:rsidR="004A5408" w:rsidRPr="00CD0B38" w:rsidRDefault="004A5408"/>
    <w:p w14:paraId="6D9663DA" w14:textId="08825514" w:rsidR="004A5408" w:rsidRPr="0027626B" w:rsidRDefault="0027626B" w:rsidP="0027626B">
      <w:pPr>
        <w:widowControl/>
      </w:pPr>
      <w:r w:rsidRPr="0027626B">
        <w:t>Before Commissioners:  Laura V. Swett, Chairman;</w:t>
      </w:r>
    </w:p>
    <w:p w14:paraId="1500017A" w14:textId="3C455C65" w:rsidR="0027626B" w:rsidRPr="0027626B" w:rsidRDefault="0027626B" w:rsidP="0027626B">
      <w:pPr>
        <w:widowControl/>
      </w:pPr>
      <w:r w:rsidRPr="0027626B">
        <w:t xml:space="preserve">                                        David Rosner, Lindsay S. See,</w:t>
      </w:r>
    </w:p>
    <w:p w14:paraId="443DBBCC" w14:textId="0F5A6152" w:rsidR="0027626B" w:rsidRPr="00CD0B38" w:rsidRDefault="0027626B" w:rsidP="0027626B">
      <w:pPr>
        <w:widowControl/>
      </w:pPr>
      <w:r w:rsidRPr="0027626B">
        <w:t xml:space="preserve">                                        Judy W. Chang, and David LaCerte.</w:t>
      </w:r>
    </w:p>
    <w:p w14:paraId="3D81822E" w14:textId="77777777" w:rsidR="004A5408" w:rsidRPr="00CD0B38" w:rsidRDefault="004A540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8"/>
        <w:gridCol w:w="1532"/>
        <w:gridCol w:w="1890"/>
      </w:tblGrid>
      <w:tr w:rsidR="004A5408" w:rsidRPr="00CD0B38" w14:paraId="70637D81" w14:textId="77777777" w:rsidTr="004A5408">
        <w:tc>
          <w:tcPr>
            <w:tcW w:w="6088" w:type="dxa"/>
          </w:tcPr>
          <w:p w14:paraId="588AE1E6" w14:textId="77777777" w:rsidR="004A5408" w:rsidRDefault="004A5408">
            <w:pPr>
              <w:widowControl/>
              <w:autoSpaceDE/>
              <w:autoSpaceDN/>
              <w:adjustRightInd/>
              <w:rPr>
                <w:rFonts w:eastAsiaTheme="minorHAnsi" w:cstheme="minorBidi"/>
                <w:szCs w:val="22"/>
              </w:rPr>
            </w:pPr>
            <w:r>
              <w:rPr>
                <w:rFonts w:eastAsiaTheme="minorHAnsi" w:cstheme="minorBidi"/>
                <w:szCs w:val="22"/>
              </w:rPr>
              <w:t xml:space="preserve">Oklo Inc. </w:t>
            </w:r>
          </w:p>
          <w:p w14:paraId="6EBEDBBF" w14:textId="77777777" w:rsidR="004A5408" w:rsidRDefault="004A5408">
            <w:pPr>
              <w:widowControl/>
              <w:autoSpaceDE/>
              <w:autoSpaceDN/>
              <w:adjustRightInd/>
              <w:rPr>
                <w:rFonts w:eastAsiaTheme="minorHAnsi" w:cstheme="minorBidi"/>
                <w:szCs w:val="22"/>
              </w:rPr>
            </w:pPr>
          </w:p>
          <w:p w14:paraId="41353E04" w14:textId="59B60765" w:rsidR="004A5408" w:rsidRDefault="004A5408">
            <w:pPr>
              <w:widowControl/>
              <w:autoSpaceDE/>
              <w:autoSpaceDN/>
              <w:adjustRightInd/>
              <w:rPr>
                <w:rFonts w:eastAsiaTheme="minorHAnsi" w:cstheme="minorBidi"/>
                <w:szCs w:val="22"/>
              </w:rPr>
            </w:pPr>
            <w:r>
              <w:rPr>
                <w:rFonts w:eastAsiaTheme="minorHAnsi" w:cstheme="minorBidi"/>
                <w:szCs w:val="22"/>
              </w:rPr>
              <w:t xml:space="preserve">          v. </w:t>
            </w:r>
          </w:p>
          <w:p w14:paraId="3363CF9D" w14:textId="77777777" w:rsidR="004A5408" w:rsidRDefault="004A5408">
            <w:pPr>
              <w:widowControl/>
              <w:autoSpaceDE/>
              <w:autoSpaceDN/>
              <w:adjustRightInd/>
              <w:rPr>
                <w:rFonts w:eastAsiaTheme="minorHAnsi" w:cstheme="minorBidi"/>
                <w:szCs w:val="22"/>
              </w:rPr>
            </w:pPr>
          </w:p>
          <w:p w14:paraId="2C6BEC6A" w14:textId="3299050F" w:rsidR="004A5408" w:rsidRPr="00CD0B38" w:rsidRDefault="004A5408">
            <w:pPr>
              <w:widowControl/>
              <w:autoSpaceDE/>
              <w:autoSpaceDN/>
              <w:adjustRightInd/>
              <w:rPr>
                <w:rFonts w:eastAsiaTheme="minorHAnsi" w:cstheme="minorBidi"/>
                <w:szCs w:val="22"/>
              </w:rPr>
            </w:pPr>
            <w:r>
              <w:rPr>
                <w:rFonts w:eastAsiaTheme="minorHAnsi" w:cstheme="minorBidi"/>
                <w:szCs w:val="22"/>
              </w:rPr>
              <w:t>PJM Interconnection, L.L.C.</w:t>
            </w:r>
          </w:p>
        </w:tc>
        <w:tc>
          <w:tcPr>
            <w:tcW w:w="1560" w:type="dxa"/>
          </w:tcPr>
          <w:p w14:paraId="43595FD8" w14:textId="469BC7DF" w:rsidR="004A5408" w:rsidRPr="00CD0B38" w:rsidRDefault="004A5408" w:rsidP="004A5408">
            <w:pPr>
              <w:widowControl/>
              <w:autoSpaceDE/>
              <w:autoSpaceDN/>
              <w:adjustRightInd/>
              <w:jc w:val="right"/>
              <w:rPr>
                <w:rFonts w:eastAsiaTheme="minorHAnsi" w:cstheme="minorBidi"/>
                <w:szCs w:val="22"/>
              </w:rPr>
            </w:pPr>
            <w:r>
              <w:rPr>
                <w:rFonts w:eastAsiaTheme="minorHAnsi" w:cstheme="minorBidi"/>
                <w:szCs w:val="22"/>
              </w:rPr>
              <w:t>Docket No.</w:t>
            </w:r>
          </w:p>
        </w:tc>
        <w:tc>
          <w:tcPr>
            <w:tcW w:w="1928" w:type="dxa"/>
            <w:tcMar>
              <w:left w:w="144" w:type="dxa"/>
            </w:tcMar>
          </w:tcPr>
          <w:p w14:paraId="56BECA4B" w14:textId="018FF162" w:rsidR="004A5408" w:rsidRPr="00CD0B38" w:rsidRDefault="0027626B">
            <w:pPr>
              <w:widowControl/>
              <w:autoSpaceDE/>
              <w:autoSpaceDN/>
              <w:adjustRightInd/>
              <w:ind w:hanging="150"/>
              <w:rPr>
                <w:rFonts w:eastAsiaTheme="minorHAnsi" w:cstheme="minorBidi"/>
                <w:szCs w:val="22"/>
              </w:rPr>
            </w:pPr>
            <w:r>
              <w:rPr>
                <w:rFonts w:eastAsiaTheme="minorHAnsi" w:cstheme="minorBidi"/>
                <w:szCs w:val="22"/>
              </w:rPr>
              <w:t xml:space="preserve"> </w:t>
            </w:r>
            <w:r w:rsidR="004A5408">
              <w:rPr>
                <w:rFonts w:eastAsiaTheme="minorHAnsi" w:cstheme="minorBidi"/>
                <w:szCs w:val="22"/>
              </w:rPr>
              <w:t>EL26-101-000</w:t>
            </w:r>
          </w:p>
        </w:tc>
      </w:tr>
    </w:tbl>
    <w:p w14:paraId="33D2AB09" w14:textId="77777777" w:rsidR="004A5408" w:rsidRPr="00CD0B38" w:rsidRDefault="004A5408">
      <w:pPr>
        <w:jc w:val="center"/>
      </w:pPr>
    </w:p>
    <w:p w14:paraId="567324DD" w14:textId="582E0995" w:rsidR="004A5408" w:rsidRPr="00CD0B38" w:rsidRDefault="00895FFE">
      <w:pPr>
        <w:jc w:val="center"/>
      </w:pPr>
      <w:r>
        <w:t xml:space="preserve">ORDER </w:t>
      </w:r>
      <w:r w:rsidRPr="00196DF0">
        <w:t>DENYIN</w:t>
      </w:r>
      <w:r w:rsidR="00667668" w:rsidRPr="00196DF0">
        <w:t>G</w:t>
      </w:r>
      <w:r w:rsidR="00667668">
        <w:t xml:space="preserve"> COMPLAINT</w:t>
      </w:r>
    </w:p>
    <w:p w14:paraId="1A5A1053" w14:textId="77777777" w:rsidR="004A5408" w:rsidRPr="00CD0B38" w:rsidRDefault="004A5408">
      <w:pPr>
        <w:jc w:val="center"/>
      </w:pPr>
    </w:p>
    <w:p w14:paraId="49BD8AE7" w14:textId="4D56B244" w:rsidR="0027626B" w:rsidRPr="0027626B" w:rsidRDefault="004A5408" w:rsidP="0027626B">
      <w:pPr>
        <w:widowControl/>
        <w:jc w:val="center"/>
      </w:pPr>
      <w:r w:rsidRPr="0027626B">
        <w:t>(</w:t>
      </w:r>
      <w:r w:rsidRPr="0027626B">
        <w:fldChar w:fldCharType="begin"/>
      </w:r>
      <w:r w:rsidRPr="0027626B">
        <w:instrText xml:space="preserve"> MACROBUTTON  AcceptAllChangesInDoc </w:instrText>
      </w:r>
      <w:r w:rsidRPr="0027626B">
        <w:fldChar w:fldCharType="end"/>
      </w:r>
      <w:r w:rsidR="0027626B" w:rsidRPr="0027626B">
        <w:t>Issued September 24, 2026)</w:t>
      </w:r>
    </w:p>
    <w:p w14:paraId="4CC2DBE0" w14:textId="77777777" w:rsidR="004A5408" w:rsidRPr="00C26B1C" w:rsidRDefault="004A5408">
      <w:pPr>
        <w:rPr>
          <w:bCs/>
        </w:rPr>
      </w:pPr>
    </w:p>
    <w:p w14:paraId="150664EF" w14:textId="70E9A713" w:rsidR="005E01E9" w:rsidRDefault="0054035B" w:rsidP="00D85134">
      <w:pPr>
        <w:pStyle w:val="FERCparanumber"/>
      </w:pPr>
      <w:r>
        <w:t xml:space="preserve">On </w:t>
      </w:r>
      <w:r w:rsidR="009D6E38">
        <w:t xml:space="preserve">August </w:t>
      </w:r>
      <w:r w:rsidR="00924231">
        <w:t xml:space="preserve">28, 2026, as </w:t>
      </w:r>
      <w:r w:rsidR="008113C8" w:rsidRPr="00D13AB7">
        <w:t>revised</w:t>
      </w:r>
      <w:r w:rsidR="008113C8">
        <w:t xml:space="preserve"> on September 1, 2026,</w:t>
      </w:r>
      <w:r w:rsidR="00C82E6F">
        <w:rPr>
          <w:rStyle w:val="FootnoteReference"/>
        </w:rPr>
        <w:footnoteReference w:id="2"/>
      </w:r>
      <w:r w:rsidR="008113C8">
        <w:t xml:space="preserve"> </w:t>
      </w:r>
      <w:r w:rsidR="000C5BFB">
        <w:t>Oklo Inc. (Oklo)</w:t>
      </w:r>
      <w:r w:rsidR="00A20E10">
        <w:t xml:space="preserve"> </w:t>
      </w:r>
      <w:r w:rsidR="004E164B">
        <w:t>filed a complaint against PJM Interconnection, L.L.C.</w:t>
      </w:r>
      <w:r w:rsidR="008113C8">
        <w:t xml:space="preserve"> </w:t>
      </w:r>
      <w:r w:rsidR="00190361">
        <w:t xml:space="preserve">(PJM) </w:t>
      </w:r>
      <w:r w:rsidR="00554E09">
        <w:t xml:space="preserve">pursuant to sections </w:t>
      </w:r>
      <w:r w:rsidR="00554E09" w:rsidRPr="00554E09">
        <w:t>206, 306, and 309 of the Federal Power Act</w:t>
      </w:r>
      <w:r w:rsidR="00A94664">
        <w:t xml:space="preserve"> (FPA)</w:t>
      </w:r>
      <w:r w:rsidR="00FA10C1">
        <w:rPr>
          <w:rStyle w:val="FootnoteReference"/>
        </w:rPr>
        <w:footnoteReference w:id="3"/>
      </w:r>
      <w:r w:rsidR="00E538FA">
        <w:t xml:space="preserve"> and Rule 206 of the Commission’s Rules of Practice and Procedure.</w:t>
      </w:r>
      <w:r w:rsidR="00E538FA">
        <w:rPr>
          <w:rStyle w:val="FootnoteReference"/>
        </w:rPr>
        <w:footnoteReference w:id="4"/>
      </w:r>
      <w:r w:rsidR="00360D9A">
        <w:t xml:space="preserve">  Oklo alleges that </w:t>
      </w:r>
      <w:r w:rsidR="00272E86">
        <w:t xml:space="preserve">PJM </w:t>
      </w:r>
      <w:r w:rsidR="004A3078">
        <w:t>unlawfully administered the interconnection process in its Open Access Transmission Tariff (Tariff)</w:t>
      </w:r>
      <w:r w:rsidR="00002511">
        <w:rPr>
          <w:rStyle w:val="FootnoteReference"/>
        </w:rPr>
        <w:footnoteReference w:id="5"/>
      </w:r>
      <w:r w:rsidR="000C66D2">
        <w:t xml:space="preserve"> </w:t>
      </w:r>
      <w:r w:rsidR="00872616">
        <w:t>to Oklo’s</w:t>
      </w:r>
      <w:r w:rsidR="00AA4131">
        <w:t xml:space="preserve"> </w:t>
      </w:r>
      <w:r w:rsidR="0027626B">
        <w:t xml:space="preserve">              </w:t>
      </w:r>
      <w:r w:rsidR="00AA4131">
        <w:t>750 megawatt (MW) mixed technology project (Project)</w:t>
      </w:r>
      <w:r w:rsidR="001E1A72">
        <w:t xml:space="preserve"> and unjustifiably withdrew the Project from Cycle 01.</w:t>
      </w:r>
      <w:r w:rsidR="005D7D0C">
        <w:rPr>
          <w:rStyle w:val="FootnoteReference"/>
        </w:rPr>
        <w:footnoteReference w:id="6"/>
      </w:r>
      <w:r w:rsidR="00D85134">
        <w:t xml:space="preserve">  </w:t>
      </w:r>
      <w:r w:rsidR="005E01E9" w:rsidRPr="007955A3">
        <w:t xml:space="preserve">Oklo </w:t>
      </w:r>
      <w:r w:rsidR="004B59CC" w:rsidRPr="007955A3">
        <w:t xml:space="preserve">also </w:t>
      </w:r>
      <w:r w:rsidR="005E01E9" w:rsidRPr="007955A3">
        <w:t>seeks waiver</w:t>
      </w:r>
      <w:r w:rsidR="0028624F" w:rsidRPr="007955A3">
        <w:t xml:space="preserve"> of provisions deemed necessary by the Commission</w:t>
      </w:r>
      <w:r w:rsidR="00D63D77" w:rsidRPr="007955A3">
        <w:t xml:space="preserve"> to effectuate the Project’s reinstatement and inclusion in Cycle 01 with </w:t>
      </w:r>
      <w:r w:rsidR="00D63D77" w:rsidRPr="007955A3">
        <w:lastRenderedPageBreak/>
        <w:t>minimal disruption and delay</w:t>
      </w:r>
      <w:r w:rsidR="00D63D77">
        <w:t>.</w:t>
      </w:r>
      <w:r w:rsidR="003E2535">
        <w:rPr>
          <w:rStyle w:val="FootnoteReference"/>
        </w:rPr>
        <w:footnoteReference w:id="7"/>
      </w:r>
      <w:r w:rsidR="003769A9">
        <w:t xml:space="preserve">  In this order, we </w:t>
      </w:r>
      <w:r w:rsidR="00A402F3" w:rsidRPr="008960A3">
        <w:t>deny</w:t>
      </w:r>
      <w:r w:rsidR="000F48EB">
        <w:t xml:space="preserve"> the </w:t>
      </w:r>
      <w:r w:rsidR="00BD2D86">
        <w:t>c</w:t>
      </w:r>
      <w:r w:rsidR="000F48EB">
        <w:t>omplaint</w:t>
      </w:r>
      <w:r w:rsidR="00F12F88">
        <w:t xml:space="preserve"> and dismiss as moot the waiver request</w:t>
      </w:r>
      <w:r w:rsidR="00DB1BCC">
        <w:t>, as discussed below</w:t>
      </w:r>
      <w:r w:rsidR="000F48EB">
        <w:t>.</w:t>
      </w:r>
      <w:r w:rsidR="003769A9">
        <w:t xml:space="preserve"> </w:t>
      </w:r>
      <w:r w:rsidR="005E01E9">
        <w:t xml:space="preserve"> </w:t>
      </w:r>
    </w:p>
    <w:p w14:paraId="7B567D4B" w14:textId="77777777" w:rsidR="00605965" w:rsidRDefault="00605965" w:rsidP="00605965">
      <w:pPr>
        <w:pStyle w:val="Heading1"/>
      </w:pPr>
      <w:r>
        <w:t>Background</w:t>
      </w:r>
    </w:p>
    <w:p w14:paraId="74232E82" w14:textId="2162757E" w:rsidR="00521EAA" w:rsidRPr="00521EAA" w:rsidRDefault="005D252D" w:rsidP="005D252D">
      <w:pPr>
        <w:pStyle w:val="FERCparanumber"/>
      </w:pPr>
      <w:r w:rsidRPr="005D252D">
        <w:t>Pursuant to Part VIII.B, section 403 of the Tariff, a project developer that seeks to initiate a New Service Request for interconnection service must submit a completed Application to PJM prior to the Cycle’s Application Deadline.  After the close of the Application Deadline, PJM “will exercise Reasonable Efforts to inform Applicant of Application deficiencies within 15 Business Days after the Application Deadline,” and the Applicant “has 10 Business Days to respond” to PJM’s deficiency determination.</w:t>
      </w:r>
      <w:r w:rsidRPr="005D252D">
        <w:rPr>
          <w:b/>
          <w:vertAlign w:val="superscript"/>
        </w:rPr>
        <w:footnoteReference w:id="8"/>
      </w:r>
      <w:r w:rsidRPr="005D252D">
        <w:t xml:space="preserve">  PJM will then “exercise Reasonable Efforts to review Applicant’s response within </w:t>
      </w:r>
      <w:r w:rsidR="00AC2EC1">
        <w:t xml:space="preserve">        </w:t>
      </w:r>
      <w:r w:rsidRPr="005D252D">
        <w:t>15 Business Days, and then will either validate or reject the Application.”</w:t>
      </w:r>
      <w:r w:rsidRPr="005D252D">
        <w:rPr>
          <w:b/>
          <w:vertAlign w:val="superscript"/>
        </w:rPr>
        <w:footnoteReference w:id="9"/>
      </w:r>
    </w:p>
    <w:p w14:paraId="03428B80" w14:textId="76649874" w:rsidR="00BB6E52" w:rsidRDefault="00F05D7F" w:rsidP="00605965">
      <w:pPr>
        <w:pStyle w:val="Heading1"/>
      </w:pPr>
      <w:r>
        <w:t xml:space="preserve">Oklo’s </w:t>
      </w:r>
      <w:r w:rsidR="00605965">
        <w:t>Complaint</w:t>
      </w:r>
    </w:p>
    <w:p w14:paraId="51CF1309" w14:textId="3C509E49" w:rsidR="00586ECE" w:rsidRDefault="00586ECE" w:rsidP="00DF65F7">
      <w:pPr>
        <w:pStyle w:val="FERCparanumber"/>
      </w:pPr>
      <w:r>
        <w:t xml:space="preserve">Oklo states that it is an advanced nuclear technology company </w:t>
      </w:r>
      <w:r w:rsidR="001D0B98">
        <w:t>that develops next</w:t>
      </w:r>
      <w:r w:rsidR="006D3660">
        <w:t xml:space="preserve"> </w:t>
      </w:r>
      <w:r w:rsidR="001D0B98">
        <w:t>generation fission powerhouses</w:t>
      </w:r>
      <w:r w:rsidR="00C60186">
        <w:t>, and</w:t>
      </w:r>
      <w:r w:rsidR="00092E53">
        <w:t xml:space="preserve"> </w:t>
      </w:r>
      <w:r w:rsidR="001D0B98">
        <w:t>several arms of the federal gov</w:t>
      </w:r>
      <w:r w:rsidR="00855DBE">
        <w:t>ernment have independently selected Oklo to support national efforts to accelerate the deployment o</w:t>
      </w:r>
      <w:r w:rsidR="00E53F73">
        <w:t>f a</w:t>
      </w:r>
      <w:r w:rsidR="00D65272">
        <w:t xml:space="preserve">dvanced nuclear </w:t>
      </w:r>
      <w:r w:rsidR="00747A45">
        <w:t>facilities.</w:t>
      </w:r>
      <w:r w:rsidR="00C60186">
        <w:rPr>
          <w:rStyle w:val="FootnoteReference"/>
        </w:rPr>
        <w:footnoteReference w:id="10"/>
      </w:r>
      <w:r w:rsidR="00DF65F7">
        <w:t xml:space="preserve">  </w:t>
      </w:r>
      <w:r w:rsidR="006B25CB">
        <w:t>Oklo states that the Project is a multi-fuel type generator comprised of natural gas, fuel cell, and advanced nuclear generation.</w:t>
      </w:r>
      <w:r w:rsidR="00B075B7">
        <w:rPr>
          <w:rStyle w:val="FootnoteReference"/>
        </w:rPr>
        <w:footnoteReference w:id="11"/>
      </w:r>
      <w:r w:rsidR="0045219B">
        <w:t xml:space="preserve">  Oklo notes that while generators are typ</w:t>
      </w:r>
      <w:r w:rsidR="00CC2302">
        <w:t xml:space="preserve">ically either synchronous or inverter-based, the Project is unique because it contains both </w:t>
      </w:r>
      <w:r w:rsidR="002B2942">
        <w:t>inverter-based units and two different types of synchronous units</w:t>
      </w:r>
      <w:r w:rsidR="00E20B23">
        <w:t xml:space="preserve">.  Oklo states that </w:t>
      </w:r>
      <w:r w:rsidR="00921252">
        <w:t>multi-fuel design of the Project poses additional complexity from an interconnection perspective because the existing rules were not designed with the Project’s unique fuel mix in mind.</w:t>
      </w:r>
      <w:r w:rsidR="002B2942">
        <w:t xml:space="preserve"> </w:t>
      </w:r>
    </w:p>
    <w:p w14:paraId="3D5E76BB" w14:textId="550F16B9" w:rsidR="000A210D" w:rsidRDefault="00D1455C" w:rsidP="000A210D">
      <w:pPr>
        <w:pStyle w:val="FERCparanumber"/>
      </w:pPr>
      <w:r>
        <w:t>Oklo states that it submitted the Project for review in Cycle 01</w:t>
      </w:r>
      <w:r w:rsidR="00DF5CC8">
        <w:t>, and</w:t>
      </w:r>
      <w:r w:rsidR="00434543">
        <w:t xml:space="preserve"> that</w:t>
      </w:r>
      <w:r w:rsidR="00DF5CC8">
        <w:t xml:space="preserve"> the Project’s interconnection request included 150 MW of advanced nuclear generation, </w:t>
      </w:r>
      <w:r w:rsidR="00DE001E">
        <w:t xml:space="preserve">   </w:t>
      </w:r>
      <w:r w:rsidR="00DF5CC8">
        <w:lastRenderedPageBreak/>
        <w:t>300 MW of fuel cell generation, and 300 MW of natural gas generation.</w:t>
      </w:r>
      <w:r w:rsidR="00686B97">
        <w:rPr>
          <w:rStyle w:val="FootnoteReference"/>
        </w:rPr>
        <w:footnoteReference w:id="12"/>
      </w:r>
      <w:r w:rsidR="00174794">
        <w:t xml:space="preserve">  </w:t>
      </w:r>
      <w:r w:rsidR="00C92682">
        <w:t>Ok</w:t>
      </w:r>
      <w:r w:rsidR="00443D53">
        <w:t>lo states that on April 27, 2026, it submitted and PJM confirmed receipt of the Project’s project data, signed agreement, and deposit information for consideration in PJM’s Cycle 01.</w:t>
      </w:r>
      <w:r w:rsidR="004874BE">
        <w:rPr>
          <w:rStyle w:val="FootnoteReference"/>
        </w:rPr>
        <w:footnoteReference w:id="13"/>
      </w:r>
      <w:r w:rsidR="00545567">
        <w:t xml:space="preserve">  Oklo states that</w:t>
      </w:r>
      <w:r w:rsidR="00D26F18">
        <w:t xml:space="preserve"> PJM issued its first and only deficiency notice for the Project on May 15, 2026, identifying the following deficiencies</w:t>
      </w:r>
      <w:r w:rsidR="00D560AE">
        <w:t xml:space="preserve"> in six categ</w:t>
      </w:r>
      <w:r w:rsidR="00BD002B">
        <w:t xml:space="preserve">ories:  (1) transformer information; </w:t>
      </w:r>
      <w:r w:rsidR="00AC2EC1">
        <w:t xml:space="preserve">    </w:t>
      </w:r>
      <w:r w:rsidR="00BD002B">
        <w:t>(2) generator information; (3) project capability; (4) point of interconnection; (5) site control; and (6) short circuit data</w:t>
      </w:r>
      <w:r w:rsidR="00D26F18">
        <w:t xml:space="preserve"> (May 15 Deficiency Notice)</w:t>
      </w:r>
      <w:r w:rsidR="00D560AE">
        <w:t>.</w:t>
      </w:r>
      <w:r w:rsidR="008E45BF">
        <w:t xml:space="preserve">  Oklo states that</w:t>
      </w:r>
      <w:r w:rsidR="00610BCD">
        <w:t xml:space="preserve"> </w:t>
      </w:r>
      <w:r w:rsidR="00A8555C">
        <w:t>PJM directed Oklo to respond within 10 business days, and Oklo timely cured all six deficiencies.</w:t>
      </w:r>
      <w:r w:rsidR="003755A3">
        <w:t xml:space="preserve">  Oklo states that it explained to PJM that NextGen</w:t>
      </w:r>
      <w:r w:rsidR="0041293E">
        <w:rPr>
          <w:rStyle w:val="FootnoteReference"/>
        </w:rPr>
        <w:footnoteReference w:id="14"/>
      </w:r>
      <w:r w:rsidR="003755A3">
        <w:t xml:space="preserve"> did not have the correct parameters for the Project’s </w:t>
      </w:r>
      <w:r w:rsidR="00174794">
        <w:t>inverter-based</w:t>
      </w:r>
      <w:r w:rsidR="003755A3">
        <w:t xml:space="preserve"> resources and PJM responded with instructions for a workaround.</w:t>
      </w:r>
      <w:r w:rsidR="00F82BD0">
        <w:t xml:space="preserve">  </w:t>
      </w:r>
    </w:p>
    <w:p w14:paraId="20411A3B" w14:textId="40922ABA" w:rsidR="00D1455C" w:rsidRDefault="00F82BD0" w:rsidP="00BE3B41">
      <w:pPr>
        <w:pStyle w:val="FERCparanumber"/>
      </w:pPr>
      <w:r>
        <w:t>Oklo states that</w:t>
      </w:r>
      <w:r w:rsidR="00BA0568">
        <w:t>,</w:t>
      </w:r>
      <w:r>
        <w:t xml:space="preserve"> on June 9, 2026, PJM emailed Oklo a concern about the Project’s single line diagram, and Oklo</w:t>
      </w:r>
      <w:r w:rsidR="00554719">
        <w:t xml:space="preserve"> proposed a new configuration to address the concern</w:t>
      </w:r>
      <w:r w:rsidR="000A210D">
        <w:t>,</w:t>
      </w:r>
      <w:r w:rsidR="000A210D" w:rsidRPr="000A210D">
        <w:t xml:space="preserve"> </w:t>
      </w:r>
      <w:r w:rsidR="000A210D">
        <w:t>noting that NextGen did not provide an option to resubmit the data on the system and asking PJM to inform Oklo if PJM had any further questions or required additional action.</w:t>
      </w:r>
      <w:r w:rsidR="000A210D">
        <w:rPr>
          <w:rStyle w:val="FootnoteReference"/>
        </w:rPr>
        <w:footnoteReference w:id="15"/>
      </w:r>
      <w:r w:rsidR="00211853">
        <w:t xml:space="preserve">  On June 18, 2026, Oklo states that it received an automated notice that PJM had updated the Project’s </w:t>
      </w:r>
      <w:r w:rsidR="001A3419">
        <w:t>NextGen application to incorporate changes to the single line diagram.</w:t>
      </w:r>
      <w:r w:rsidR="00BF0DB3">
        <w:t xml:space="preserve">  On June 19, 2026, Oklo states that PJM notified Oklo that </w:t>
      </w:r>
      <w:r w:rsidR="007B72C1">
        <w:t>it</w:t>
      </w:r>
      <w:r w:rsidR="00BF0DB3">
        <w:t xml:space="preserve"> was preparing to schedule project scoping calls</w:t>
      </w:r>
      <w:r w:rsidR="007B72C1">
        <w:t xml:space="preserve">, which PJM explained Oklo </w:t>
      </w:r>
      <w:r w:rsidR="002A2A59">
        <w:t>could waive.  Oklo states that it responded that it did not waive its scoping meeting</w:t>
      </w:r>
      <w:r w:rsidR="004840C9">
        <w:t xml:space="preserve">; that Oklo </w:t>
      </w:r>
      <w:r w:rsidR="002A2A59">
        <w:t xml:space="preserve">asked PJM to schedule a </w:t>
      </w:r>
      <w:r w:rsidR="00251D5A">
        <w:t xml:space="preserve">scoping </w:t>
      </w:r>
      <w:r w:rsidR="002A2A59">
        <w:t>ca</w:t>
      </w:r>
      <w:r w:rsidR="00A72A71">
        <w:t>ll</w:t>
      </w:r>
      <w:r w:rsidR="004840C9" w:rsidRPr="004840C9">
        <w:t xml:space="preserve"> </w:t>
      </w:r>
      <w:r w:rsidR="004840C9">
        <w:t>on June 22, 2026</w:t>
      </w:r>
      <w:r w:rsidR="009B5908">
        <w:t>,</w:t>
      </w:r>
      <w:r w:rsidR="004840C9">
        <w:t xml:space="preserve"> and July 21, 2026</w:t>
      </w:r>
      <w:r w:rsidR="009B5908">
        <w:t>; and that</w:t>
      </w:r>
      <w:r w:rsidR="00572808">
        <w:t xml:space="preserve"> PJM never responded.</w:t>
      </w:r>
      <w:r w:rsidR="00BE3B41">
        <w:t xml:space="preserve">  </w:t>
      </w:r>
      <w:r w:rsidR="001A3419">
        <w:t>Oklo states that PJM’s lack of response to its email asking PJM to confirm whether any further action was needed indicated to Oklo that all deficiencies had been cured.</w:t>
      </w:r>
    </w:p>
    <w:p w14:paraId="6585EC15" w14:textId="55AE5FC7" w:rsidR="00BE3B41" w:rsidRDefault="00BE3B41" w:rsidP="00BE3B41">
      <w:pPr>
        <w:pStyle w:val="FERCparanumber"/>
      </w:pPr>
      <w:r>
        <w:t>Oklo states that</w:t>
      </w:r>
      <w:r w:rsidR="00E62ECF">
        <w:t>,</w:t>
      </w:r>
      <w:r>
        <w:t xml:space="preserve"> </w:t>
      </w:r>
      <w:r w:rsidR="003314B6">
        <w:t xml:space="preserve">on June 24, 2026, a member of PJM’s interconnection team posted a comment on the Project’s NextGen page identifying five additional, potential deficiencies </w:t>
      </w:r>
      <w:r w:rsidR="0069064E">
        <w:t xml:space="preserve">in three categories:  (1) failure to re-submit a dynamic modeling </w:t>
      </w:r>
      <w:r w:rsidR="008374E7">
        <w:t xml:space="preserve">development guidelines </w:t>
      </w:r>
      <w:r w:rsidR="0069064E">
        <w:t xml:space="preserve">(DMDG) report and checklist when Oklo submitted </w:t>
      </w:r>
      <w:r w:rsidR="00444F28">
        <w:t>its cure to the May</w:t>
      </w:r>
      <w:r w:rsidR="00DE001E">
        <w:t xml:space="preserve"> </w:t>
      </w:r>
      <w:r w:rsidR="00444F28">
        <w:t>15 Deficiency Notice</w:t>
      </w:r>
      <w:r w:rsidR="0069064E">
        <w:t xml:space="preserve">; (2) </w:t>
      </w:r>
      <w:r w:rsidR="00444F28">
        <w:t xml:space="preserve">three data inconsistencies; </w:t>
      </w:r>
      <w:r w:rsidR="0069064E">
        <w:t xml:space="preserve">and (3) </w:t>
      </w:r>
      <w:r w:rsidR="00444F28">
        <w:t xml:space="preserve">notice that PJM had found instability when performing a fault test for the entire Project </w:t>
      </w:r>
      <w:r w:rsidR="003314B6">
        <w:t xml:space="preserve">(June 24 Next Gen </w:t>
      </w:r>
      <w:r w:rsidR="003314B6">
        <w:lastRenderedPageBreak/>
        <w:t>Comments).</w:t>
      </w:r>
      <w:r w:rsidR="008A70A0">
        <w:rPr>
          <w:rStyle w:val="FootnoteReference"/>
        </w:rPr>
        <w:footnoteReference w:id="16"/>
      </w:r>
      <w:r w:rsidR="00834098">
        <w:t xml:space="preserve">  Oklo states that</w:t>
      </w:r>
      <w:r w:rsidR="003621E9">
        <w:t>,</w:t>
      </w:r>
      <w:r w:rsidR="00834098">
        <w:t xml:space="preserve"> on August 3, 2026, after six weeks of silence over email, PJM issued a </w:t>
      </w:r>
      <w:r w:rsidR="00BB1978">
        <w:t>W</w:t>
      </w:r>
      <w:r w:rsidR="00834098">
        <w:t xml:space="preserve">ithdrawal </w:t>
      </w:r>
      <w:r w:rsidR="00BB1978">
        <w:t>N</w:t>
      </w:r>
      <w:r w:rsidR="00834098">
        <w:t>otice exp</w:t>
      </w:r>
      <w:r w:rsidR="008C197A">
        <w:t xml:space="preserve">laining that the Project was deficient </w:t>
      </w:r>
      <w:r w:rsidR="00865AC9">
        <w:t xml:space="preserve">and, for the first time, </w:t>
      </w:r>
      <w:r w:rsidR="00053073">
        <w:t>emailing notice of its June 24 Next Gen Comments.</w:t>
      </w:r>
      <w:r w:rsidR="004B2BB2">
        <w:t xml:space="preserve">  Oklo states that it requested immediate reinstatement of the Project on August 4, 2026, noting that it did not receive notice that the Project was at risk of withdrawal and that it had cured every deficiency for which PJM issued a notice.</w:t>
      </w:r>
      <w:r w:rsidR="001505AC">
        <w:t xml:space="preserve">  Oklo states that PJM concluded that its decision was final.</w:t>
      </w:r>
      <w:r w:rsidR="006543F6">
        <w:rPr>
          <w:rStyle w:val="FootnoteReference"/>
        </w:rPr>
        <w:footnoteReference w:id="17"/>
      </w:r>
      <w:r w:rsidR="006543F6">
        <w:t xml:space="preserve">  Oklo states that it invoked dispute resolution</w:t>
      </w:r>
      <w:r w:rsidR="0000159E">
        <w:t>, but PJM and Oklo have been unable to reach a resolution.</w:t>
      </w:r>
      <w:r w:rsidR="0000159E">
        <w:rPr>
          <w:rStyle w:val="FootnoteReference"/>
        </w:rPr>
        <w:footnoteReference w:id="18"/>
      </w:r>
    </w:p>
    <w:p w14:paraId="4E8059D1" w14:textId="57C9DDC8" w:rsidR="001F6AB6" w:rsidRDefault="006472E1" w:rsidP="002C0F6F">
      <w:pPr>
        <w:pStyle w:val="FERCparanumber"/>
      </w:pPr>
      <w:r>
        <w:t xml:space="preserve">Oklo asserts that PJM’s </w:t>
      </w:r>
      <w:r w:rsidR="00395F0A">
        <w:t>review of the Project was unjust and unreasonable because</w:t>
      </w:r>
      <w:r w:rsidR="0098694D">
        <w:t xml:space="preserve"> PJM departed from its Tariff requirements to flag </w:t>
      </w:r>
      <w:r w:rsidR="009D0F2D">
        <w:t>deficiencies promptly and allow applicants an opportunity to cure.</w:t>
      </w:r>
      <w:r w:rsidR="009C7685">
        <w:rPr>
          <w:rStyle w:val="FootnoteReference"/>
        </w:rPr>
        <w:footnoteReference w:id="19"/>
      </w:r>
      <w:r w:rsidR="00E60DD5">
        <w:t xml:space="preserve">  Specifically, Oklo states that </w:t>
      </w:r>
      <w:r w:rsidR="00A17491">
        <w:t xml:space="preserve">the </w:t>
      </w:r>
      <w:r w:rsidR="006F4A4B">
        <w:t xml:space="preserve">Tariff requires </w:t>
      </w:r>
      <w:r w:rsidR="00A17491">
        <w:t>PJM</w:t>
      </w:r>
      <w:r w:rsidR="006F4A4B">
        <w:t xml:space="preserve"> to </w:t>
      </w:r>
      <w:r w:rsidR="00524863">
        <w:t xml:space="preserve">exercise “Reasonable Efforts” to inform an applicant of deficiencies in its application within </w:t>
      </w:r>
      <w:r w:rsidR="009C2ACC">
        <w:t>15</w:t>
      </w:r>
      <w:r w:rsidR="00524863">
        <w:t xml:space="preserve"> business days of the </w:t>
      </w:r>
      <w:r w:rsidR="00E9235B">
        <w:t>A</w:t>
      </w:r>
      <w:r w:rsidR="00524863">
        <w:t>pplication deadline</w:t>
      </w:r>
      <w:r w:rsidR="00A17491">
        <w:t xml:space="preserve">, after which the applicant has </w:t>
      </w:r>
      <w:r w:rsidR="00AC2EC1">
        <w:t xml:space="preserve">          </w:t>
      </w:r>
      <w:r w:rsidR="009C2ACC">
        <w:t>10</w:t>
      </w:r>
      <w:r w:rsidR="00A17491">
        <w:t xml:space="preserve"> business </w:t>
      </w:r>
      <w:r w:rsidR="00D55AD8">
        <w:t>days to cure the deficiency.</w:t>
      </w:r>
      <w:r w:rsidR="00D27784">
        <w:t xml:space="preserve">  Oklo argues that PJM’s June 24 NextGen Comments did not comply with this requirement</w:t>
      </w:r>
      <w:r w:rsidR="00CB3B91">
        <w:t xml:space="preserve"> because they were uploaded 41 business days after the </w:t>
      </w:r>
      <w:r w:rsidR="00903AD5">
        <w:t>A</w:t>
      </w:r>
      <w:r w:rsidR="00CB3B91">
        <w:t>pplication deadline</w:t>
      </w:r>
      <w:r w:rsidR="002F7032">
        <w:t xml:space="preserve"> (26 days after PJM’s window to raise deficiencies</w:t>
      </w:r>
      <w:r w:rsidR="00624724">
        <w:t>)</w:t>
      </w:r>
      <w:r w:rsidR="00C2120C">
        <w:t>, depriving Oklo of a meaningful opportunity to cure the alleged deficiencies</w:t>
      </w:r>
      <w:r w:rsidR="002F7032">
        <w:t>.</w:t>
      </w:r>
      <w:r w:rsidR="00C2120C">
        <w:rPr>
          <w:rStyle w:val="FootnoteReference"/>
        </w:rPr>
        <w:footnoteReference w:id="20"/>
      </w:r>
      <w:r w:rsidR="003F180D">
        <w:t xml:space="preserve">  Oklo asserts that the June 24 NextGen Comments were not </w:t>
      </w:r>
      <w:r w:rsidR="00A05F05">
        <w:t>updates</w:t>
      </w:r>
      <w:r w:rsidR="003F180D">
        <w:t xml:space="preserve"> to previously flagged deficiencies</w:t>
      </w:r>
      <w:r w:rsidR="00D55AD8">
        <w:t xml:space="preserve"> </w:t>
      </w:r>
      <w:r w:rsidR="00A05F05">
        <w:t>and argues that four of the five issues addressed topics that PJM could have flagged on the initial review but did not.</w:t>
      </w:r>
      <w:r w:rsidR="00D14FBB">
        <w:t xml:space="preserve">  Oklo states that the fifth issue regarding its failure to re-issue a DMDG</w:t>
      </w:r>
      <w:r w:rsidR="00C63EE4">
        <w:t xml:space="preserve"> </w:t>
      </w:r>
      <w:r w:rsidR="00D14FBB">
        <w:t>report and checklist is a ministerial administrative requirement that Oklo had already provided on</w:t>
      </w:r>
      <w:r w:rsidR="00C63EE4">
        <w:t xml:space="preserve"> </w:t>
      </w:r>
      <w:r w:rsidR="00D14FBB">
        <w:t>its first submission and could have easily re-generated had it known that PJM wanted an updated</w:t>
      </w:r>
      <w:r w:rsidR="00C63EE4">
        <w:t xml:space="preserve"> </w:t>
      </w:r>
      <w:r w:rsidR="00D14FBB">
        <w:t>copy.</w:t>
      </w:r>
      <w:r w:rsidR="00D52395">
        <w:t xml:space="preserve">  </w:t>
      </w:r>
      <w:r w:rsidR="00EC32DA">
        <w:t>Further, Oklo asserts that the issues flagged in the June 24 NextGen Comments were not presented as official def</w:t>
      </w:r>
      <w:r w:rsidR="00103BA6">
        <w:t xml:space="preserve">iciencies, but rather were informal comments from a PJM reviewer noting </w:t>
      </w:r>
      <w:r w:rsidR="00103BA6">
        <w:rPr>
          <w:i/>
          <w:iCs/>
        </w:rPr>
        <w:t>pote</w:t>
      </w:r>
      <w:r w:rsidR="00C206B4">
        <w:rPr>
          <w:i/>
          <w:iCs/>
        </w:rPr>
        <w:t>ntial</w:t>
      </w:r>
      <w:r w:rsidR="00C206B4" w:rsidRPr="009923C8">
        <w:t xml:space="preserve"> </w:t>
      </w:r>
      <w:r w:rsidR="00C206B4">
        <w:t>deficiencies</w:t>
      </w:r>
      <w:r w:rsidR="00493209">
        <w:t>.</w:t>
      </w:r>
      <w:r w:rsidR="00493209">
        <w:rPr>
          <w:rStyle w:val="FootnoteReference"/>
        </w:rPr>
        <w:footnoteReference w:id="21"/>
      </w:r>
      <w:r w:rsidR="00F2193F">
        <w:t xml:space="preserve">  Oklo states that </w:t>
      </w:r>
      <w:r w:rsidR="00856E8C">
        <w:t>PJM’s decision to treat reviewer comments in NextGen as formal deficiency determinations without email confirmation to the applicant stands in stark contrast to its established deficiency notice process.</w:t>
      </w:r>
      <w:r w:rsidR="00A040DF">
        <w:t xml:space="preserve">  Oklo argues that PJM’s </w:t>
      </w:r>
      <w:r w:rsidR="002C0F6F">
        <w:lastRenderedPageBreak/>
        <w:t xml:space="preserve">decision to withdraw the </w:t>
      </w:r>
      <w:r w:rsidR="008656D5">
        <w:t>P</w:t>
      </w:r>
      <w:r w:rsidR="002C0F6F">
        <w:t>roject based on the June 24 NextGen Comments violates the Tariff because PJM was untimely in flagging the new deficiencies and PJM failed to give Oklo a meaningful opportunity to cure</w:t>
      </w:r>
      <w:r w:rsidR="00213B32">
        <w:t>.</w:t>
      </w:r>
      <w:r w:rsidR="00213B32">
        <w:rPr>
          <w:rStyle w:val="FootnoteReference"/>
        </w:rPr>
        <w:footnoteReference w:id="22"/>
      </w:r>
    </w:p>
    <w:p w14:paraId="1BE88FF7" w14:textId="1D9BDD7E" w:rsidR="00734832" w:rsidRDefault="0041375B" w:rsidP="00A36DD4">
      <w:pPr>
        <w:pStyle w:val="FERCparanumber"/>
      </w:pPr>
      <w:r>
        <w:t xml:space="preserve">Additionally, Oklo argues that PJM </w:t>
      </w:r>
      <w:r w:rsidR="00F53D9A">
        <w:t>violated section 205 of the FPA</w:t>
      </w:r>
      <w:r w:rsidR="00FD5D9C">
        <w:t xml:space="preserve"> by deviating from its guidelines and applying </w:t>
      </w:r>
      <w:r w:rsidR="00212A2A">
        <w:t xml:space="preserve">a condition of service that </w:t>
      </w:r>
      <w:r w:rsidR="002A1DEA">
        <w:t>has no basis in the Tariff.</w:t>
      </w:r>
      <w:r w:rsidR="002A1DEA">
        <w:rPr>
          <w:rStyle w:val="FootnoteReference"/>
        </w:rPr>
        <w:footnoteReference w:id="23"/>
      </w:r>
      <w:r w:rsidR="003603B5">
        <w:t xml:space="preserve">  Oklo </w:t>
      </w:r>
      <w:r w:rsidR="00F516E8">
        <w:t>asserts that PJM’s DMDG</w:t>
      </w:r>
      <w:r w:rsidR="00C350CA">
        <w:t xml:space="preserve"> require inverter-based resources to submit a low voltage ride-through test to demonstrate </w:t>
      </w:r>
      <w:r w:rsidR="009D22BA">
        <w:t>stability</w:t>
      </w:r>
      <w:r w:rsidR="00080DFD">
        <w:t>,</w:t>
      </w:r>
      <w:r w:rsidR="009D22BA">
        <w:rPr>
          <w:rStyle w:val="FootnoteReference"/>
        </w:rPr>
        <w:footnoteReference w:id="24"/>
      </w:r>
      <w:r w:rsidR="00080DFD">
        <w:t xml:space="preserve"> </w:t>
      </w:r>
      <w:r w:rsidR="00417828">
        <w:t>so Oklo submitted a model demonstrating the low voltage ride-through capability of the Project’s inverter-based resource (i.e., the fuel cell)</w:t>
      </w:r>
      <w:r w:rsidR="00623944">
        <w:t xml:space="preserve"> only</w:t>
      </w:r>
      <w:r w:rsidR="00417828">
        <w:t>.</w:t>
      </w:r>
      <w:r w:rsidR="00E8084D">
        <w:t xml:space="preserve">  In response to this submission, Oklo states that PJM identified a cessation deficiency, which Oklo promptly cure</w:t>
      </w:r>
      <w:r w:rsidR="00AC0349">
        <w:t>d</w:t>
      </w:r>
      <w:r w:rsidR="00094D67">
        <w:t>.</w:t>
      </w:r>
      <w:r w:rsidR="00094D67">
        <w:rPr>
          <w:rStyle w:val="FootnoteReference"/>
        </w:rPr>
        <w:footnoteReference w:id="25"/>
      </w:r>
      <w:r w:rsidR="00AC0349">
        <w:t xml:space="preserve"> </w:t>
      </w:r>
      <w:r w:rsidR="00A673DB">
        <w:t xml:space="preserve"> Oklo states that </w:t>
      </w:r>
      <w:r w:rsidR="003467B7">
        <w:t>the DMDG report clearly states</w:t>
      </w:r>
      <w:r w:rsidR="00C07AAB">
        <w:t xml:space="preserve"> (and the plots clearly show)</w:t>
      </w:r>
      <w:r w:rsidR="003467B7">
        <w:t xml:space="preserve"> that</w:t>
      </w:r>
      <w:r w:rsidR="00314F94">
        <w:t xml:space="preserve"> the voltage ride through test was performed with fuel cells only, and not the full facility</w:t>
      </w:r>
      <w:r w:rsidR="008F4026">
        <w:t xml:space="preserve">, but PJM did </w:t>
      </w:r>
      <w:r w:rsidR="00E20069">
        <w:t xml:space="preserve">not </w:t>
      </w:r>
      <w:r w:rsidR="00C07AAB">
        <w:t>flag this as a deficiency.</w:t>
      </w:r>
      <w:r w:rsidR="00C07AAB">
        <w:rPr>
          <w:rStyle w:val="FootnoteReference"/>
        </w:rPr>
        <w:footnoteReference w:id="26"/>
      </w:r>
      <w:r w:rsidR="00803F50">
        <w:t xml:space="preserve">  Oklo argues that, despite the DMDG’s straightforward </w:t>
      </w:r>
      <w:r w:rsidR="00FB1C6E">
        <w:t>inverter-based resources (</w:t>
      </w:r>
      <w:r w:rsidR="00803F50" w:rsidRPr="007955A3">
        <w:t>IBR</w:t>
      </w:r>
      <w:r w:rsidR="00FB1C6E">
        <w:t>)</w:t>
      </w:r>
      <w:r w:rsidR="00803F50">
        <w:t>-focused low voltage ride-through</w:t>
      </w:r>
      <w:r w:rsidR="000A376F">
        <w:t xml:space="preserve"> </w:t>
      </w:r>
      <w:r w:rsidR="00803F50">
        <w:t>requirement, PJM applied a different rule when it</w:t>
      </w:r>
      <w:r w:rsidR="00475ED2">
        <w:t xml:space="preserve"> determined that the Project was deficient </w:t>
      </w:r>
      <w:r w:rsidR="00467EF8">
        <w:t>because it did not demonstrate low voltage ride</w:t>
      </w:r>
      <w:r w:rsidR="00207A3F">
        <w:t>-through capability for the entire facility</w:t>
      </w:r>
      <w:r w:rsidR="00803F50">
        <w:t>.</w:t>
      </w:r>
      <w:r w:rsidR="00D23CFA">
        <w:t xml:space="preserve"> </w:t>
      </w:r>
      <w:r w:rsidR="00D042DC">
        <w:t xml:space="preserve"> </w:t>
      </w:r>
      <w:r w:rsidR="00126DA8">
        <w:t xml:space="preserve">Oklo </w:t>
      </w:r>
      <w:r w:rsidR="00744B2F">
        <w:t>argues that the broad caveat that the DMDG “may not cover every specific scenario</w:t>
      </w:r>
      <w:r w:rsidR="007A46D2">
        <w:t xml:space="preserve">” and “unique scenarios or settings . . . shall be . . . brought to the attention of PJM” </w:t>
      </w:r>
      <w:r w:rsidR="000F5906">
        <w:t xml:space="preserve">should be read to </w:t>
      </w:r>
      <w:r w:rsidR="00B6338A">
        <w:t>indicate</w:t>
      </w:r>
      <w:r w:rsidR="000F5906">
        <w:t xml:space="preserve"> that the DMDG provides the opportunity for </w:t>
      </w:r>
      <w:r w:rsidR="00B6338A">
        <w:t>project-specific guidance of the type the Project required but did not receive.</w:t>
      </w:r>
      <w:r w:rsidR="00562A48">
        <w:rPr>
          <w:rStyle w:val="FootnoteReference"/>
        </w:rPr>
        <w:footnoteReference w:id="27"/>
      </w:r>
      <w:r w:rsidR="00097DA5">
        <w:t xml:space="preserve">  Oklo argues that</w:t>
      </w:r>
      <w:r w:rsidR="00860D84">
        <w:t>, rather than engag</w:t>
      </w:r>
      <w:r w:rsidR="002956FC">
        <w:t>ing</w:t>
      </w:r>
      <w:r w:rsidR="00860D84">
        <w:t xml:space="preserve"> with Oklo on how to apply the DMDG</w:t>
      </w:r>
      <w:r w:rsidR="002956FC">
        <w:t xml:space="preserve"> </w:t>
      </w:r>
      <w:r w:rsidR="00860D84">
        <w:t xml:space="preserve">to the multi-technology Project, PJM chose to require </w:t>
      </w:r>
      <w:r w:rsidR="00860D84" w:rsidRPr="002956FC">
        <w:rPr>
          <w:i/>
          <w:iCs/>
        </w:rPr>
        <w:t>sub silentio</w:t>
      </w:r>
      <w:r w:rsidR="00860D84">
        <w:t xml:space="preserve"> a low voltage </w:t>
      </w:r>
      <w:r w:rsidR="00AC2EC1">
        <w:t xml:space="preserve">               </w:t>
      </w:r>
      <w:r w:rsidR="00860D84">
        <w:t>ride-through test</w:t>
      </w:r>
      <w:r w:rsidR="002956FC">
        <w:t xml:space="preserve"> </w:t>
      </w:r>
      <w:r w:rsidR="00860D84">
        <w:t>to the Project’s synchronous generators</w:t>
      </w:r>
      <w:r w:rsidR="00A36DD4">
        <w:rPr>
          <w:rStyle w:val="FootnoteReference"/>
        </w:rPr>
        <w:footnoteReference w:id="28"/>
      </w:r>
      <w:r w:rsidR="00A36DD4">
        <w:t xml:space="preserve">  </w:t>
      </w:r>
      <w:r w:rsidR="00734832">
        <w:t>Oklo argues that PJM’s attempt</w:t>
      </w:r>
      <w:r w:rsidR="00102126" w:rsidRPr="00102126">
        <w:t xml:space="preserve"> </w:t>
      </w:r>
      <w:r w:rsidR="00102126">
        <w:t xml:space="preserve">to require the Project to comply with a standard that appears nowhere in </w:t>
      </w:r>
      <w:r w:rsidR="00DC280C">
        <w:t>the</w:t>
      </w:r>
      <w:r w:rsidR="00102126">
        <w:t xml:space="preserve"> Tariff or guidelines violates both the identified standards in PJM’s DMDG and the rule of reason requirement to specify rates and charges for Commission</w:t>
      </w:r>
      <w:r w:rsidR="00F323FA">
        <w:t xml:space="preserve"> </w:t>
      </w:r>
      <w:r w:rsidR="00102126">
        <w:t>jurisdictional transactions.</w:t>
      </w:r>
    </w:p>
    <w:p w14:paraId="00E2F2C8" w14:textId="234BC9A0" w:rsidR="0000159E" w:rsidRDefault="0031465E" w:rsidP="00BE3B41">
      <w:pPr>
        <w:pStyle w:val="FERCparanumber"/>
      </w:pPr>
      <w:r>
        <w:lastRenderedPageBreak/>
        <w:t>Oklo requests that the Commission</w:t>
      </w:r>
      <w:r w:rsidR="00D2398D">
        <w:t xml:space="preserve"> find that PJM violated its Tariff and DMDG requirements in processing the Project’s Cycle 01 Application and direct PJM to immediately reinstate the Project’s Cycle 01 </w:t>
      </w:r>
      <w:r w:rsidR="00AF6AE4">
        <w:t>Application with its original queue position.</w:t>
      </w:r>
      <w:r w:rsidR="00AF6AE4">
        <w:rPr>
          <w:rStyle w:val="FootnoteReference"/>
        </w:rPr>
        <w:footnoteReference w:id="29"/>
      </w:r>
      <w:r w:rsidR="00AF6AE4">
        <w:t xml:space="preserve"> </w:t>
      </w:r>
      <w:r w:rsidR="00F568F9">
        <w:t xml:space="preserve"> </w:t>
      </w:r>
      <w:r w:rsidR="001E752D">
        <w:t xml:space="preserve">In order to minimize disruption to PJM’s Cycle 01, </w:t>
      </w:r>
      <w:r w:rsidR="00B75F30">
        <w:t>Oklo request</w:t>
      </w:r>
      <w:r w:rsidR="003D7E5C">
        <w:t>s</w:t>
      </w:r>
      <w:r w:rsidR="00B75F30">
        <w:t xml:space="preserve"> fast track processing of the </w:t>
      </w:r>
      <w:r w:rsidR="00BD2D86">
        <w:t>c</w:t>
      </w:r>
      <w:r w:rsidR="00B75F30">
        <w:t>omplain</w:t>
      </w:r>
      <w:r w:rsidR="003D7E5C">
        <w:t>t</w:t>
      </w:r>
      <w:r w:rsidR="001E752D">
        <w:t>.</w:t>
      </w:r>
      <w:r w:rsidR="001E752D">
        <w:rPr>
          <w:rStyle w:val="FootnoteReference"/>
        </w:rPr>
        <w:footnoteReference w:id="30"/>
      </w:r>
    </w:p>
    <w:p w14:paraId="7762B409" w14:textId="7E307260" w:rsidR="005E3F64" w:rsidRPr="00586ECE" w:rsidRDefault="005E3F64" w:rsidP="00270A75">
      <w:pPr>
        <w:pStyle w:val="FERCparanumber"/>
      </w:pPr>
      <w:r>
        <w:t xml:space="preserve">Oklo also requests that the Commission grant any </w:t>
      </w:r>
      <w:r w:rsidR="004702FC">
        <w:t>w</w:t>
      </w:r>
      <w:r>
        <w:t>aivers the Commission deems necessary</w:t>
      </w:r>
      <w:r w:rsidR="004702FC">
        <w:t xml:space="preserve"> to effectuate the Project’s inclu</w:t>
      </w:r>
      <w:r w:rsidR="004A3326">
        <w:t>s</w:t>
      </w:r>
      <w:r w:rsidR="004702FC">
        <w:t>i</w:t>
      </w:r>
      <w:r w:rsidR="00F86E5E">
        <w:t>on</w:t>
      </w:r>
      <w:r w:rsidR="004702FC">
        <w:t xml:space="preserve"> in Cycle 01 with minimal </w:t>
      </w:r>
      <w:r w:rsidR="00B83919">
        <w:t>disruption and delay.</w:t>
      </w:r>
      <w:r w:rsidR="00B83919">
        <w:rPr>
          <w:rStyle w:val="FootnoteReference"/>
        </w:rPr>
        <w:footnoteReference w:id="31"/>
      </w:r>
      <w:r w:rsidR="004220B3">
        <w:t xml:space="preserve">  For example, Oklo states that the Commission may grant waiver of</w:t>
      </w:r>
      <w:r w:rsidR="00B83919">
        <w:t xml:space="preserve"> </w:t>
      </w:r>
      <w:r w:rsidR="00FD63D9">
        <w:t xml:space="preserve">Part VIII.B, </w:t>
      </w:r>
      <w:r w:rsidR="008B48BC">
        <w:t>s</w:t>
      </w:r>
      <w:r w:rsidR="00FD63D9">
        <w:t>ection 403 of</w:t>
      </w:r>
      <w:r w:rsidR="008B48BC">
        <w:t xml:space="preserve"> </w:t>
      </w:r>
      <w:r w:rsidR="00DC280C">
        <w:t>the</w:t>
      </w:r>
      <w:r w:rsidR="00FD63D9">
        <w:t xml:space="preserve"> </w:t>
      </w:r>
      <w:r w:rsidR="008B48BC">
        <w:t>T</w:t>
      </w:r>
      <w:r w:rsidR="00FD63D9">
        <w:t xml:space="preserve">ariff </w:t>
      </w:r>
      <w:r w:rsidR="00E25CE8">
        <w:t xml:space="preserve">requiring </w:t>
      </w:r>
      <w:r w:rsidR="00FD63D9">
        <w:t xml:space="preserve">that PJM post its Phase I Base Case Data </w:t>
      </w:r>
      <w:r w:rsidR="009C2ACC">
        <w:t>30</w:t>
      </w:r>
      <w:r w:rsidR="00FD63D9">
        <w:t xml:space="preserve"> days prior to the initiation of Phase</w:t>
      </w:r>
      <w:r w:rsidR="00E25CE8">
        <w:t xml:space="preserve"> I.</w:t>
      </w:r>
      <w:r w:rsidR="00E25CE8">
        <w:rPr>
          <w:rStyle w:val="FootnoteReference"/>
        </w:rPr>
        <w:footnoteReference w:id="32"/>
      </w:r>
      <w:r w:rsidR="00E25CE8">
        <w:t xml:space="preserve"> </w:t>
      </w:r>
      <w:r w:rsidR="006077BC">
        <w:t xml:space="preserve"> Oklo argues that its waiver request satisfies the Commission’s criteria for granting waiver.  First, </w:t>
      </w:r>
      <w:r w:rsidR="00010CFC">
        <w:t xml:space="preserve">Oklo states that it has </w:t>
      </w:r>
      <w:r w:rsidR="00A506C4">
        <w:t>acted</w:t>
      </w:r>
      <w:r w:rsidR="00A506C4" w:rsidRPr="00A506C4">
        <w:t xml:space="preserve"> in good faith at every stage of the</w:t>
      </w:r>
      <w:r w:rsidR="00A506C4">
        <w:t xml:space="preserve"> </w:t>
      </w:r>
      <w:r w:rsidR="00A506C4" w:rsidRPr="00A506C4">
        <w:t>process</w:t>
      </w:r>
      <w:r w:rsidR="00A506C4">
        <w:t xml:space="preserve">, including taking </w:t>
      </w:r>
      <w:r w:rsidR="00010CFC">
        <w:t>great care to support PJM’s review of the Project, responding promptly to all notified concerns</w:t>
      </w:r>
      <w:r w:rsidR="00165332">
        <w:t>,</w:t>
      </w:r>
      <w:r w:rsidR="00010CFC">
        <w:t xml:space="preserve"> and collaborating with PJM to address technical questions</w:t>
      </w:r>
      <w:r w:rsidR="00A506C4">
        <w:t>.</w:t>
      </w:r>
      <w:r w:rsidR="00010CFC">
        <w:t xml:space="preserve"> </w:t>
      </w:r>
      <w:r w:rsidR="00F11F79">
        <w:t xml:space="preserve"> </w:t>
      </w:r>
      <w:r w:rsidR="006077BC">
        <w:t xml:space="preserve">Second, </w:t>
      </w:r>
      <w:r w:rsidR="00F11F79">
        <w:t xml:space="preserve">Oklo states that </w:t>
      </w:r>
      <w:r w:rsidR="00CD10AE">
        <w:t>the waiver would be limited in scope because it is a limited waiver of on</w:t>
      </w:r>
      <w:r w:rsidR="00880E67">
        <w:t>e</w:t>
      </w:r>
      <w:r w:rsidR="00CD10AE">
        <w:t xml:space="preserve"> data posting requirement to allow PJM to provide relief in a manner that minimizes disruption and delay for Cycle 01.</w:t>
      </w:r>
      <w:r w:rsidR="00880E67">
        <w:t xml:space="preserve">  </w:t>
      </w:r>
      <w:r w:rsidR="006077BC">
        <w:t xml:space="preserve">Third, </w:t>
      </w:r>
      <w:r w:rsidR="00880E67">
        <w:t xml:space="preserve">Oklo states that the waiver addresses the concrete problem of </w:t>
      </w:r>
      <w:r w:rsidR="00EA6D33">
        <w:t xml:space="preserve">allowing PJM to reinstate the Project into Cycle 01 after correcting its unlawful withdrawal of the Project.  Finally, </w:t>
      </w:r>
      <w:r w:rsidR="006077BC">
        <w:t>Oklo</w:t>
      </w:r>
      <w:r w:rsidR="00EA6D33">
        <w:t xml:space="preserve"> states that the waiver </w:t>
      </w:r>
      <w:r w:rsidR="00EA6D33" w:rsidRPr="00EA6D33">
        <w:t>would minimize undesirable consequences, including harm to third parties, by</w:t>
      </w:r>
      <w:r w:rsidR="00270A75" w:rsidRPr="00270A75">
        <w:t xml:space="preserve"> </w:t>
      </w:r>
      <w:r w:rsidR="00270A75">
        <w:t xml:space="preserve">avoiding delays to other Cycle 01 applicants and putting them in the same position as they would have been had the Project’s </w:t>
      </w:r>
      <w:r w:rsidR="002E0345">
        <w:t>A</w:t>
      </w:r>
      <w:r w:rsidR="00270A75">
        <w:t>pplication not been erroneously withdrawn.</w:t>
      </w:r>
    </w:p>
    <w:p w14:paraId="65CA639D" w14:textId="6D7CC008" w:rsidR="006B680B" w:rsidRDefault="00BB6E52" w:rsidP="00605965">
      <w:pPr>
        <w:pStyle w:val="Heading1"/>
      </w:pPr>
      <w:r>
        <w:t>Notice and Responsive Pleadings</w:t>
      </w:r>
    </w:p>
    <w:p w14:paraId="22610387" w14:textId="6BCB37AC" w:rsidR="003B67E1" w:rsidRPr="00F82C8A" w:rsidRDefault="00F82C8A" w:rsidP="00997590">
      <w:pPr>
        <w:pStyle w:val="FERCparanumber"/>
      </w:pPr>
      <w:r>
        <w:t xml:space="preserve">Notice of </w:t>
      </w:r>
      <w:r w:rsidR="00605D75">
        <w:t xml:space="preserve">Oklo’s </w:t>
      </w:r>
      <w:r w:rsidR="00E3064A">
        <w:t xml:space="preserve">filing </w:t>
      </w:r>
      <w:r w:rsidR="003D5EA8" w:rsidRPr="003D5EA8">
        <w:t xml:space="preserve">was published in the </w:t>
      </w:r>
      <w:r w:rsidR="003D5EA8" w:rsidRPr="003D5EA8">
        <w:rPr>
          <w:i/>
          <w:iCs/>
        </w:rPr>
        <w:t>Federal Register</w:t>
      </w:r>
      <w:r w:rsidR="003D5EA8" w:rsidRPr="003D5EA8">
        <w:t>,</w:t>
      </w:r>
      <w:r w:rsidR="003D5EA8">
        <w:t xml:space="preserve"> </w:t>
      </w:r>
      <w:r w:rsidR="003D5EA8" w:rsidRPr="003D5EA8">
        <w:t>91 F</w:t>
      </w:r>
      <w:r w:rsidR="00243E5B">
        <w:t xml:space="preserve">ed. </w:t>
      </w:r>
      <w:r w:rsidR="003D5EA8" w:rsidRPr="003D5EA8">
        <w:t>R</w:t>
      </w:r>
      <w:r w:rsidR="00243E5B">
        <w:t>eg.</w:t>
      </w:r>
      <w:r w:rsidR="003D5EA8" w:rsidRPr="003D5EA8">
        <w:t xml:space="preserve"> 56437</w:t>
      </w:r>
      <w:r w:rsidR="003D5EA8">
        <w:t xml:space="preserve"> (Sep. 2, 2026), with </w:t>
      </w:r>
      <w:r w:rsidR="00A66A88">
        <w:t xml:space="preserve">interventions and protests </w:t>
      </w:r>
      <w:r w:rsidR="007158AB">
        <w:t>due on or before September 4, 2026.</w:t>
      </w:r>
      <w:r w:rsidR="0048204F">
        <w:t xml:space="preserve">  Public Citizen, Inc. </w:t>
      </w:r>
      <w:r w:rsidR="0048204F" w:rsidRPr="0048204F">
        <w:t xml:space="preserve">and Monitoring Analytics, LLC, acting in its capacity as the Independent Market Monitor for PJM, each filed a timely motion to intervene.  </w:t>
      </w:r>
      <w:r w:rsidR="007C5043">
        <w:t>On September 4, 2026, PJM filed an answer</w:t>
      </w:r>
      <w:r w:rsidR="00746036">
        <w:t xml:space="preserve"> </w:t>
      </w:r>
      <w:r w:rsidR="00746036" w:rsidRPr="00746036">
        <w:t>(PJM September 4 Answer)</w:t>
      </w:r>
      <w:r w:rsidR="007C5043">
        <w:t>.</w:t>
      </w:r>
      <w:r w:rsidR="00364E1F">
        <w:t xml:space="preserve">  On September 14, 2026, Oklo </w:t>
      </w:r>
      <w:r w:rsidR="00E97B1B">
        <w:t>filed a motion for leave to answer and answer.</w:t>
      </w:r>
      <w:r w:rsidR="00285052">
        <w:t xml:space="preserve">  </w:t>
      </w:r>
      <w:r w:rsidR="00285052" w:rsidRPr="00285052">
        <w:t>On September 18, 2026, PJM filed a motion for leave to answer and answer (PJM September 18 Answer).</w:t>
      </w:r>
    </w:p>
    <w:p w14:paraId="0B4F67D3" w14:textId="7B9EBEF3" w:rsidR="006B680B" w:rsidRDefault="006B680B" w:rsidP="00ED5E40">
      <w:pPr>
        <w:pStyle w:val="Heading2"/>
      </w:pPr>
      <w:r>
        <w:lastRenderedPageBreak/>
        <w:t>PJM</w:t>
      </w:r>
      <w:r w:rsidR="007104F5">
        <w:t>’s</w:t>
      </w:r>
      <w:r w:rsidR="00746036">
        <w:t xml:space="preserve"> September 4</w:t>
      </w:r>
      <w:r w:rsidR="00766F6B">
        <w:t xml:space="preserve"> </w:t>
      </w:r>
      <w:r>
        <w:t>Answer</w:t>
      </w:r>
    </w:p>
    <w:p w14:paraId="22DC81A7" w14:textId="77777777" w:rsidR="0094182F" w:rsidRDefault="00B12C23" w:rsidP="00EA43AE">
      <w:pPr>
        <w:pStyle w:val="FERCparanumber"/>
      </w:pPr>
      <w:r>
        <w:t xml:space="preserve">PJM argues that the Commission should deny the </w:t>
      </w:r>
      <w:r w:rsidR="00BD2D86">
        <w:t>c</w:t>
      </w:r>
      <w:r>
        <w:t>omplaint</w:t>
      </w:r>
      <w:r w:rsidR="00D73DB3">
        <w:t>.</w:t>
      </w:r>
      <w:r w:rsidR="00D73DB3">
        <w:rPr>
          <w:rStyle w:val="FootnoteReference"/>
        </w:rPr>
        <w:footnoteReference w:id="33"/>
      </w:r>
      <w:r w:rsidR="00184284">
        <w:t xml:space="preserve">  PJM asserts that</w:t>
      </w:r>
      <w:r w:rsidR="00F61367">
        <w:t xml:space="preserve"> the Project was properly withdrawn from Cycle 01</w:t>
      </w:r>
      <w:r w:rsidR="00184284">
        <w:t xml:space="preserve"> because Oklo’s initial application did not include a model that was acceptable</w:t>
      </w:r>
      <w:r w:rsidR="00F61367">
        <w:t xml:space="preserve"> </w:t>
      </w:r>
      <w:r w:rsidR="00184284">
        <w:t>for inclusion in the overall Cycle 01 model, and, after receiving notice of deficiencies with</w:t>
      </w:r>
      <w:r w:rsidR="00F61367">
        <w:t xml:space="preserve"> </w:t>
      </w:r>
      <w:r w:rsidR="00184284">
        <w:t>the model, Oklo presented another unworkable model.</w:t>
      </w:r>
      <w:r w:rsidR="00F61367">
        <w:rPr>
          <w:rStyle w:val="FootnoteReference"/>
        </w:rPr>
        <w:footnoteReference w:id="34"/>
      </w:r>
      <w:r w:rsidR="001E5709">
        <w:t xml:space="preserve">  </w:t>
      </w:r>
    </w:p>
    <w:p w14:paraId="24E9AB6C" w14:textId="46093331" w:rsidR="006F7608" w:rsidRDefault="0094182F" w:rsidP="00EA43AE">
      <w:pPr>
        <w:pStyle w:val="FERCparanumber"/>
      </w:pPr>
      <w:r>
        <w:t>PJM asserts</w:t>
      </w:r>
      <w:r w:rsidR="00796828">
        <w:t xml:space="preserve"> that the </w:t>
      </w:r>
      <w:r w:rsidR="00725E78">
        <w:t>Power System Simulator for Engineering (</w:t>
      </w:r>
      <w:r w:rsidR="00796828">
        <w:t>PSSE</w:t>
      </w:r>
      <w:r w:rsidR="00725E78">
        <w:t>)</w:t>
      </w:r>
      <w:r w:rsidR="00796828">
        <w:t xml:space="preserve"> model Oklo presented to cure the issues raised by the May 15 </w:t>
      </w:r>
      <w:r w:rsidR="007F4ADB">
        <w:t>Deficiency</w:t>
      </w:r>
      <w:r w:rsidR="00796828">
        <w:t xml:space="preserve"> Notice revealed instability in the nuclear and gas generator components of the P</w:t>
      </w:r>
      <w:r w:rsidR="000E73F1">
        <w:t xml:space="preserve">roject that was </w:t>
      </w:r>
      <w:r w:rsidR="007F4ADB">
        <w:t>not present in Oklo’s initial model.</w:t>
      </w:r>
      <w:r w:rsidR="007F4ADB">
        <w:rPr>
          <w:rStyle w:val="FootnoteReference"/>
        </w:rPr>
        <w:footnoteReference w:id="35"/>
      </w:r>
      <w:r w:rsidR="007F4ADB">
        <w:t xml:space="preserve">  </w:t>
      </w:r>
      <w:r w:rsidR="001E5709">
        <w:t xml:space="preserve">PJM argues that it cannot accept a PSSE project model for inclusion in interconnection studies that is unstable for the </w:t>
      </w:r>
      <w:r w:rsidR="00B86591">
        <w:t>P</w:t>
      </w:r>
      <w:r w:rsidR="001E5709">
        <w:t xml:space="preserve">roject’s entire requested </w:t>
      </w:r>
      <w:r w:rsidR="005C5CBB">
        <w:t>Maximum Facility Output (</w:t>
      </w:r>
      <w:r w:rsidR="001E5709">
        <w:t>MFO</w:t>
      </w:r>
      <w:r w:rsidR="005C5CBB">
        <w:t>)</w:t>
      </w:r>
      <w:r w:rsidR="00DC70EC">
        <w:t>.</w:t>
      </w:r>
      <w:r w:rsidR="00DC70EC">
        <w:rPr>
          <w:rStyle w:val="FootnoteReference"/>
        </w:rPr>
        <w:footnoteReference w:id="36"/>
      </w:r>
      <w:r w:rsidR="00EA43AE">
        <w:t xml:space="preserve">  PJM asserts that if a </w:t>
      </w:r>
      <w:r w:rsidR="00AD5425">
        <w:t>p</w:t>
      </w:r>
      <w:r w:rsidR="00EA43AE">
        <w:t xml:space="preserve">roject </w:t>
      </w:r>
      <w:r w:rsidR="00AD5425">
        <w:t>d</w:t>
      </w:r>
      <w:r w:rsidR="00EA43AE">
        <w:t xml:space="preserve">eveloper cannot address modeling issues identified during the deficiency review and demonstrate that its entire facility is workable at its MFO, PJM is unable to integrate that </w:t>
      </w:r>
      <w:r w:rsidR="00AD5425">
        <w:t>p</w:t>
      </w:r>
      <w:r w:rsidR="00EA43AE">
        <w:t xml:space="preserve">roject </w:t>
      </w:r>
      <w:r w:rsidR="00AD5425">
        <w:t>d</w:t>
      </w:r>
      <w:r w:rsidR="00EA43AE">
        <w:t>eveloper’s model into the collective Cycle 01 model because the deficiencies in the individual project model will prevent the collective model from operating properly.</w:t>
      </w:r>
    </w:p>
    <w:p w14:paraId="3A1F9ABF" w14:textId="4F32E04C" w:rsidR="00563207" w:rsidRDefault="00D52FF0" w:rsidP="00E73B3A">
      <w:pPr>
        <w:pStyle w:val="FERCparanumber"/>
      </w:pPr>
      <w:r>
        <w:t>PJM</w:t>
      </w:r>
      <w:r w:rsidR="003E711E">
        <w:t xml:space="preserve"> argues that Oklo’s response to the deficiency notice not only failed to resolve the DMDG</w:t>
      </w:r>
      <w:r w:rsidR="00995BFE">
        <w:t xml:space="preserve">-related deficiencies, but it created new deficiencies that </w:t>
      </w:r>
      <w:r w:rsidR="00BE555A">
        <w:t>meant the model was not functional for the entire generating facility.</w:t>
      </w:r>
      <w:r w:rsidR="00BE555A">
        <w:rPr>
          <w:rStyle w:val="FootnoteReference"/>
        </w:rPr>
        <w:footnoteReference w:id="37"/>
      </w:r>
      <w:r w:rsidR="00435F23">
        <w:t xml:space="preserve">  For example, PJM notes that in an attempt to resolve the initialization and DSTATE errors identified in the initial Application, Oklo simply eliminated the under-excitation and over-excitation models for all synchronous units rather than reviewing and adjusting parameter values.  Doing so, PJM states, may have caused the modeled generating facility to exhibit an unstable response when subjected to PJM’s standard 5 cycle, three-phase fault test performed on all projects, which ensures that the model is workable to be included in the Cycle model </w:t>
      </w:r>
      <w:r w:rsidR="00435F23">
        <w:lastRenderedPageBreak/>
        <w:t>for study.</w:t>
      </w:r>
      <w:r w:rsidR="002B32BD">
        <w:t xml:space="preserve">  PJM adds that </w:t>
      </w:r>
      <w:r w:rsidR="00821DDB">
        <w:t xml:space="preserve">when it tested </w:t>
      </w:r>
      <w:r w:rsidR="00173E40">
        <w:t>the cured model with the entire Project in service (750 MW flow at the POI)</w:t>
      </w:r>
      <w:r w:rsidR="00D659E0">
        <w:t xml:space="preserve">, it demonstrated unstable performance by the nuclear and gas generation units, and PJM cannot accept </w:t>
      </w:r>
      <w:r w:rsidR="00E73B3A">
        <w:t>a project model for a proposed 750 MW generating facility that is stable for only 300 MW.</w:t>
      </w:r>
      <w:r w:rsidR="00E73B3A">
        <w:rPr>
          <w:rStyle w:val="FootnoteReference"/>
        </w:rPr>
        <w:footnoteReference w:id="38"/>
      </w:r>
      <w:r w:rsidR="00DF5C26">
        <w:t xml:space="preserve">  PJM argues that full-MFO testing is consistent with DMDG, section 7.3, </w:t>
      </w:r>
      <w:r w:rsidR="00FB5EAA">
        <w:t xml:space="preserve">and it </w:t>
      </w:r>
      <w:r w:rsidR="003D76B8">
        <w:t>is not limited to IB</w:t>
      </w:r>
      <w:r w:rsidR="00AD5425">
        <w:t>Rs</w:t>
      </w:r>
      <w:r w:rsidR="003D76B8">
        <w:t xml:space="preserve">, so a </w:t>
      </w:r>
      <w:r w:rsidR="00B5091E">
        <w:t>p</w:t>
      </w:r>
      <w:r w:rsidR="003D76B8">
        <w:t xml:space="preserve">roject </w:t>
      </w:r>
      <w:r w:rsidR="00B5091E">
        <w:t>d</w:t>
      </w:r>
      <w:r w:rsidR="003D76B8">
        <w:t>eveloper must ensure that its model works for the entire MFO requested.</w:t>
      </w:r>
      <w:r w:rsidR="00045074">
        <w:t xml:space="preserve">  PJM argues that </w:t>
      </w:r>
      <w:r w:rsidR="009A65A4">
        <w:t xml:space="preserve">    </w:t>
      </w:r>
      <w:r w:rsidR="00045074">
        <w:t xml:space="preserve">section 7.4, upon which the Complaint relies, does not obviate the need for the PSSE models to demonstrate stability across the Project’s full MFO. </w:t>
      </w:r>
    </w:p>
    <w:p w14:paraId="7942FDE3" w14:textId="4C76A181" w:rsidR="00CD1BB4" w:rsidRDefault="00AF4AAD" w:rsidP="00404B4C">
      <w:pPr>
        <w:pStyle w:val="FERCparanumber"/>
      </w:pPr>
      <w:r>
        <w:t xml:space="preserve">PJM asserts that </w:t>
      </w:r>
      <w:r w:rsidR="006C4848">
        <w:t xml:space="preserve">it complied with the Tariff requirements governing review of </w:t>
      </w:r>
      <w:r w:rsidR="005539EE">
        <w:t>New Service Requests.</w:t>
      </w:r>
      <w:r w:rsidR="005539EE">
        <w:rPr>
          <w:rStyle w:val="FootnoteReference"/>
        </w:rPr>
        <w:footnoteReference w:id="39"/>
      </w:r>
      <w:r w:rsidR="001F60F1">
        <w:t xml:space="preserve">  PJM states that </w:t>
      </w:r>
      <w:r w:rsidR="008A23C2">
        <w:t>the Tariff affords a single deficiency review and cure round</w:t>
      </w:r>
      <w:r w:rsidR="00277EC5">
        <w:t>:  PJM must “exercise Reasonable Efforts to</w:t>
      </w:r>
      <w:r w:rsidR="00404B4C">
        <w:t xml:space="preserve"> </w:t>
      </w:r>
      <w:r w:rsidR="00277EC5">
        <w:t>inform Applicant of Application deficiencies within 15 Business Days after the Application Deadline”</w:t>
      </w:r>
      <w:r w:rsidR="0030645C">
        <w:t>;</w:t>
      </w:r>
      <w:r w:rsidR="00277EC5">
        <w:t xml:space="preserve"> the Applicant has 10 Business Days to respond;</w:t>
      </w:r>
      <w:r w:rsidR="00404B4C">
        <w:t xml:space="preserve"> and PJM reviews the submission and either rejects o</w:t>
      </w:r>
      <w:r w:rsidR="000D261C">
        <w:t>r</w:t>
      </w:r>
      <w:r w:rsidR="00404B4C">
        <w:t xml:space="preserve"> validates the Application.  PJM states that the </w:t>
      </w:r>
      <w:r w:rsidR="000514D9">
        <w:t>Tariff does not require PJM to engage in multiple rounds of evaluation</w:t>
      </w:r>
      <w:r w:rsidR="00E46D58">
        <w:t xml:space="preserve">, identification of </w:t>
      </w:r>
      <w:r w:rsidR="00841B92">
        <w:t xml:space="preserve">deficiencies, and </w:t>
      </w:r>
      <w:r w:rsidR="001C54F5">
        <w:t>applicant cure</w:t>
      </w:r>
      <w:r w:rsidR="00841B92">
        <w:t xml:space="preserve"> periods.</w:t>
      </w:r>
      <w:r w:rsidR="0095171A">
        <w:t xml:space="preserve"> </w:t>
      </w:r>
      <w:r w:rsidR="001C54F5">
        <w:t xml:space="preserve"> PJM states</w:t>
      </w:r>
      <w:r w:rsidR="0095171A">
        <w:t xml:space="preserve"> that </w:t>
      </w:r>
      <w:r w:rsidR="001C54F5">
        <w:t>adding multiple rounds of back-and-forth with developer</w:t>
      </w:r>
      <w:r w:rsidR="0095171A">
        <w:t xml:space="preserve"> </w:t>
      </w:r>
      <w:r w:rsidR="008E3872">
        <w:t>would</w:t>
      </w:r>
      <w:r w:rsidR="0095171A">
        <w:t xml:space="preserve"> greatly prolong </w:t>
      </w:r>
      <w:r w:rsidR="008E3872">
        <w:t>the interconnection process and cause</w:t>
      </w:r>
      <w:r w:rsidR="001C54F5">
        <w:t xml:space="preserve"> cascading delays throughout </w:t>
      </w:r>
      <w:r w:rsidR="00AC2EC1">
        <w:t xml:space="preserve">  </w:t>
      </w:r>
      <w:r w:rsidR="001C54F5">
        <w:t>Cycle 01 and subsequent cycles.</w:t>
      </w:r>
      <w:r w:rsidR="001C54F5">
        <w:rPr>
          <w:rStyle w:val="FootnoteReference"/>
        </w:rPr>
        <w:footnoteReference w:id="40"/>
      </w:r>
      <w:r w:rsidR="001C54F5">
        <w:t xml:space="preserve">  PJM states that such a process would be inconsistent with the “first ready, first served” foundation of PJM’s reformed interconnection process and would have the 88</w:t>
      </w:r>
      <w:r w:rsidR="00AC2EC1">
        <w:t>%</w:t>
      </w:r>
      <w:r w:rsidR="001C54F5">
        <w:t xml:space="preserve"> of other submittals that were accepted by PJM and expect timely processing of their applications with the announced Cycle 01 milestones.</w:t>
      </w:r>
    </w:p>
    <w:p w14:paraId="2AA1573D" w14:textId="55E14872" w:rsidR="009A4B9F" w:rsidRDefault="009A4B9F" w:rsidP="00480068">
      <w:pPr>
        <w:pStyle w:val="FERCparanumber"/>
      </w:pPr>
      <w:r>
        <w:t xml:space="preserve">PJM states that the </w:t>
      </w:r>
      <w:r w:rsidR="00D9349A">
        <w:t>application</w:t>
      </w:r>
      <w:r>
        <w:t xml:space="preserve"> process requires the </w:t>
      </w:r>
      <w:r w:rsidR="0078674A">
        <w:t>p</w:t>
      </w:r>
      <w:r>
        <w:t xml:space="preserve">roject </w:t>
      </w:r>
      <w:r w:rsidR="0078674A">
        <w:t>d</w:t>
      </w:r>
      <w:r>
        <w:t xml:space="preserve">eveloper to provide PJM with a workable model of its facility </w:t>
      </w:r>
      <w:r w:rsidR="00480068">
        <w:t xml:space="preserve">that demonstrates </w:t>
      </w:r>
      <w:r w:rsidR="00636076">
        <w:t xml:space="preserve">a </w:t>
      </w:r>
      <w:r w:rsidR="00480068">
        <w:t>stable response for the facility’s entire</w:t>
      </w:r>
      <w:r w:rsidR="00A928C1">
        <w:t xml:space="preserve"> </w:t>
      </w:r>
      <w:r w:rsidR="00480068">
        <w:t>MFO and that can be used to build the study model for the Cycle as a whole.</w:t>
      </w:r>
      <w:r w:rsidR="00480068">
        <w:rPr>
          <w:rStyle w:val="FootnoteReference"/>
        </w:rPr>
        <w:footnoteReference w:id="41"/>
      </w:r>
      <w:r w:rsidR="00222820">
        <w:t xml:space="preserve">  PJM states that its May 15 Deficiency Notice al</w:t>
      </w:r>
      <w:r w:rsidR="005F6FFC">
        <w:t xml:space="preserve">erted </w:t>
      </w:r>
      <w:r w:rsidR="000D4105">
        <w:t xml:space="preserve">Oklo that there were </w:t>
      </w:r>
      <w:r w:rsidR="00DE4F43">
        <w:t>many</w:t>
      </w:r>
      <w:r w:rsidR="000D4105">
        <w:t xml:space="preserve"> suspect initial conditions when it initialized the full </w:t>
      </w:r>
      <w:r w:rsidR="00B5091E">
        <w:t>P</w:t>
      </w:r>
      <w:r w:rsidR="000D4105">
        <w:t>roject facility with all of the generators turned on.  PJM states that</w:t>
      </w:r>
      <w:r w:rsidR="007C7980">
        <w:t xml:space="preserve"> the cure package Oklo provided in response to this contained a </w:t>
      </w:r>
      <w:r w:rsidR="00277857">
        <w:t>P</w:t>
      </w:r>
      <w:r w:rsidR="007C7980">
        <w:t>SSE model that was unstable.</w:t>
      </w:r>
      <w:r w:rsidR="00277857">
        <w:t xml:space="preserve">  </w:t>
      </w:r>
      <w:r w:rsidR="007456B0">
        <w:t xml:space="preserve">PJM asserts that, contrary to </w:t>
      </w:r>
      <w:r w:rsidR="00BD2D86">
        <w:t>Oklo’s</w:t>
      </w:r>
      <w:r w:rsidR="007456B0">
        <w:t xml:space="preserve"> characterization, PJM identified issues with the PSSE model in its May 15 Deficiency </w:t>
      </w:r>
      <w:r w:rsidR="007456B0">
        <w:lastRenderedPageBreak/>
        <w:t>Notice, and Oklo’s cure package not only failed to provide a stable model for the entire facility, but it instead made the problems worse.</w:t>
      </w:r>
      <w:r w:rsidR="007456B0">
        <w:rPr>
          <w:rStyle w:val="FootnoteReference"/>
        </w:rPr>
        <w:footnoteReference w:id="42"/>
      </w:r>
    </w:p>
    <w:p w14:paraId="53941368" w14:textId="0744A691" w:rsidR="00B94BCC" w:rsidRDefault="006E18D9" w:rsidP="006F6666">
      <w:pPr>
        <w:pStyle w:val="FERCparanumber"/>
      </w:pPr>
      <w:r>
        <w:t>While</w:t>
      </w:r>
      <w:r w:rsidR="00BB6D90">
        <w:t xml:space="preserve"> </w:t>
      </w:r>
      <w:r w:rsidR="005B0ED9">
        <w:t>Oklo</w:t>
      </w:r>
      <w:r w:rsidR="00BB6D90">
        <w:t xml:space="preserve"> critici</w:t>
      </w:r>
      <w:r>
        <w:t>zes</w:t>
      </w:r>
      <w:r w:rsidR="00BB6D90">
        <w:t xml:space="preserve"> PJM for not generating an email notification regarding the June 24, 2026 NextGen Comments</w:t>
      </w:r>
      <w:r w:rsidR="009E1133">
        <w:t xml:space="preserve"> and</w:t>
      </w:r>
      <w:r w:rsidR="00BB1EA7">
        <w:t xml:space="preserve"> argu</w:t>
      </w:r>
      <w:r w:rsidR="006C31C2">
        <w:t>es</w:t>
      </w:r>
      <w:r w:rsidR="00BB1EA7">
        <w:t xml:space="preserve"> that the comments were untimely in flagging the new deficiencies without providing a cure period, PJM</w:t>
      </w:r>
      <w:r w:rsidR="00F26FCC">
        <w:t xml:space="preserve"> states that it could not iden</w:t>
      </w:r>
      <w:r w:rsidR="008C1A72">
        <w:t>tify in its May 15 Deficiency Notice issues that were introduced for the first time in Oklo’s subsequent cure package.</w:t>
      </w:r>
      <w:r w:rsidR="001A0718">
        <w:rPr>
          <w:rStyle w:val="FootnoteReference"/>
        </w:rPr>
        <w:footnoteReference w:id="43"/>
      </w:r>
      <w:r w:rsidR="008D385E">
        <w:t xml:space="preserve">  PJM argues that </w:t>
      </w:r>
      <w:r w:rsidR="00733048">
        <w:t>Oklo</w:t>
      </w:r>
      <w:r w:rsidR="008D385E">
        <w:t>’s assertion that four out of the five issues in the June 24, 0226 NextGen Comments</w:t>
      </w:r>
      <w:r w:rsidR="001D4002">
        <w:t xml:space="preserve"> addressed topics that could have been flagged on initial review is untrue.</w:t>
      </w:r>
      <w:r w:rsidR="001D4002">
        <w:rPr>
          <w:rStyle w:val="FootnoteReference"/>
        </w:rPr>
        <w:footnoteReference w:id="44"/>
      </w:r>
      <w:r w:rsidR="00BA40AE">
        <w:t xml:space="preserve">  PJM stat</w:t>
      </w:r>
      <w:r w:rsidR="00DE27FB">
        <w:t>es that t</w:t>
      </w:r>
      <w:r w:rsidR="00BA40AE">
        <w:t>he</w:t>
      </w:r>
      <w:r w:rsidR="00DE27FB">
        <w:t xml:space="preserve"> </w:t>
      </w:r>
      <w:r w:rsidR="00BA40AE">
        <w:t xml:space="preserve">June 24, 2026 NextGen </w:t>
      </w:r>
      <w:r w:rsidR="00DE27FB">
        <w:t>Comments</w:t>
      </w:r>
      <w:r w:rsidR="00BA40AE">
        <w:t xml:space="preserve"> reflect PJM’s review of the cure package </w:t>
      </w:r>
      <w:r w:rsidR="00B0049E">
        <w:t xml:space="preserve">and </w:t>
      </w:r>
      <w:r w:rsidR="00BA40AE">
        <w:t>noted</w:t>
      </w:r>
      <w:r w:rsidR="00DE27FB">
        <w:t xml:space="preserve"> </w:t>
      </w:r>
      <w:r w:rsidR="00BA40AE">
        <w:t>inconsistencies in data between the “cured” PSSE model (which PJM did not have on initial</w:t>
      </w:r>
      <w:r w:rsidR="00B0049E">
        <w:t xml:space="preserve"> </w:t>
      </w:r>
      <w:r w:rsidR="00BA40AE">
        <w:t>review) and data input into NextGen for transformer windings, aux loads for fuel cells, and</w:t>
      </w:r>
      <w:r w:rsidR="00B0049E">
        <w:t xml:space="preserve"> </w:t>
      </w:r>
      <w:r w:rsidR="00BA40AE">
        <w:t>reactive capability of the fuel cell units.</w:t>
      </w:r>
      <w:r w:rsidR="001A0718">
        <w:t xml:space="preserve"> </w:t>
      </w:r>
      <w:r w:rsidR="00B0049E">
        <w:t xml:space="preserve"> PJM states </w:t>
      </w:r>
      <w:r w:rsidR="0032406E">
        <w:t xml:space="preserve">Oklo’s </w:t>
      </w:r>
      <w:r w:rsidR="00C16442">
        <w:t>failure to provide an updated dynamic model report and checklist made it difficult fo</w:t>
      </w:r>
      <w:r w:rsidR="006F6666">
        <w:t>r PJM to identify what was updated and what testing was performed on the new model</w:t>
      </w:r>
      <w:r w:rsidR="009A0287">
        <w:t>.</w:t>
      </w:r>
      <w:r w:rsidR="00647873">
        <w:rPr>
          <w:rStyle w:val="FootnoteReference"/>
        </w:rPr>
        <w:footnoteReference w:id="45"/>
      </w:r>
      <w:r w:rsidR="009A0287">
        <w:t xml:space="preserve">  In short, PJM argues that it reasonably enumerated the problems in the initial submission </w:t>
      </w:r>
      <w:r w:rsidR="00A54904">
        <w:t>in its May 15 Deficiency Notice, but Oklo’s cure package introduced new issues that were not present when PJM issued that notice.</w:t>
      </w:r>
    </w:p>
    <w:p w14:paraId="1D8B8411" w14:textId="23A0BC4C" w:rsidR="00BB6D90" w:rsidRDefault="00B94BCC" w:rsidP="00E127AF">
      <w:pPr>
        <w:pStyle w:val="FERCparanumber"/>
      </w:pPr>
      <w:r>
        <w:t xml:space="preserve">Regarding </w:t>
      </w:r>
      <w:r w:rsidR="00FC0797">
        <w:t xml:space="preserve">Oklo’s </w:t>
      </w:r>
      <w:r>
        <w:t>cr</w:t>
      </w:r>
      <w:r w:rsidR="003A3DA6">
        <w:t>itici</w:t>
      </w:r>
      <w:r w:rsidR="00FC0797">
        <w:t>sm</w:t>
      </w:r>
      <w:r w:rsidR="003A3DA6">
        <w:t xml:space="preserve"> </w:t>
      </w:r>
      <w:r w:rsidR="00FC0797">
        <w:t>of</w:t>
      </w:r>
      <w:r w:rsidR="003A3DA6">
        <w:t xml:space="preserve"> PJM for including only “informal comments . . . noting </w:t>
      </w:r>
      <w:r w:rsidR="003A3DA6">
        <w:rPr>
          <w:i/>
          <w:iCs/>
        </w:rPr>
        <w:t>potential</w:t>
      </w:r>
      <w:r w:rsidR="003A3DA6" w:rsidRPr="009923C8">
        <w:t xml:space="preserve"> </w:t>
      </w:r>
      <w:r w:rsidR="003A3DA6">
        <w:t xml:space="preserve">deficiencies” in the </w:t>
      </w:r>
      <w:r w:rsidR="00BB1978">
        <w:t>W</w:t>
      </w:r>
      <w:r w:rsidR="00C60207">
        <w:t xml:space="preserve">ithdrawal </w:t>
      </w:r>
      <w:r w:rsidR="00BB1978">
        <w:t>N</w:t>
      </w:r>
      <w:r w:rsidR="00C60207">
        <w:t xml:space="preserve">otice, PJM </w:t>
      </w:r>
      <w:r w:rsidR="00D03575">
        <w:t xml:space="preserve">states that, as explained in the </w:t>
      </w:r>
      <w:r w:rsidR="00D018D1">
        <w:t xml:space="preserve">withdrawal email, PJM </w:t>
      </w:r>
      <w:r w:rsidR="00C60207">
        <w:t>documented the deficiencies its reviewers</w:t>
      </w:r>
      <w:r w:rsidR="00D018D1">
        <w:t xml:space="preserve"> </w:t>
      </w:r>
      <w:r w:rsidR="00C60207">
        <w:t>found and provided continued access to NextGen “to assist applicants who may wish to</w:t>
      </w:r>
      <w:r w:rsidR="00D018D1">
        <w:t xml:space="preserve"> c</w:t>
      </w:r>
      <w:r w:rsidR="00C60207">
        <w:t>ontinue developing their projects, address outstanding deficiencies, and reapply in a future</w:t>
      </w:r>
      <w:r w:rsidR="00D018D1">
        <w:t xml:space="preserve"> </w:t>
      </w:r>
      <w:r w:rsidR="00C60207">
        <w:t>submission.</w:t>
      </w:r>
      <w:r w:rsidR="00331AEE">
        <w:t>”</w:t>
      </w:r>
      <w:r w:rsidR="00D018D1">
        <w:rPr>
          <w:rStyle w:val="FootnoteReference"/>
        </w:rPr>
        <w:footnoteReference w:id="46"/>
      </w:r>
      <w:r w:rsidR="00630C54">
        <w:t xml:space="preserve">  Since PJM had already issued a deficiency notice in May and Oklo had responded with its cure package, </w:t>
      </w:r>
      <w:r w:rsidR="00C72303">
        <w:t xml:space="preserve">PJM states that </w:t>
      </w:r>
      <w:r w:rsidR="00630C54">
        <w:t>the further</w:t>
      </w:r>
      <w:r w:rsidR="00C72303">
        <w:t xml:space="preserve"> </w:t>
      </w:r>
      <w:r w:rsidR="00630C54">
        <w:t xml:space="preserve">comments provided in the </w:t>
      </w:r>
      <w:r w:rsidR="00C72303">
        <w:t>w</w:t>
      </w:r>
      <w:r w:rsidR="00630C54">
        <w:t xml:space="preserve">ithdrawal </w:t>
      </w:r>
      <w:r w:rsidR="00C72303">
        <w:t>e</w:t>
      </w:r>
      <w:r w:rsidR="00630C54">
        <w:t>mail were advisory in nature</w:t>
      </w:r>
      <w:r w:rsidR="00C72303">
        <w:t xml:space="preserve"> </w:t>
      </w:r>
      <w:r w:rsidR="00630C54">
        <w:t xml:space="preserve">and intended to assist the developer with a future </w:t>
      </w:r>
      <w:r w:rsidR="00331AEE">
        <w:t>A</w:t>
      </w:r>
      <w:r w:rsidR="00630C54">
        <w:t>pplication.</w:t>
      </w:r>
      <w:r w:rsidR="00E127AF">
        <w:t xml:space="preserve">  PJM notes that, while Oklo claims it now “is prepared to remedy the alleged </w:t>
      </w:r>
      <w:r w:rsidR="00E127AF">
        <w:lastRenderedPageBreak/>
        <w:t>deficiencies” outlined in the withdrawal email, providing Oklo with further rounds of notice and cure opportunities is inconsistent with the Tariff and would delay Cycle 01 and subsequent cycles.</w:t>
      </w:r>
      <w:r w:rsidR="00E127AF">
        <w:rPr>
          <w:rStyle w:val="FootnoteReference"/>
        </w:rPr>
        <w:footnoteReference w:id="47"/>
      </w:r>
      <w:r w:rsidR="00E127AF">
        <w:t xml:space="preserve">  PJM argues that Oklo provides no limiting principle to its request for multiple rounds of notice and cure for Oklo and the handful of similar projects with deficient applications that would safeguard the cycle process from delay.</w:t>
      </w:r>
    </w:p>
    <w:p w14:paraId="07891BB2" w14:textId="79DD42C3" w:rsidR="00097B95" w:rsidRDefault="003765EB" w:rsidP="00DD59D2">
      <w:pPr>
        <w:pStyle w:val="FERCparanumber"/>
      </w:pPr>
      <w:r>
        <w:t xml:space="preserve">PJM asserts that its process for New Service Requests is well known.  </w:t>
      </w:r>
      <w:r w:rsidR="0077719C">
        <w:t>PJM states that w</w:t>
      </w:r>
      <w:r>
        <w:t xml:space="preserve">hile </w:t>
      </w:r>
      <w:r w:rsidR="0077719C">
        <w:t xml:space="preserve">it </w:t>
      </w:r>
      <w:r>
        <w:t>received an extraordinary number of New Service Requests—811—in this cycle alone, 88% of those</w:t>
      </w:r>
      <w:r w:rsidR="0077719C">
        <w:t xml:space="preserve"> </w:t>
      </w:r>
      <w:r>
        <w:t>projects advanced through the application review phase, demonstrating that developers</w:t>
      </w:r>
      <w:r w:rsidR="0077719C">
        <w:t xml:space="preserve"> </w:t>
      </w:r>
      <w:r>
        <w:t>understand the requirements and guidance at this stage.</w:t>
      </w:r>
      <w:r w:rsidR="0077719C">
        <w:rPr>
          <w:rStyle w:val="FootnoteReference"/>
        </w:rPr>
        <w:footnoteReference w:id="48"/>
      </w:r>
      <w:r w:rsidR="00221D13">
        <w:t xml:space="preserve">  PJM states that providing Oklo with additional rounds of deficiency notices and cure opportunities would amount to special treatment for the Project beyond what the Tariff requires and beyond what other project </w:t>
      </w:r>
      <w:r w:rsidR="00331AEE">
        <w:t>A</w:t>
      </w:r>
      <w:r w:rsidR="00221D13">
        <w:t xml:space="preserve">pplications received—harming the over </w:t>
      </w:r>
      <w:r w:rsidR="00DE001E">
        <w:t xml:space="preserve">                 </w:t>
      </w:r>
      <w:r w:rsidR="00221D13">
        <w:t xml:space="preserve">700 projects that submitted valid, complete </w:t>
      </w:r>
      <w:r w:rsidR="00331AEE">
        <w:t>A</w:t>
      </w:r>
      <w:r w:rsidR="00221D13">
        <w:t>pplications</w:t>
      </w:r>
      <w:r w:rsidR="00E74CA1">
        <w:t>.  PJM states that Oklo is free to re-submit the Project for study in a future cycle, or</w:t>
      </w:r>
      <w:r w:rsidR="006739F7">
        <w:t xml:space="preserve"> PJM’s Expedited Interconnection Track (EIT), if the Project meets applicable requirements.</w:t>
      </w:r>
      <w:r w:rsidR="006739F7">
        <w:rPr>
          <w:rStyle w:val="FootnoteReference"/>
        </w:rPr>
        <w:footnoteReference w:id="49"/>
      </w:r>
    </w:p>
    <w:p w14:paraId="5F88902E" w14:textId="3B2E34E3" w:rsidR="00DD59D2" w:rsidRDefault="00CD1BB4" w:rsidP="00097B95">
      <w:pPr>
        <w:pStyle w:val="FERCparanumber"/>
      </w:pPr>
      <w:r>
        <w:t>PJM contends that Oklo’s request to delay Cycle 01 to accommodate reinstatement of the Project would inject uncertainty into the interconnection process for all other projects in the process by delaying Cycle 01 by up to two months, which will delay all subsequent cycles.</w:t>
      </w:r>
      <w:r w:rsidR="00A22D3C">
        <w:rPr>
          <w:rStyle w:val="FootnoteReference"/>
        </w:rPr>
        <w:footnoteReference w:id="50"/>
      </w:r>
      <w:r w:rsidR="00055452">
        <w:t xml:space="preserve">  </w:t>
      </w:r>
      <w:r w:rsidR="0079120D" w:rsidRPr="0079120D">
        <w:t>Specifically, PJM states that it would have to provide a stand-alone deficiency review process for Oklo, rebuild and test its Base Case models, and repost its Phase I Base Case Data for the required 30-day period.</w:t>
      </w:r>
      <w:r w:rsidR="0079120D">
        <w:rPr>
          <w:rStyle w:val="FootnoteReference"/>
        </w:rPr>
        <w:footnoteReference w:id="51"/>
      </w:r>
      <w:r w:rsidR="0079120D" w:rsidRPr="0079120D">
        <w:t xml:space="preserve">  PJM states that if the </w:t>
      </w:r>
      <w:r w:rsidR="002E07E9">
        <w:t>c</w:t>
      </w:r>
      <w:r w:rsidR="0079120D" w:rsidRPr="0079120D">
        <w:t xml:space="preserve">omplaint is granted, it would not be in a position to proceed with Phase I on September 28, 2026, the planned start date, and the delay could be as much as two months.  PJM states that this same two-month delay will affect all subsequent Cycle 01 deadlines and ripple on to delay projected Cycle 02 and beyond.  Since the 30-day period to review the Base Case model is currently running, PJM states that inserting the Project in the Base Case model may change outcomes for the over 700 Cycle 01 </w:t>
      </w:r>
      <w:r w:rsidR="00AF63E7">
        <w:t>p</w:t>
      </w:r>
      <w:r w:rsidR="0079120D" w:rsidRPr="0079120D">
        <w:t xml:space="preserve">rojects.  Specifically, PJM notes that changes to the model spurred by the addition of the Project’s 750 MW facility may impact certain project developers’ withdrawal decisions from Cycle 01. </w:t>
      </w:r>
    </w:p>
    <w:p w14:paraId="635F417D" w14:textId="4F78FF1C" w:rsidR="0041308F" w:rsidRDefault="006462E4" w:rsidP="00097B95">
      <w:pPr>
        <w:pStyle w:val="FERCparanumber"/>
      </w:pPr>
      <w:r w:rsidRPr="006462E4">
        <w:lastRenderedPageBreak/>
        <w:t xml:space="preserve">PJM states that in the event the complaint is granted, the Commission should grant any and all waivers of the Tariff necessary to prevent undue harm to PJM and other </w:t>
      </w:r>
      <w:r w:rsidR="0078674A">
        <w:t>p</w:t>
      </w:r>
      <w:r w:rsidRPr="006462E4">
        <w:t xml:space="preserve">roject </w:t>
      </w:r>
      <w:r w:rsidR="0078674A">
        <w:t>d</w:t>
      </w:r>
      <w:r w:rsidRPr="006462E4">
        <w:t>evelopers in Cycle 01 as a result of Oklo’s reinstatement.</w:t>
      </w:r>
    </w:p>
    <w:p w14:paraId="68B2FD4B" w14:textId="1409285B" w:rsidR="000A3BF3" w:rsidRPr="00766F6B" w:rsidRDefault="000A3BF3" w:rsidP="00AB2A05">
      <w:pPr>
        <w:pStyle w:val="Heading2"/>
      </w:pPr>
      <w:r>
        <w:t>Oklo’s Answer</w:t>
      </w:r>
    </w:p>
    <w:p w14:paraId="472D687D" w14:textId="325B414D" w:rsidR="00AE54E6" w:rsidRDefault="00A77B44" w:rsidP="00042361">
      <w:pPr>
        <w:pStyle w:val="FERCparanumber"/>
      </w:pPr>
      <w:r>
        <w:t xml:space="preserve">Oklo reiterates several of the same concerns </w:t>
      </w:r>
      <w:r w:rsidR="00AE54E6">
        <w:t xml:space="preserve">it raised in its </w:t>
      </w:r>
      <w:r w:rsidR="00331AEE">
        <w:t>c</w:t>
      </w:r>
      <w:r w:rsidR="00AE54E6">
        <w:t>omplaint.</w:t>
      </w:r>
      <w:r w:rsidR="00D503A6">
        <w:t xml:space="preserve">  </w:t>
      </w:r>
      <w:r w:rsidR="00E22E03">
        <w:t xml:space="preserve">Oklo contends that its cure submission </w:t>
      </w:r>
      <w:r w:rsidR="00E22E03" w:rsidRPr="00B014D5">
        <w:t>demonstrated stability for the full facility in compliance with all of PJM’s enumerated stability requirements</w:t>
      </w:r>
      <w:r w:rsidR="00E22E03" w:rsidRPr="006D022E">
        <w:t xml:space="preserve"> and addressed the two stability issues that PJM flagged in its May 15 Deficiency Notice.</w:t>
      </w:r>
      <w:r w:rsidR="009013E7">
        <w:rPr>
          <w:rStyle w:val="FootnoteReference"/>
        </w:rPr>
        <w:footnoteReference w:id="52"/>
      </w:r>
      <w:r w:rsidR="009013E7">
        <w:t xml:space="preserve">  Specifically, Oklo</w:t>
      </w:r>
      <w:r w:rsidR="00D636C7" w:rsidRPr="00D636C7">
        <w:t xml:space="preserve"> </w:t>
      </w:r>
      <w:r w:rsidR="00D636C7">
        <w:t xml:space="preserve">contends that its cure </w:t>
      </w:r>
      <w:r w:rsidR="00D636C7" w:rsidRPr="00CD4284">
        <w:t>submission demonstrate</w:t>
      </w:r>
      <w:r w:rsidR="00D636C7">
        <w:t>d</w:t>
      </w:r>
      <w:r w:rsidR="00D636C7" w:rsidRPr="00CD4284">
        <w:t xml:space="preserve"> stability as required by the </w:t>
      </w:r>
      <w:r w:rsidR="00D636C7">
        <w:t>DMDG</w:t>
      </w:r>
      <w:r w:rsidR="00D636C7" w:rsidRPr="00CD4284">
        <w:t xml:space="preserve"> because it passes </w:t>
      </w:r>
      <w:r w:rsidR="00D636C7">
        <w:t>the</w:t>
      </w:r>
      <w:r w:rsidR="00D636C7" w:rsidRPr="00CD4284">
        <w:t xml:space="preserve"> flat start test, in compliance with </w:t>
      </w:r>
      <w:r w:rsidR="00D636C7">
        <w:t>section</w:t>
      </w:r>
      <w:r w:rsidR="00D636C7" w:rsidRPr="00CD4284">
        <w:t xml:space="preserve"> 7.3, </w:t>
      </w:r>
      <w:r w:rsidR="00D636C7">
        <w:t>the</w:t>
      </w:r>
      <w:r w:rsidR="00D636C7" w:rsidRPr="00CD4284">
        <w:t xml:space="preserve"> voltage ride-through test, in compliance with </w:t>
      </w:r>
      <w:r w:rsidR="00D636C7">
        <w:t>section</w:t>
      </w:r>
      <w:r w:rsidR="00D636C7" w:rsidRPr="00CD4284">
        <w:t xml:space="preserve"> 7.4.1</w:t>
      </w:r>
      <w:r w:rsidR="00D636C7">
        <w:t xml:space="preserve">, and </w:t>
      </w:r>
      <w:r w:rsidR="00D636C7" w:rsidRPr="00311E0B">
        <w:t xml:space="preserve">satisfied </w:t>
      </w:r>
      <w:r w:rsidR="00D636C7">
        <w:t>section</w:t>
      </w:r>
      <w:r w:rsidR="00D636C7" w:rsidRPr="00311E0B">
        <w:t xml:space="preserve"> 7.5</w:t>
      </w:r>
      <w:r w:rsidR="00D636C7">
        <w:t xml:space="preserve"> </w:t>
      </w:r>
      <w:r w:rsidR="00D636C7" w:rsidRPr="00311E0B">
        <w:t>because the fuel cells did not experience momentary cessation during the voltage ride-through test.</w:t>
      </w:r>
      <w:r w:rsidR="00D636C7">
        <w:t xml:space="preserve">  </w:t>
      </w:r>
    </w:p>
    <w:p w14:paraId="0F62DA53" w14:textId="26AB1AE2" w:rsidR="00F97731" w:rsidRPr="00674E81" w:rsidRDefault="00005594" w:rsidP="00F14DB3">
      <w:pPr>
        <w:pStyle w:val="FERCparanumber"/>
      </w:pPr>
      <w:r>
        <w:t xml:space="preserve">Next, </w:t>
      </w:r>
      <w:r w:rsidR="00886318">
        <w:t xml:space="preserve">Oklo </w:t>
      </w:r>
      <w:r w:rsidR="00572A5D">
        <w:t>states</w:t>
      </w:r>
      <w:r w:rsidR="00886318">
        <w:t xml:space="preserve"> that </w:t>
      </w:r>
      <w:r w:rsidR="00886318" w:rsidRPr="000C3FDD">
        <w:t xml:space="preserve">PJM’s </w:t>
      </w:r>
      <w:r w:rsidR="00D76ACB">
        <w:t>W</w:t>
      </w:r>
      <w:r w:rsidR="00886318" w:rsidRPr="000C3FDD">
        <w:t xml:space="preserve">ithdrawal </w:t>
      </w:r>
      <w:r w:rsidR="00886318">
        <w:t>N</w:t>
      </w:r>
      <w:r w:rsidR="00886318" w:rsidRPr="000C3FDD">
        <w:t xml:space="preserve">otice stated that the Project “[f]ailed to meet stability requirements,” based on the following explanation: </w:t>
      </w:r>
      <w:r w:rsidR="00886318">
        <w:t xml:space="preserve"> </w:t>
      </w:r>
      <w:r w:rsidR="00886318" w:rsidRPr="000C3FDD">
        <w:t xml:space="preserve">“A 5 cycle 3-phase fault was performed at the </w:t>
      </w:r>
      <w:r w:rsidR="00886318">
        <w:t>[point of interconnection]</w:t>
      </w:r>
      <w:r w:rsidR="00886318" w:rsidRPr="000C3FDD">
        <w:t xml:space="preserve">. </w:t>
      </w:r>
      <w:r w:rsidR="00886318">
        <w:t xml:space="preserve"> </w:t>
      </w:r>
      <w:r w:rsidR="00886318" w:rsidRPr="000C3FDD">
        <w:t xml:space="preserve">The plant was unstable for the twenty second simulation. </w:t>
      </w:r>
      <w:r w:rsidR="00886318">
        <w:t xml:space="preserve"> </w:t>
      </w:r>
      <w:r w:rsidR="00886318" w:rsidRPr="000C3FDD">
        <w:t>The developer should check the dynamic model parameters and test the SMIB case to ensure it remains stable for such scenario.”</w:t>
      </w:r>
      <w:r w:rsidR="00886318">
        <w:rPr>
          <w:rStyle w:val="FootnoteReference"/>
        </w:rPr>
        <w:footnoteReference w:id="53"/>
      </w:r>
      <w:r w:rsidR="00886318">
        <w:t xml:space="preserve">  Oklo claims that </w:t>
      </w:r>
      <w:r w:rsidR="00886318" w:rsidRPr="00553696">
        <w:t xml:space="preserve">neither the </w:t>
      </w:r>
      <w:r w:rsidR="00D76ACB">
        <w:t>W</w:t>
      </w:r>
      <w:r w:rsidR="00886318" w:rsidRPr="00553696">
        <w:t xml:space="preserve">ithdrawal </w:t>
      </w:r>
      <w:r w:rsidR="00D76ACB">
        <w:t>N</w:t>
      </w:r>
      <w:r w:rsidR="00886318" w:rsidRPr="00553696">
        <w:t>otice nor PJM’s answer identify a provision of the DMDG that requires an interconnection customer to conduct, much less pass, a “5-cycle 3-phase fault” test.</w:t>
      </w:r>
      <w:r w:rsidR="00886318">
        <w:rPr>
          <w:rStyle w:val="FootnoteReference"/>
        </w:rPr>
        <w:footnoteReference w:id="54"/>
      </w:r>
      <w:r w:rsidR="00886318">
        <w:t xml:space="preserve">  Oklo argues that t</w:t>
      </w:r>
      <w:r w:rsidR="00886318" w:rsidRPr="00C86C20">
        <w:t>he DMDG imposes no such requirement</w:t>
      </w:r>
      <w:r w:rsidR="00886318">
        <w:t>.  According to Oklo, t</w:t>
      </w:r>
      <w:r w:rsidR="00886318" w:rsidRPr="00384FEA">
        <w:t xml:space="preserve">he only three-phase fault test required by the DMDG is the voltage ride-through test under </w:t>
      </w:r>
      <w:r w:rsidR="00886318">
        <w:t>section</w:t>
      </w:r>
      <w:r w:rsidR="00886318" w:rsidRPr="00384FEA">
        <w:t xml:space="preserve"> 7.4, which only applies to inverter-based resources</w:t>
      </w:r>
      <w:r w:rsidR="00886318">
        <w:t xml:space="preserve">, and that the </w:t>
      </w:r>
      <w:r w:rsidR="00886318" w:rsidRPr="00E43E40">
        <w:t>voltage ride through test is a 9-cycle test, not a 5-cycle test.</w:t>
      </w:r>
      <w:r w:rsidR="00886318">
        <w:rPr>
          <w:rStyle w:val="FootnoteReference"/>
        </w:rPr>
        <w:footnoteReference w:id="55"/>
      </w:r>
      <w:r w:rsidR="00284C60">
        <w:t xml:space="preserve">  Oklo claims that PJM now offers a different test </w:t>
      </w:r>
      <w:r w:rsidR="0063137E">
        <w:t>t</w:t>
      </w:r>
      <w:r w:rsidR="0003194D">
        <w:t>han what is required in the DMDG</w:t>
      </w:r>
      <w:r w:rsidR="00142E90">
        <w:t xml:space="preserve">.  Oklo contends that, </w:t>
      </w:r>
      <w:r w:rsidR="00142E90" w:rsidRPr="00F43E29">
        <w:t xml:space="preserve">even if PJM </w:t>
      </w:r>
      <w:r w:rsidR="00142E90">
        <w:t>were</w:t>
      </w:r>
      <w:r w:rsidR="00142E90" w:rsidRPr="00F43E29">
        <w:t xml:space="preserve"> allowed to apply a test that is not enumerated in the DMDG, PJM at minimum needed to give Oklo notice of that test requirement</w:t>
      </w:r>
      <w:r w:rsidR="00142E90">
        <w:t>, which it did not do.</w:t>
      </w:r>
      <w:r w:rsidR="00142E90">
        <w:rPr>
          <w:rStyle w:val="FootnoteReference"/>
        </w:rPr>
        <w:footnoteReference w:id="56"/>
      </w:r>
      <w:r w:rsidR="00142E90">
        <w:t xml:space="preserve">  Oklo states, notwithstanding the foregoing, that the Project can pass PJM’s “new, unspecified test” </w:t>
      </w:r>
      <w:r w:rsidR="00142E90">
        <w:lastRenderedPageBreak/>
        <w:t xml:space="preserve">although it did not submit a model tailored to the </w:t>
      </w:r>
      <w:r w:rsidR="00142E90" w:rsidRPr="00047156">
        <w:t>“5-cycle 3-phase” test because it had no reason to think that was a requirement</w:t>
      </w:r>
      <w:r w:rsidR="00142E90">
        <w:t>.</w:t>
      </w:r>
      <w:r w:rsidR="00142E90">
        <w:rPr>
          <w:rStyle w:val="FootnoteReference"/>
        </w:rPr>
        <w:footnoteReference w:id="57"/>
      </w:r>
      <w:r w:rsidR="009C3E0C">
        <w:t xml:space="preserve">  </w:t>
      </w:r>
      <w:r w:rsidR="00886318">
        <w:t xml:space="preserve">  </w:t>
      </w:r>
    </w:p>
    <w:p w14:paraId="64C49026" w14:textId="21FA6C6E" w:rsidR="00EA0291" w:rsidRPr="00674E81" w:rsidRDefault="0009414E" w:rsidP="00674E81">
      <w:pPr>
        <w:pStyle w:val="FERCparanumber"/>
      </w:pPr>
      <w:r>
        <w:t xml:space="preserve">Oklo refutes PJM’s </w:t>
      </w:r>
      <w:r w:rsidR="004E4A97">
        <w:t xml:space="preserve">justification </w:t>
      </w:r>
      <w:r w:rsidR="00217DC1">
        <w:t xml:space="preserve">for applying this test by </w:t>
      </w:r>
      <w:r w:rsidR="00F73058" w:rsidRPr="00F73058">
        <w:t xml:space="preserve">referencing </w:t>
      </w:r>
      <w:r w:rsidR="00767108">
        <w:t>section</w:t>
      </w:r>
      <w:r w:rsidR="00F73058" w:rsidRPr="00F73058">
        <w:t xml:space="preserve"> 7.1 of the DMDG, which requires developers to “[v]erify that the MFO requested by the New Service Request is achievable at the </w:t>
      </w:r>
      <w:r w:rsidR="00A85D9A">
        <w:t>[point of interconnection]</w:t>
      </w:r>
      <w:r w:rsidR="00F73058" w:rsidRPr="00F73058">
        <w:t>.”</w:t>
      </w:r>
      <w:r w:rsidR="00F73058">
        <w:rPr>
          <w:rStyle w:val="FootnoteReference"/>
        </w:rPr>
        <w:footnoteReference w:id="58"/>
      </w:r>
      <w:r w:rsidR="0009140F">
        <w:t xml:space="preserve">  </w:t>
      </w:r>
      <w:r w:rsidR="00700EAF">
        <w:t xml:space="preserve">Oklo argues that </w:t>
      </w:r>
      <w:r w:rsidR="00CB6D9D">
        <w:t xml:space="preserve">it </w:t>
      </w:r>
      <w:r w:rsidR="00C94D9B" w:rsidRPr="00C94D9B">
        <w:t xml:space="preserve">has demonstrated that the MFO requested for the Project “is achievable at the </w:t>
      </w:r>
      <w:r w:rsidR="00A85D9A">
        <w:t>[point of interconnection]</w:t>
      </w:r>
      <w:r w:rsidR="00C94D9B" w:rsidRPr="00C94D9B">
        <w:t>,” as</w:t>
      </w:r>
      <w:r w:rsidR="004750AF" w:rsidRPr="004750AF">
        <w:t xml:space="preserve"> required by </w:t>
      </w:r>
      <w:r w:rsidR="00767108">
        <w:t>section</w:t>
      </w:r>
      <w:r w:rsidR="004750AF" w:rsidRPr="004750AF">
        <w:t xml:space="preserve"> 7.1</w:t>
      </w:r>
      <w:r w:rsidR="000E7135">
        <w:t xml:space="preserve">, </w:t>
      </w:r>
      <w:r w:rsidR="0055624E" w:rsidRPr="0055624E">
        <w:t xml:space="preserve">and has </w:t>
      </w:r>
      <w:r w:rsidR="0055624E">
        <w:t xml:space="preserve">also </w:t>
      </w:r>
      <w:r w:rsidR="0055624E" w:rsidRPr="0055624E">
        <w:t xml:space="preserve">satisfied the flat start test required by </w:t>
      </w:r>
      <w:r w:rsidR="00767108">
        <w:t>section</w:t>
      </w:r>
      <w:r w:rsidR="0055624E" w:rsidRPr="0055624E">
        <w:t xml:space="preserve"> 7.3.</w:t>
      </w:r>
      <w:r w:rsidR="0055624E">
        <w:rPr>
          <w:rStyle w:val="FootnoteReference"/>
        </w:rPr>
        <w:footnoteReference w:id="59"/>
      </w:r>
      <w:r w:rsidR="0055624E">
        <w:t xml:space="preserve">  </w:t>
      </w:r>
    </w:p>
    <w:p w14:paraId="46612905" w14:textId="6D844240" w:rsidR="00BB795C" w:rsidRPr="00674E81" w:rsidRDefault="00FE23FB" w:rsidP="00EA0291">
      <w:pPr>
        <w:pStyle w:val="FERCparanumber"/>
      </w:pPr>
      <w:r>
        <w:t xml:space="preserve">Oklo argues that </w:t>
      </w:r>
      <w:r w:rsidR="00012A4E">
        <w:t xml:space="preserve">PJM’s </w:t>
      </w:r>
      <w:r w:rsidR="00A86B66" w:rsidRPr="00A86B66">
        <w:t>interpretative approach to the DMDG</w:t>
      </w:r>
      <w:r w:rsidR="00443A0B">
        <w:t xml:space="preserve"> means </w:t>
      </w:r>
      <w:r w:rsidR="00172218">
        <w:t xml:space="preserve">that </w:t>
      </w:r>
      <w:r w:rsidR="003535FB" w:rsidRPr="003535FB">
        <w:t>PJM could always call a model “unstable” by finding a more stringent test to apply.</w:t>
      </w:r>
      <w:r w:rsidR="003535FB">
        <w:t xml:space="preserve">  Oklo states that</w:t>
      </w:r>
      <w:r w:rsidR="005E41FB">
        <w:t>,</w:t>
      </w:r>
      <w:r w:rsidR="003535FB">
        <w:t xml:space="preserve"> </w:t>
      </w:r>
      <w:r w:rsidR="005E41FB">
        <w:t>i</w:t>
      </w:r>
      <w:r w:rsidR="00127E78" w:rsidRPr="00127E78">
        <w:t xml:space="preserve">f PJM thinks it needs a different test to incorporate </w:t>
      </w:r>
      <w:r w:rsidR="00BB795C">
        <w:t xml:space="preserve">its </w:t>
      </w:r>
      <w:r w:rsidR="00331AEE">
        <w:t>P</w:t>
      </w:r>
      <w:r w:rsidR="00127E78" w:rsidRPr="00127E78">
        <w:t xml:space="preserve">roject into its </w:t>
      </w:r>
      <w:r w:rsidR="00DE001E">
        <w:t xml:space="preserve">               </w:t>
      </w:r>
      <w:r w:rsidR="00127E78" w:rsidRPr="00127E78">
        <w:t>Cycle 01 model, PJM needs to specify that test and give Oklo an opportunity to comply.</w:t>
      </w:r>
      <w:r w:rsidR="00BB795C">
        <w:rPr>
          <w:rStyle w:val="FootnoteReference"/>
        </w:rPr>
        <w:footnoteReference w:id="60"/>
      </w:r>
    </w:p>
    <w:p w14:paraId="074D681B" w14:textId="77777777" w:rsidR="004E475C" w:rsidRPr="00FD0696" w:rsidRDefault="004E475C" w:rsidP="004E475C">
      <w:pPr>
        <w:pStyle w:val="FERCparanumber"/>
      </w:pPr>
      <w:r w:rsidRPr="00FD0696">
        <w:t>Oklo reiterates that PJM’s June 24 NextGen Comments constitute formal deficiencies, so Oklo should have been entitled to an opportunity to cure them.</w:t>
      </w:r>
      <w:r w:rsidRPr="00FD0696">
        <w:rPr>
          <w:rStyle w:val="FootnoteReference"/>
          <w:szCs w:val="26"/>
        </w:rPr>
        <w:footnoteReference w:id="61"/>
      </w:r>
      <w:r w:rsidRPr="00FD0696">
        <w:t xml:space="preserve">  Oklo also reiterates that four of the five deficiencies raised in the June 24 NextGen Comments could have been flagged in the initial review because PJM had Oklo’s initial model on its first review, and Oklo did not update any of the fields containing those data inconsistencies between its initial and cure submissions.</w:t>
      </w:r>
      <w:r w:rsidRPr="00FD0696">
        <w:rPr>
          <w:rStyle w:val="FootnoteReference"/>
          <w:szCs w:val="26"/>
        </w:rPr>
        <w:footnoteReference w:id="62"/>
      </w:r>
      <w:r w:rsidRPr="00FD0696">
        <w:t xml:space="preserve">   </w:t>
      </w:r>
    </w:p>
    <w:p w14:paraId="3F9F85A3" w14:textId="4B34714D" w:rsidR="004E475C" w:rsidRPr="00FD0696" w:rsidRDefault="004E475C" w:rsidP="004E475C">
      <w:pPr>
        <w:pStyle w:val="FERCparanumber"/>
      </w:pPr>
      <w:r w:rsidRPr="00FD0696">
        <w:t>Oklo argues that</w:t>
      </w:r>
      <w:r w:rsidR="000F5061">
        <w:t>,</w:t>
      </w:r>
      <w:r w:rsidRPr="00FD0696">
        <w:t xml:space="preserve"> even if the Commission interprets the stability flags in PJM’s May 15 Deficiency Notice as providing Oklo with notice of the full set of stability tests PJM was applying, as well as the full set of deficiencies, it would have been permissible—and, in these particular circumstances, required—for PJM to grant Oklo a second opportunity to cure.</w:t>
      </w:r>
      <w:r w:rsidRPr="00FD0696">
        <w:rPr>
          <w:rStyle w:val="FootnoteReference"/>
          <w:szCs w:val="26"/>
        </w:rPr>
        <w:footnoteReference w:id="63"/>
      </w:r>
      <w:r w:rsidRPr="00FD0696">
        <w:t xml:space="preserve">  Oklo argues that section 403(b) of the Tariff does not prohibit second cure opportunities, but rather it requires PJM to exercise “Reasonable Efforts” to identify deficiencies within 15 Business Days, triggering a 10 Business Day </w:t>
      </w:r>
      <w:r w:rsidRPr="00FD0696">
        <w:lastRenderedPageBreak/>
        <w:t>response window, at which time PJM must again exercise “Reasonable Efforts” to review Applicant’s response within 15 Business Days and either accept or reject the Application.</w:t>
      </w:r>
      <w:r w:rsidRPr="00FD0696">
        <w:rPr>
          <w:rStyle w:val="FootnoteReference"/>
          <w:szCs w:val="26"/>
        </w:rPr>
        <w:footnoteReference w:id="64"/>
      </w:r>
      <w:r w:rsidRPr="00FD0696">
        <w:t xml:space="preserve">  Oklo contends that if the “Reasonable Efforts” language in </w:t>
      </w:r>
      <w:r w:rsidR="004C4680">
        <w:t xml:space="preserve">section </w:t>
      </w:r>
      <w:r w:rsidRPr="00FD0696">
        <w:t xml:space="preserve">403(b) can be read broadly enough to give PJM the ability to identify cures outside of the initial 15-Business Day review window, it must also be read to allow more than one opportunity to cure. </w:t>
      </w:r>
      <w:r w:rsidR="0069105F">
        <w:t xml:space="preserve"> </w:t>
      </w:r>
      <w:r w:rsidRPr="00FD0696">
        <w:t xml:space="preserve">Otherwise, Oklo argues, PJM could identify one deficiency during the first </w:t>
      </w:r>
      <w:r w:rsidR="00DE001E">
        <w:t xml:space="preserve">             </w:t>
      </w:r>
      <w:r w:rsidRPr="00FD0696">
        <w:t xml:space="preserve">15 Business Days, triggering Applicant’s 10-Business Day period, and then (using Reasonable Efforts) later identify </w:t>
      </w:r>
      <w:r w:rsidR="005A6C69">
        <w:t>10</w:t>
      </w:r>
      <w:r w:rsidRPr="00FD0696">
        <w:t xml:space="preserve"> more deficiencies in the initial submission.   Additionally, Oklo notes that after its cure submission, PJM asked Oklo a follow-up question about the single-line diagram.  Oklo contends that</w:t>
      </w:r>
      <w:r w:rsidR="00331F10">
        <w:t>,</w:t>
      </w:r>
      <w:r w:rsidRPr="00FD0696">
        <w:t xml:space="preserve"> while PJM should have raised four out of the five issues in the June 24 NextGen Comments in its May 15 Deficiency Notice, PJM alternatively could have raised all five issues in a second deficiency notice and efficiently resolved the outstanding issues.</w:t>
      </w:r>
      <w:r w:rsidRPr="00FD0696">
        <w:rPr>
          <w:rStyle w:val="FootnoteReference"/>
          <w:szCs w:val="26"/>
        </w:rPr>
        <w:footnoteReference w:id="65"/>
      </w:r>
    </w:p>
    <w:p w14:paraId="1848EA2C" w14:textId="0D66E39C" w:rsidR="004E475C" w:rsidRDefault="00647E3F" w:rsidP="00674E81">
      <w:pPr>
        <w:pStyle w:val="FERCparanumber"/>
      </w:pPr>
      <w:r>
        <w:t xml:space="preserve">Oklo argues that, even if a second cure period was only allowed, and not required by the Tariff, </w:t>
      </w:r>
      <w:r w:rsidR="00AE45DD">
        <w:t xml:space="preserve">PJM must exercise its discretion </w:t>
      </w:r>
      <w:r w:rsidR="00106940">
        <w:t>in a way that is consistent with the FPA, and it failed to do so here.</w:t>
      </w:r>
      <w:r w:rsidR="00106940">
        <w:rPr>
          <w:rStyle w:val="FootnoteReference"/>
        </w:rPr>
        <w:footnoteReference w:id="66"/>
      </w:r>
      <w:r w:rsidR="00106940">
        <w:t xml:space="preserve">  </w:t>
      </w:r>
      <w:r w:rsidR="00966C93">
        <w:t>Specifically, Oklo argues that PJM’s decision to not allow Oklo a second opportunity to cure, where, as here, Oklo’s purported failure resulted from PJM’s application of different standards than those in its Tariff and DMDG</w:t>
      </w:r>
      <w:r w:rsidR="00422034">
        <w:t>, does not satisfy that statutory obligation.</w:t>
      </w:r>
      <w:r w:rsidR="00422034">
        <w:rPr>
          <w:rStyle w:val="FootnoteReference"/>
        </w:rPr>
        <w:footnoteReference w:id="67"/>
      </w:r>
      <w:r w:rsidR="004B3363">
        <w:t xml:space="preserve">  Additionally, Oklo argues that, </w:t>
      </w:r>
      <w:r w:rsidR="004B3363" w:rsidRPr="004B3363">
        <w:t xml:space="preserve">given the Project’s unique and innovative multi-technology configuration, the Tariff, </w:t>
      </w:r>
      <w:r w:rsidR="00BF5CFA">
        <w:t>g</w:t>
      </w:r>
      <w:r w:rsidR="004B3363" w:rsidRPr="004B3363">
        <w:t xml:space="preserve">uidelines, and FPA not only permit a second </w:t>
      </w:r>
      <w:r w:rsidR="00573AB7">
        <w:t xml:space="preserve">opportunity to cure, but </w:t>
      </w:r>
      <w:r w:rsidR="004B3363" w:rsidRPr="004B3363">
        <w:t>require PJM to work with the Applicant to ensure that it has clear notice of the standard PJM will apply to the Project.</w:t>
      </w:r>
      <w:r w:rsidR="004B3363" w:rsidRPr="007955A3">
        <w:rPr>
          <w:b/>
          <w:vertAlign w:val="superscript"/>
        </w:rPr>
        <w:footnoteReference w:id="68"/>
      </w:r>
    </w:p>
    <w:p w14:paraId="12A272B9" w14:textId="7FC08E18" w:rsidR="00E63032" w:rsidRDefault="00BF7192" w:rsidP="00445B0F">
      <w:pPr>
        <w:pStyle w:val="FERCparanumber"/>
      </w:pPr>
      <w:r>
        <w:t xml:space="preserve">Oklo </w:t>
      </w:r>
      <w:r w:rsidR="00E63032">
        <w:t>argues that</w:t>
      </w:r>
      <w:r w:rsidR="00906A72">
        <w:t xml:space="preserve">, to the extent PJM was correct in </w:t>
      </w:r>
      <w:r w:rsidR="00817869">
        <w:t xml:space="preserve">finding that the </w:t>
      </w:r>
      <w:r w:rsidR="00D76ACB">
        <w:t>W</w:t>
      </w:r>
      <w:r w:rsidR="00817869">
        <w:t xml:space="preserve">ithdrawal </w:t>
      </w:r>
      <w:r w:rsidR="00D76ACB">
        <w:t>N</w:t>
      </w:r>
      <w:r w:rsidR="00817869">
        <w:t>otice comments were merely advisory,</w:t>
      </w:r>
      <w:r w:rsidR="00C62033">
        <w:t xml:space="preserve"> PJM failed to timely communicate </w:t>
      </w:r>
      <w:r w:rsidR="00FA02CA">
        <w:t>its withdrawal decision to avoid Cycle 01 delays.</w:t>
      </w:r>
      <w:r w:rsidR="00FA02CA">
        <w:rPr>
          <w:rStyle w:val="FootnoteReference"/>
        </w:rPr>
        <w:footnoteReference w:id="69"/>
      </w:r>
      <w:r w:rsidR="00FA02CA">
        <w:t xml:space="preserve">  Specifically</w:t>
      </w:r>
      <w:r w:rsidR="00CF1887">
        <w:t>, Oklo argues that PJM must have known as early as June 24</w:t>
      </w:r>
      <w:r w:rsidR="00172D85">
        <w:t>, 2026</w:t>
      </w:r>
      <w:r w:rsidR="00CF1887">
        <w:t xml:space="preserve"> that PJM planned to reject the Project</w:t>
      </w:r>
      <w:r w:rsidR="00F53DFF">
        <w:t>, but PJM chose to wait until August 3</w:t>
      </w:r>
      <w:r w:rsidR="00172D85">
        <w:t>, 2026</w:t>
      </w:r>
      <w:r w:rsidR="00F53DFF">
        <w:t xml:space="preserve"> to notify Oklo of its </w:t>
      </w:r>
      <w:r w:rsidR="00517851">
        <w:t xml:space="preserve">decision to withdraw the Project.  </w:t>
      </w:r>
      <w:r w:rsidR="00445B0F">
        <w:t xml:space="preserve">Oklo argues that if PJM’s comments were indeed “advisory in nature,” and PJM could have communicated its withdrawal decision on June 24, </w:t>
      </w:r>
      <w:r w:rsidR="00B774B3">
        <w:t>2026</w:t>
      </w:r>
      <w:r w:rsidR="00172D85">
        <w:t xml:space="preserve">, </w:t>
      </w:r>
      <w:r w:rsidR="00445B0F">
        <w:t xml:space="preserve">PJM cannot now use the </w:t>
      </w:r>
      <w:r w:rsidR="00445B0F">
        <w:lastRenderedPageBreak/>
        <w:t>Cycle 01 clock as a basis to deprive Oklo of its ability to enforce its rights and seek to have the Project reinstated.</w:t>
      </w:r>
      <w:r w:rsidR="00445B0F">
        <w:rPr>
          <w:rStyle w:val="FootnoteReference"/>
        </w:rPr>
        <w:footnoteReference w:id="70"/>
      </w:r>
    </w:p>
    <w:p w14:paraId="3845DE72" w14:textId="21085BBF" w:rsidR="00BF7192" w:rsidRDefault="000703C3" w:rsidP="00DE7C82">
      <w:pPr>
        <w:pStyle w:val="FERCparanumber"/>
      </w:pPr>
      <w:r>
        <w:t xml:space="preserve">Oklo contends that </w:t>
      </w:r>
      <w:r w:rsidR="008815DF">
        <w:t>reinstating the Project will not unnecessarily delay Cycle 01 or harm other developers</w:t>
      </w:r>
      <w:r w:rsidR="00634DC8">
        <w:t xml:space="preserve"> because it has taken every opportunity to minimize delays associated with reinstatement and stands ready to provide PJM wi</w:t>
      </w:r>
      <w:r w:rsidR="00C13EE1">
        <w:t>th the information to accelerate any further review necessary</w:t>
      </w:r>
      <w:r w:rsidR="004960B6">
        <w:t>.</w:t>
      </w:r>
      <w:r w:rsidR="004960B6">
        <w:rPr>
          <w:rStyle w:val="FootnoteReference"/>
        </w:rPr>
        <w:footnoteReference w:id="71"/>
      </w:r>
      <w:r w:rsidR="00D818F1">
        <w:t xml:space="preserve">  Regarding PJM’s argument that reinstating the Project woul</w:t>
      </w:r>
      <w:r w:rsidR="00C471FB">
        <w:t xml:space="preserve">d harm other developers that have been relying on the Cycle 01 Base Case model posted on August 28, 2026, </w:t>
      </w:r>
      <w:r w:rsidR="00486353">
        <w:t xml:space="preserve">Oklo argues that </w:t>
      </w:r>
      <w:r w:rsidR="00CF2E4E">
        <w:t xml:space="preserve">the model is invalid if the Project was erroneously </w:t>
      </w:r>
      <w:r w:rsidR="00DE7C82">
        <w:t>withdrawn</w:t>
      </w:r>
      <w:r w:rsidR="00CF2E4E">
        <w:t>, and developers assume the risk associated with</w:t>
      </w:r>
      <w:r w:rsidR="006B41EE">
        <w:t xml:space="preserve"> other developers’ decisions at this state of the Cycle 01 process.</w:t>
      </w:r>
      <w:r w:rsidR="00DE7C82">
        <w:t xml:space="preserve">  Additionally, Oklo contends that each time a developer is added or removed, the cost share of possible network upgrades is subject to change, so the list of planned generators is fluid, and reinstatement would not increase developer risk beyond what developers already expect for this stage of the process</w:t>
      </w:r>
      <w:r w:rsidR="007343E2">
        <w:t>.</w:t>
      </w:r>
      <w:r w:rsidR="007343E2">
        <w:rPr>
          <w:rStyle w:val="FootnoteReference"/>
        </w:rPr>
        <w:footnoteReference w:id="72"/>
      </w:r>
    </w:p>
    <w:p w14:paraId="0E24E6F5" w14:textId="720EC2B7" w:rsidR="008815DF" w:rsidRDefault="008815DF" w:rsidP="00D004E2">
      <w:pPr>
        <w:pStyle w:val="FERCparanumber"/>
      </w:pPr>
      <w:r>
        <w:t xml:space="preserve">Finally, Oklo </w:t>
      </w:r>
      <w:r w:rsidR="00DE4CDF">
        <w:t>argues that the complaint in this docket is its only recourse because contrary to PJM’s suggestion, PJM’s EIT is not a viable alternative.</w:t>
      </w:r>
      <w:r w:rsidR="00DE4CDF">
        <w:rPr>
          <w:rStyle w:val="FootnoteReference"/>
        </w:rPr>
        <w:footnoteReference w:id="73"/>
      </w:r>
      <w:r w:rsidR="00E83427">
        <w:t xml:space="preserve">  Oklo argues that PJM’s EIT</w:t>
      </w:r>
      <w:r w:rsidR="00D004E2">
        <w:t xml:space="preserve"> “imposes numerous additional requirements that Oklo has not planned for and does not believe are compatible with the Project.”</w:t>
      </w:r>
      <w:r w:rsidR="00D004E2">
        <w:rPr>
          <w:rStyle w:val="FootnoteReference"/>
        </w:rPr>
        <w:footnoteReference w:id="74"/>
      </w:r>
      <w:r w:rsidR="00E83427">
        <w:t xml:space="preserve"> </w:t>
      </w:r>
      <w:r w:rsidR="00044499">
        <w:t xml:space="preserve"> </w:t>
      </w:r>
    </w:p>
    <w:p w14:paraId="02C65D4B" w14:textId="3B2862A6" w:rsidR="00331AEE" w:rsidRDefault="00331AEE" w:rsidP="00331AEE">
      <w:pPr>
        <w:pStyle w:val="Heading2"/>
      </w:pPr>
      <w:r>
        <w:t>PJM’s September 18 Answer</w:t>
      </w:r>
    </w:p>
    <w:p w14:paraId="45CB8A9A" w14:textId="77777777" w:rsidR="00527501" w:rsidRDefault="00527501" w:rsidP="00527501">
      <w:pPr>
        <w:pStyle w:val="FERCparanumber"/>
        <w:spacing w:after="240"/>
      </w:pPr>
      <w:r>
        <w:t>PJM continues to argue that the complaint should be denied because PJM followed its Tariff in determining that the Project’s Application should be rejected.</w:t>
      </w:r>
      <w:r>
        <w:rPr>
          <w:rStyle w:val="FootnoteReference"/>
        </w:rPr>
        <w:footnoteReference w:id="75"/>
      </w:r>
      <w:r>
        <w:t xml:space="preserve">  PJM asserts </w:t>
      </w:r>
      <w:r>
        <w:lastRenderedPageBreak/>
        <w:t>that Oklo’s contentions that PJM performed a “surprise test” for the Project are false.</w:t>
      </w:r>
      <w:r>
        <w:rPr>
          <w:rStyle w:val="FootnoteReference"/>
        </w:rPr>
        <w:footnoteReference w:id="76"/>
      </w:r>
      <w:r>
        <w:t xml:space="preserve">  PJM explains that the purpose of dynamic modeling is to use the individual PSSE models submitted by project developers to build a consolidated model of all projects in a Cycle, which it states it can only do with projects that demonstrate stability across the full MFO.</w:t>
      </w:r>
      <w:r>
        <w:rPr>
          <w:rStyle w:val="FootnoteReference"/>
        </w:rPr>
        <w:footnoteReference w:id="77"/>
      </w:r>
      <w:r>
        <w:t xml:space="preserve">  PJM reiterates that accepting dynamic models that are not stable would result in the Base Case model being unstable and unusable for the interconnection studies PJM performs throughout the Cycle process.</w:t>
      </w:r>
      <w:r>
        <w:rPr>
          <w:rStyle w:val="FootnoteReference"/>
        </w:rPr>
        <w:footnoteReference w:id="78"/>
      </w:r>
      <w:r>
        <w:t xml:space="preserve">  PJM argues that it performs industry-standard five-cycle, three-phase fault disturbance tests on all projects to ensure that the model is workable to be included in the overall cycle model.</w:t>
      </w:r>
      <w:r>
        <w:rPr>
          <w:rStyle w:val="FootnoteReference"/>
        </w:rPr>
        <w:footnoteReference w:id="79"/>
      </w:r>
      <w:r>
        <w:t xml:space="preserve">  </w:t>
      </w:r>
    </w:p>
    <w:p w14:paraId="2C911315" w14:textId="77777777" w:rsidR="00527501" w:rsidRDefault="00527501" w:rsidP="00527501">
      <w:pPr>
        <w:pStyle w:val="FERCparanumber"/>
        <w:spacing w:after="240"/>
      </w:pPr>
      <w:r w:rsidRPr="001640BF">
        <w:t>PJM notes that, as reflected in PJM Manual 14B, th</w:t>
      </w:r>
      <w:r>
        <w:t>e stability analysis “is performed at the maximum MW output specified for the project.”</w:t>
      </w:r>
      <w:r>
        <w:rPr>
          <w:rStyle w:val="FootnoteReference"/>
        </w:rPr>
        <w:footnoteReference w:id="80"/>
      </w:r>
      <w:r>
        <w:t xml:space="preserve">  PJM states that it agrees with Oklo that the Project’s model was stable at the time it submitted its initial Application, but in its attempt to resolve the DSTATE issues identified in the May 15 Deficiency Notice, Oklo turned offline from the model all the generating units other than the inverter-based units.  PJM found that when the remaining units were turned online (as necessary to evaluate stability across the entire output) and the “disturbance” test was performed, the model became unstable.</w:t>
      </w:r>
      <w:r>
        <w:rPr>
          <w:rStyle w:val="FootnoteReference"/>
        </w:rPr>
        <w:footnoteReference w:id="81"/>
      </w:r>
      <w:r>
        <w:t xml:space="preserve">  PJM argues that this stems from Oklo’s decision to not check that its cure package model was stable across the entire MFO before submitting its cure package, not from PJM’s failure to correctly apply the DMDG to the Project or the application of a “new test.”</w:t>
      </w:r>
    </w:p>
    <w:p w14:paraId="5495DE00" w14:textId="77777777" w:rsidR="00527501" w:rsidRDefault="00527501" w:rsidP="00527501">
      <w:pPr>
        <w:pStyle w:val="FERCparanumber"/>
        <w:spacing w:after="240"/>
      </w:pPr>
      <w:r>
        <w:t xml:space="preserve">PJM argues that Oklo’s assertions in the complaint that the Project must be reinstated to Cycle 01 because it is its only recourse to “avoid harm” and “continue </w:t>
      </w:r>
      <w:r>
        <w:lastRenderedPageBreak/>
        <w:t xml:space="preserve">development on schedule” </w:t>
      </w:r>
      <w:r>
        <w:rPr>
          <w:rStyle w:val="FootnoteReference"/>
        </w:rPr>
        <w:footnoteReference w:id="82"/>
      </w:r>
      <w:r>
        <w:t xml:space="preserve"> conflict with other public statements about the Project, which characterize it as “an </w:t>
      </w:r>
      <w:r w:rsidRPr="001144C7">
        <w:rPr>
          <w:i/>
          <w:iCs/>
        </w:rPr>
        <w:t>early-stage potential</w:t>
      </w:r>
      <w:r>
        <w:t xml:space="preserve"> generation project” that “remains under development,” and “should not be understood as a . . . commitment to a particular generation configuration.”</w:t>
      </w:r>
      <w:r>
        <w:rPr>
          <w:rStyle w:val="FootnoteReference"/>
        </w:rPr>
        <w:footnoteReference w:id="83"/>
      </w:r>
      <w:r>
        <w:t xml:space="preserve">  PJM asserts that these statements undercut Oklo’s “claims of urgency” and “dire need to be reinserted in Cycle 01.”</w:t>
      </w:r>
      <w:r>
        <w:rPr>
          <w:rStyle w:val="FootnoteReference"/>
        </w:rPr>
        <w:footnoteReference w:id="84"/>
      </w:r>
    </w:p>
    <w:p w14:paraId="37F7A01B" w14:textId="147289E2" w:rsidR="00331AEE" w:rsidRPr="00331AEE" w:rsidRDefault="00527501" w:rsidP="00527501">
      <w:pPr>
        <w:pStyle w:val="FERCparanumber"/>
      </w:pPr>
      <w:r>
        <w:t>PJM reiterates that the June 24 NextGen Comments were advisory.</w:t>
      </w:r>
      <w:r>
        <w:rPr>
          <w:rStyle w:val="FootnoteReference"/>
        </w:rPr>
        <w:footnoteReference w:id="85"/>
      </w:r>
      <w:r>
        <w:t xml:space="preserve">  PJM states that NextGen serves as a log to reflect comments by PJM engineers as they evaluate materials in real time, and for </w:t>
      </w:r>
      <w:r w:rsidRPr="00CD631D">
        <w:t xml:space="preserve">projects that remain in “Data Deficient” status after a deficiency review is completed, it is a helpful advisory tool for </w:t>
      </w:r>
      <w:r>
        <w:t>p</w:t>
      </w:r>
      <w:r w:rsidRPr="00CD631D">
        <w:t xml:space="preserve">roject </w:t>
      </w:r>
      <w:r>
        <w:t>d</w:t>
      </w:r>
      <w:r w:rsidRPr="00CD631D">
        <w:t>evelopers seeking to resubmit Applications in subsequent Cycles</w:t>
      </w:r>
      <w:r>
        <w:t>.</w:t>
      </w:r>
      <w:r>
        <w:rPr>
          <w:rStyle w:val="FootnoteReference"/>
        </w:rPr>
        <w:footnoteReference w:id="86"/>
      </w:r>
      <w:r>
        <w:t xml:space="preserve">  PJM states that, contrary to Oklo’s claims that PJM failed to timely communicate its withdrawal decision, in the interest of efficiency and to prevent undue discrimination, it issued withdrawal notices for all project developers at the same time on August 3, 2026.</w:t>
      </w:r>
      <w:r>
        <w:rPr>
          <w:rStyle w:val="FootnoteReference"/>
        </w:rPr>
        <w:footnoteReference w:id="87"/>
      </w:r>
      <w:r>
        <w:t xml:space="preserve">  PJM asserts that releasing all withdrawal notices at the same time allowed PJM to ensure that it fairly evaluated all Applications in a consistent manner.</w:t>
      </w:r>
      <w:r>
        <w:rPr>
          <w:rStyle w:val="FootnoteReference"/>
        </w:rPr>
        <w:footnoteReference w:id="88"/>
      </w:r>
    </w:p>
    <w:p w14:paraId="6BF642F3" w14:textId="2CC3E89D" w:rsidR="006B680B" w:rsidRDefault="00045E13" w:rsidP="00605965">
      <w:pPr>
        <w:pStyle w:val="Heading1"/>
      </w:pPr>
      <w:r>
        <w:t>Discussion</w:t>
      </w:r>
    </w:p>
    <w:p w14:paraId="6B1D1AC3" w14:textId="77777777" w:rsidR="006B680B" w:rsidRDefault="006B680B" w:rsidP="006B680B">
      <w:pPr>
        <w:pStyle w:val="Heading2"/>
      </w:pPr>
      <w:r>
        <w:t xml:space="preserve">Procedural Matters </w:t>
      </w:r>
    </w:p>
    <w:p w14:paraId="78D36A01" w14:textId="4DE7E7F1" w:rsidR="00D10CFE" w:rsidRPr="00D10CFE" w:rsidRDefault="00D10CFE" w:rsidP="00D10CFE">
      <w:pPr>
        <w:pStyle w:val="FERCparanumber"/>
      </w:pPr>
      <w:r w:rsidRPr="00D10CFE">
        <w:t>Pursuant to Rule 214 of the Commission</w:t>
      </w:r>
      <w:r>
        <w:t>’</w:t>
      </w:r>
      <w:r w:rsidRPr="00D10CFE">
        <w:t xml:space="preserve">s Rules of Practice and Procedure, </w:t>
      </w:r>
      <w:r w:rsidR="00DE001E">
        <w:t xml:space="preserve">        </w:t>
      </w:r>
      <w:r w:rsidRPr="00D10CFE">
        <w:t>18 C.F.R. §</w:t>
      </w:r>
      <w:r w:rsidR="009923C8">
        <w:t> </w:t>
      </w:r>
      <w:r w:rsidRPr="00D10CFE">
        <w:t>385.214 (2025), the timely, unopposed motions to intervene serve to make the entities that filed them parties to th</w:t>
      </w:r>
      <w:r w:rsidR="00D23D5D">
        <w:t>is</w:t>
      </w:r>
      <w:r w:rsidRPr="00D10CFE">
        <w:t xml:space="preserve"> proceeding.</w:t>
      </w:r>
    </w:p>
    <w:p w14:paraId="19245B0E" w14:textId="5B6129FD" w:rsidR="00B12D40" w:rsidRPr="00D10CFE" w:rsidRDefault="00B12D40" w:rsidP="00D10CFE">
      <w:pPr>
        <w:pStyle w:val="FERCparanumber"/>
      </w:pPr>
      <w:r w:rsidRPr="00B12D40">
        <w:lastRenderedPageBreak/>
        <w:t>Rule 213(a)(2) of the Commission</w:t>
      </w:r>
      <w:r w:rsidR="00D17879">
        <w:t>’</w:t>
      </w:r>
      <w:r w:rsidRPr="00B12D40">
        <w:t xml:space="preserve">s Rules of Practice and Procedure, </w:t>
      </w:r>
      <w:r w:rsidR="00DE001E">
        <w:t xml:space="preserve">                             </w:t>
      </w:r>
      <w:r w:rsidRPr="00B12D40">
        <w:t>18 C.F.R. § 385.213(a)(2) (202</w:t>
      </w:r>
      <w:r>
        <w:t>5</w:t>
      </w:r>
      <w:r w:rsidRPr="00B12D40">
        <w:t>), prohibits an answer to a</w:t>
      </w:r>
      <w:r>
        <w:t>n</w:t>
      </w:r>
      <w:r w:rsidRPr="00B12D40">
        <w:t xml:space="preserve"> </w:t>
      </w:r>
      <w:r w:rsidR="002C56D4">
        <w:t>answer</w:t>
      </w:r>
      <w:r w:rsidRPr="00B12D40">
        <w:t xml:space="preserve"> unless otherwise ordered by the decisional authority.  We accept </w:t>
      </w:r>
      <w:r w:rsidR="001075D6">
        <w:t>Oklo’s</w:t>
      </w:r>
      <w:r w:rsidRPr="00B12D40">
        <w:t xml:space="preserve"> </w:t>
      </w:r>
      <w:r w:rsidR="00527501">
        <w:t xml:space="preserve">and PJM’s </w:t>
      </w:r>
      <w:r w:rsidRPr="00B12D40">
        <w:t>answer</w:t>
      </w:r>
      <w:r w:rsidR="00527501">
        <w:t>s</w:t>
      </w:r>
      <w:r w:rsidRPr="00B12D40">
        <w:t xml:space="preserve"> because </w:t>
      </w:r>
      <w:r w:rsidR="00527501">
        <w:t>they have</w:t>
      </w:r>
      <w:r w:rsidRPr="00B12D40">
        <w:t xml:space="preserve"> provided information that assisted us in our decision-making process</w:t>
      </w:r>
      <w:r w:rsidR="00F564B4">
        <w:t>.</w:t>
      </w:r>
    </w:p>
    <w:p w14:paraId="5F3C8D7E" w14:textId="6D0663F8" w:rsidR="006B680B" w:rsidRDefault="006B680B" w:rsidP="006B680B">
      <w:pPr>
        <w:pStyle w:val="Heading2"/>
      </w:pPr>
      <w:r>
        <w:t>Substantive Matters</w:t>
      </w:r>
    </w:p>
    <w:p w14:paraId="0860F102" w14:textId="6C501DB3" w:rsidR="00C71891" w:rsidRDefault="00F96454" w:rsidP="00F863B8">
      <w:pPr>
        <w:pStyle w:val="FERCparanumber"/>
      </w:pPr>
      <w:r>
        <w:t>As discussed below,</w:t>
      </w:r>
      <w:r w:rsidR="00C71891">
        <w:t xml:space="preserve"> we deny the </w:t>
      </w:r>
      <w:r w:rsidR="002E07E9">
        <w:t>c</w:t>
      </w:r>
      <w:r w:rsidR="00C71891">
        <w:t xml:space="preserve">omplaint.  </w:t>
      </w:r>
      <w:r w:rsidR="005E09FC" w:rsidRPr="005E09FC">
        <w:t>Under FPA section 206, “the burden of proof to show that any rate, charge, classification, rule, regulation, practice, or contract is unjust, unreasonable, unduly discriminatory, or preferential shall be upon .</w:t>
      </w:r>
      <w:r w:rsidR="00DA3EB5">
        <w:t xml:space="preserve"> </w:t>
      </w:r>
      <w:r w:rsidR="005E09FC" w:rsidRPr="005E09FC">
        <w:t>.</w:t>
      </w:r>
      <w:r w:rsidR="00DA3EB5">
        <w:t xml:space="preserve"> </w:t>
      </w:r>
      <w:r w:rsidR="005E09FC" w:rsidRPr="005E09FC">
        <w:t>. the complainant.”</w:t>
      </w:r>
      <w:r w:rsidR="005E09FC">
        <w:rPr>
          <w:rStyle w:val="FootnoteReference"/>
        </w:rPr>
        <w:footnoteReference w:id="89"/>
      </w:r>
      <w:r w:rsidR="005E09FC">
        <w:t xml:space="preserve">  </w:t>
      </w:r>
      <w:r w:rsidR="00C71891">
        <w:t xml:space="preserve">We find that </w:t>
      </w:r>
      <w:r w:rsidR="00E84ACF">
        <w:t>O</w:t>
      </w:r>
      <w:r w:rsidR="004F0FAB">
        <w:t xml:space="preserve">klo failed </w:t>
      </w:r>
      <w:r w:rsidR="00531C81">
        <w:t>to</w:t>
      </w:r>
      <w:r w:rsidR="004F0FAB">
        <w:t xml:space="preserve"> meet its burden to show that </w:t>
      </w:r>
      <w:r w:rsidR="00C71891">
        <w:t>PJM violate</w:t>
      </w:r>
      <w:r w:rsidR="004F0FAB">
        <w:t>d</w:t>
      </w:r>
      <w:r w:rsidR="00C71891">
        <w:t xml:space="preserve"> the Tariff </w:t>
      </w:r>
      <w:r w:rsidR="001118BC">
        <w:t xml:space="preserve">during </w:t>
      </w:r>
      <w:r w:rsidR="00A74F23" w:rsidRPr="00A74F23">
        <w:t xml:space="preserve">the interconnection process </w:t>
      </w:r>
      <w:r w:rsidR="00117704">
        <w:t>for</w:t>
      </w:r>
      <w:r w:rsidR="00A74F23" w:rsidRPr="00A74F23">
        <w:t xml:space="preserve"> </w:t>
      </w:r>
      <w:r w:rsidR="009202A9">
        <w:t xml:space="preserve">the </w:t>
      </w:r>
      <w:r w:rsidR="00A74F23" w:rsidRPr="00A74F23">
        <w:t>Project</w:t>
      </w:r>
      <w:r w:rsidR="00216BAD">
        <w:t>.</w:t>
      </w:r>
      <w:r w:rsidR="00023528">
        <w:t xml:space="preserve">  </w:t>
      </w:r>
    </w:p>
    <w:p w14:paraId="635028F5" w14:textId="725F5EB3" w:rsidR="00301CF6" w:rsidRDefault="009D5080" w:rsidP="003D0E67">
      <w:pPr>
        <w:pStyle w:val="FERCparanumber"/>
      </w:pPr>
      <w:r w:rsidRPr="009D5080">
        <w:t>Section 403(B)(1)</w:t>
      </w:r>
      <w:r w:rsidR="00392C99">
        <w:rPr>
          <w:rStyle w:val="FootnoteReference"/>
        </w:rPr>
        <w:footnoteReference w:id="90"/>
      </w:r>
      <w:r w:rsidR="0066311F">
        <w:t xml:space="preserve"> of the Tariff </w:t>
      </w:r>
      <w:r w:rsidR="00B64F3D">
        <w:t xml:space="preserve">required PJM to exercise </w:t>
      </w:r>
      <w:r w:rsidR="002E585E">
        <w:t>“</w:t>
      </w:r>
      <w:r w:rsidR="00B64F3D">
        <w:t>Reasonable Efforts</w:t>
      </w:r>
      <w:r w:rsidR="002E585E">
        <w:t>”</w:t>
      </w:r>
      <w:r w:rsidR="00B64F3D">
        <w:t xml:space="preserve"> </w:t>
      </w:r>
      <w:r w:rsidR="004264D1">
        <w:t>to inform Oklo of deficiencies with its Application within 15 business days of the Application deadline.</w:t>
      </w:r>
      <w:r w:rsidR="0000667D">
        <w:t xml:space="preserve">  </w:t>
      </w:r>
      <w:r w:rsidR="00C962F3" w:rsidRPr="009D5080">
        <w:t>Section 403(B)(1)</w:t>
      </w:r>
      <w:r w:rsidR="00C962F3">
        <w:t>(b)</w:t>
      </w:r>
      <w:r w:rsidR="00137E77">
        <w:t xml:space="preserve"> of the Tariff </w:t>
      </w:r>
      <w:r w:rsidR="00D6393C">
        <w:t>provided Oklo with 10 business days to respond to PJM’s deficiency determination</w:t>
      </w:r>
      <w:r w:rsidR="000758DD">
        <w:t>, after which s</w:t>
      </w:r>
      <w:r w:rsidR="00C962F3" w:rsidRPr="009D5080">
        <w:t>ection 403(B)(1)</w:t>
      </w:r>
      <w:r w:rsidR="00C962F3">
        <w:t>(c)</w:t>
      </w:r>
      <w:r w:rsidR="00692E4B">
        <w:t xml:space="preserve"> </w:t>
      </w:r>
      <w:r w:rsidR="005179B5">
        <w:t>required</w:t>
      </w:r>
      <w:r w:rsidR="00377732">
        <w:t xml:space="preserve"> PJM</w:t>
      </w:r>
      <w:r w:rsidR="005179B5">
        <w:t xml:space="preserve"> to exercise “Reasonable Efforts” to review Oklo’s response within </w:t>
      </w:r>
      <w:r w:rsidR="00DE001E">
        <w:t xml:space="preserve">                    </w:t>
      </w:r>
      <w:r w:rsidR="005179B5">
        <w:t xml:space="preserve">15 business </w:t>
      </w:r>
      <w:r w:rsidR="0007478D">
        <w:t xml:space="preserve">days and then </w:t>
      </w:r>
      <w:r w:rsidR="005D25C2">
        <w:t>“</w:t>
      </w:r>
      <w:r w:rsidR="0007478D">
        <w:t>either validate or reject</w:t>
      </w:r>
      <w:r w:rsidR="005D25C2">
        <w:t>”</w:t>
      </w:r>
      <w:r w:rsidR="0007478D">
        <w:t xml:space="preserve"> the Application.</w:t>
      </w:r>
      <w:r w:rsidR="001A750D">
        <w:t xml:space="preserve">  </w:t>
      </w:r>
      <w:r w:rsidR="00576035">
        <w:t>For purposes of section 403(B)(1), the Tariff defines Reasonable</w:t>
      </w:r>
      <w:r w:rsidR="00E51CA9">
        <w:t xml:space="preserve"> Efforts as</w:t>
      </w:r>
      <w:r w:rsidR="007F44DE">
        <w:t>,</w:t>
      </w:r>
      <w:r w:rsidR="00EC3B17">
        <w:t xml:space="preserve"> </w:t>
      </w:r>
      <w:r w:rsidR="0006118B">
        <w:t>“</w:t>
      </w:r>
      <w:r w:rsidR="00FC1D2C" w:rsidRPr="00FC1D2C">
        <w:t xml:space="preserve">with respect to any action required to be made, attempted, or taken by an Interconnection Party </w:t>
      </w:r>
      <w:r w:rsidR="00BA5F95">
        <w:t xml:space="preserve">[here, PJM] </w:t>
      </w:r>
      <w:r w:rsidR="001F5F2A">
        <w:t xml:space="preserve">. </w:t>
      </w:r>
      <w:r w:rsidR="009F4A65">
        <w:t>. .</w:t>
      </w:r>
      <w:r w:rsidR="009F4A65" w:rsidRPr="00FC1D2C">
        <w:t xml:space="preserve"> </w:t>
      </w:r>
      <w:r w:rsidR="009F4A65" w:rsidRPr="0006118B">
        <w:t>timely and consistent with Good Utility Practice and with efforts that such party would undertake for the protection of its own interests</w:t>
      </w:r>
      <w:r w:rsidR="009F4A65">
        <w:t>.”</w:t>
      </w:r>
      <w:r w:rsidR="009F4A65">
        <w:rPr>
          <w:rStyle w:val="FootnoteReference"/>
        </w:rPr>
        <w:footnoteReference w:id="91"/>
      </w:r>
    </w:p>
    <w:p w14:paraId="589F8C67" w14:textId="3D9F92E6" w:rsidR="00CB01D0" w:rsidRDefault="003D0E67" w:rsidP="00301CF6">
      <w:pPr>
        <w:pStyle w:val="FERCparanumber"/>
      </w:pPr>
      <w:r>
        <w:t xml:space="preserve">When read together, </w:t>
      </w:r>
      <w:r w:rsidRPr="004F32AC">
        <w:t>subsections (a), (b)</w:t>
      </w:r>
      <w:r>
        <w:t>,</w:t>
      </w:r>
      <w:r w:rsidRPr="004F32AC">
        <w:t xml:space="preserve"> and</w:t>
      </w:r>
      <w:r>
        <w:t xml:space="preserve"> (</w:t>
      </w:r>
      <w:r w:rsidRPr="004F32AC">
        <w:t>c) in section 403(B)(1) entitle</w:t>
      </w:r>
      <w:r>
        <w:t xml:space="preserve"> the Applicant to only</w:t>
      </w:r>
      <w:r w:rsidRPr="004F32AC">
        <w:t xml:space="preserve"> one opportunity to cure PJM’s initial deficiency notice</w:t>
      </w:r>
      <w:r>
        <w:t>,</w:t>
      </w:r>
      <w:r w:rsidRPr="004F32AC">
        <w:t xml:space="preserve"> provided that PJM exercised </w:t>
      </w:r>
      <w:r>
        <w:t>R</w:t>
      </w:r>
      <w:r w:rsidRPr="004F32AC">
        <w:t xml:space="preserve">easonable </w:t>
      </w:r>
      <w:r>
        <w:t>E</w:t>
      </w:r>
      <w:r w:rsidRPr="004F32AC">
        <w:t xml:space="preserve">fforts to timely identify deficiencies in </w:t>
      </w:r>
      <w:r>
        <w:t>the</w:t>
      </w:r>
      <w:r w:rsidRPr="004F32AC">
        <w:t xml:space="preserve"> initial notice.</w:t>
      </w:r>
      <w:r>
        <w:t xml:space="preserve">  Once the Applicant responds to PJM’s deficiency determination, section </w:t>
      </w:r>
      <w:r w:rsidRPr="009D5080">
        <w:t>403(B)(1)</w:t>
      </w:r>
      <w:r>
        <w:t xml:space="preserve">(c) is clear that PJM will exercise Reasonable Efforts to review that response within </w:t>
      </w:r>
      <w:r w:rsidR="00DE001E">
        <w:t xml:space="preserve">                        </w:t>
      </w:r>
      <w:r>
        <w:t>15 business days, “</w:t>
      </w:r>
      <w:r w:rsidRPr="003111AB">
        <w:rPr>
          <w:i/>
          <w:iCs/>
        </w:rPr>
        <w:t>and then will either validate or reject</w:t>
      </w:r>
      <w:r>
        <w:t xml:space="preserve"> the Application.”</w:t>
      </w:r>
      <w:r>
        <w:rPr>
          <w:rStyle w:val="FootnoteReference"/>
        </w:rPr>
        <w:footnoteReference w:id="92"/>
      </w:r>
      <w:r>
        <w:t xml:space="preserve">  </w:t>
      </w:r>
    </w:p>
    <w:p w14:paraId="209F0AE8" w14:textId="77777777" w:rsidR="00566A18" w:rsidRDefault="00374147" w:rsidP="00566A18">
      <w:pPr>
        <w:pStyle w:val="FERCparanumber"/>
      </w:pPr>
      <w:r>
        <w:t xml:space="preserve">In this case, </w:t>
      </w:r>
      <w:r w:rsidR="007B687C">
        <w:t xml:space="preserve">PJM’s </w:t>
      </w:r>
      <w:r w:rsidR="004D6AC3">
        <w:t xml:space="preserve">May 15 Deficiency Notice made clear </w:t>
      </w:r>
      <w:r w:rsidR="00877851">
        <w:t xml:space="preserve">that, </w:t>
      </w:r>
      <w:r w:rsidR="00171803">
        <w:t>among many other deficiencies</w:t>
      </w:r>
      <w:r w:rsidR="003D319F">
        <w:t>,</w:t>
      </w:r>
      <w:r w:rsidR="00171803">
        <w:t xml:space="preserve"> </w:t>
      </w:r>
      <w:r w:rsidR="001B336E">
        <w:t>Oklo</w:t>
      </w:r>
      <w:r w:rsidR="005A2F9D">
        <w:t>’</w:t>
      </w:r>
      <w:r w:rsidR="001B336E">
        <w:t xml:space="preserve">s </w:t>
      </w:r>
      <w:r w:rsidR="00271ECA">
        <w:t>P</w:t>
      </w:r>
      <w:r w:rsidR="001B336E">
        <w:t xml:space="preserve">roject </w:t>
      </w:r>
      <w:r w:rsidR="002B34BA">
        <w:t xml:space="preserve">had </w:t>
      </w:r>
      <w:r w:rsidR="00CE3857">
        <w:t>failed to</w:t>
      </w:r>
      <w:r w:rsidR="004D6AC3" w:rsidRPr="004D6AC3">
        <w:t xml:space="preserve"> </w:t>
      </w:r>
      <w:r w:rsidR="00171803">
        <w:t>“</w:t>
      </w:r>
      <w:r w:rsidR="004D6AC3" w:rsidRPr="004D6AC3">
        <w:t xml:space="preserve">initialize without any DSTATE errors or </w:t>
      </w:r>
      <w:r w:rsidR="004D6AC3" w:rsidRPr="004D6AC3">
        <w:lastRenderedPageBreak/>
        <w:t>suspect initial conditions</w:t>
      </w:r>
      <w:r w:rsidR="00171803">
        <w:t>”</w:t>
      </w:r>
      <w:r w:rsidR="00E238BC">
        <w:t xml:space="preserve"> and that </w:t>
      </w:r>
      <w:r w:rsidR="004D6AC3" w:rsidRPr="004D6AC3">
        <w:t xml:space="preserve">the </w:t>
      </w:r>
      <w:r w:rsidR="005F5104">
        <w:t>P</w:t>
      </w:r>
      <w:r w:rsidR="004D6AC3" w:rsidRPr="004D6AC3">
        <w:t xml:space="preserve">roject </w:t>
      </w:r>
      <w:r w:rsidR="00C64D5C">
        <w:t>needed</w:t>
      </w:r>
      <w:r w:rsidR="00F37D71">
        <w:t xml:space="preserve"> to initialize</w:t>
      </w:r>
      <w:r w:rsidR="004D6AC3" w:rsidRPr="004D6AC3">
        <w:t xml:space="preserve"> with </w:t>
      </w:r>
      <w:r w:rsidR="00F37D71">
        <w:t>“</w:t>
      </w:r>
      <w:r w:rsidR="004D6AC3" w:rsidRPr="004D6AC3">
        <w:t>all generators turned on</w:t>
      </w:r>
      <w:r w:rsidR="00EA22C0">
        <w:t>.”</w:t>
      </w:r>
      <w:r w:rsidR="00C5399C">
        <w:rPr>
          <w:rStyle w:val="FootnoteReference"/>
        </w:rPr>
        <w:footnoteReference w:id="93"/>
      </w:r>
      <w:r w:rsidR="007B687C">
        <w:t xml:space="preserve"> </w:t>
      </w:r>
      <w:r w:rsidR="00D774F9">
        <w:t xml:space="preserve"> In </w:t>
      </w:r>
      <w:r w:rsidR="007D4798">
        <w:t xml:space="preserve">reviewing </w:t>
      </w:r>
      <w:r w:rsidR="003D319F">
        <w:t xml:space="preserve">Oklo’s </w:t>
      </w:r>
      <w:r w:rsidR="00D774F9">
        <w:t>response</w:t>
      </w:r>
      <w:r w:rsidR="00512435">
        <w:t xml:space="preserve"> to PJM’s May 15 Deficiency Notice</w:t>
      </w:r>
      <w:r w:rsidR="00D774F9">
        <w:t xml:space="preserve">, </w:t>
      </w:r>
      <w:r w:rsidR="00673A44">
        <w:t xml:space="preserve">PJM found that </w:t>
      </w:r>
      <w:r w:rsidR="00485538">
        <w:t xml:space="preserve">Oklo failed to provide PJM with a workable model of its facility that demonstrates a stable </w:t>
      </w:r>
      <w:r w:rsidR="00A33B92">
        <w:t>system</w:t>
      </w:r>
      <w:r w:rsidR="00485538">
        <w:t xml:space="preserve"> </w:t>
      </w:r>
      <w:r w:rsidR="00DF7C1F">
        <w:t xml:space="preserve">with </w:t>
      </w:r>
      <w:r w:rsidR="00C8707C">
        <w:t xml:space="preserve">the </w:t>
      </w:r>
      <w:r w:rsidR="00485538">
        <w:t xml:space="preserve">MFO that can be used to build </w:t>
      </w:r>
      <w:r w:rsidR="0019707D">
        <w:t xml:space="preserve">the </w:t>
      </w:r>
      <w:r w:rsidR="00485538">
        <w:t>study model for the Cycle as a whole.</w:t>
      </w:r>
      <w:r w:rsidR="00485538">
        <w:rPr>
          <w:rStyle w:val="FootnoteReference"/>
        </w:rPr>
        <w:footnoteReference w:id="94"/>
      </w:r>
      <w:r w:rsidR="00485538">
        <w:t xml:space="preserve">  </w:t>
      </w:r>
      <w:r w:rsidR="00CE54CA">
        <w:t xml:space="preserve">PJM further explained that </w:t>
      </w:r>
      <w:r w:rsidR="00370C42">
        <w:t xml:space="preserve">Oklo’s response to </w:t>
      </w:r>
      <w:r w:rsidR="00512435">
        <w:t>PJM’s May 15 D</w:t>
      </w:r>
      <w:r w:rsidR="00370C42">
        <w:t xml:space="preserve">eficiency </w:t>
      </w:r>
      <w:r w:rsidR="00512435">
        <w:t xml:space="preserve">Notice </w:t>
      </w:r>
      <w:r w:rsidR="00485538">
        <w:t xml:space="preserve">contained a PSSE model that was </w:t>
      </w:r>
      <w:r w:rsidR="00716627">
        <w:t>“not acceptable and could not be validated</w:t>
      </w:r>
      <w:r w:rsidR="00056F67">
        <w:t>.</w:t>
      </w:r>
      <w:r w:rsidR="00716627">
        <w:t>”</w:t>
      </w:r>
      <w:r w:rsidR="00A612DD">
        <w:rPr>
          <w:rStyle w:val="FootnoteReference"/>
        </w:rPr>
        <w:footnoteReference w:id="95"/>
      </w:r>
      <w:r w:rsidR="00056F67">
        <w:t xml:space="preserve">  </w:t>
      </w:r>
      <w:r w:rsidR="00295216" w:rsidRPr="00295216">
        <w:t xml:space="preserve">PJM notes that to address certain deficiencies highlighted in the May 15 Deficiency Notice with the PSSE model, rather than cure the model, Oklo exacerbated the deficiencies with the dynamic model by deleting the </w:t>
      </w:r>
      <w:r w:rsidR="000F433B">
        <w:t>safety components for</w:t>
      </w:r>
      <w:r w:rsidR="00295216" w:rsidRPr="00295216">
        <w:t xml:space="preserve"> the synchronous units</w:t>
      </w:r>
      <w:r w:rsidR="002B6FC1">
        <w:t xml:space="preserve"> in the model</w:t>
      </w:r>
      <w:r w:rsidR="00295216" w:rsidRPr="00295216">
        <w:t>.</w:t>
      </w:r>
      <w:r w:rsidR="00295216" w:rsidRPr="00295216">
        <w:rPr>
          <w:b/>
          <w:vertAlign w:val="superscript"/>
        </w:rPr>
        <w:footnoteReference w:id="96"/>
      </w:r>
      <w:r w:rsidR="00295216" w:rsidRPr="00295216">
        <w:t xml:space="preserve">  As a result, PJM found that Oklo’s cure model only demonstrated that the 300 MW IBR (fuel cell) portion of the 750 MW facility </w:t>
      </w:r>
      <w:r w:rsidR="001C5E21">
        <w:t>would be</w:t>
      </w:r>
      <w:r w:rsidR="009C7960">
        <w:t xml:space="preserve"> stable</w:t>
      </w:r>
      <w:r w:rsidR="00764AF8">
        <w:t>,</w:t>
      </w:r>
      <w:r w:rsidR="009C7960">
        <w:t xml:space="preserve"> </w:t>
      </w:r>
      <w:r w:rsidR="00CB1504">
        <w:t xml:space="preserve">rather than showing that the entire 750 </w:t>
      </w:r>
      <w:r w:rsidR="003F434D">
        <w:t xml:space="preserve">MW </w:t>
      </w:r>
      <w:r w:rsidR="001C5E21">
        <w:t>P</w:t>
      </w:r>
      <w:r w:rsidR="00135176">
        <w:t>roject</w:t>
      </w:r>
      <w:r w:rsidR="001A7D52">
        <w:t>, including the nuclear and natural gas units</w:t>
      </w:r>
      <w:r w:rsidR="00135176">
        <w:t xml:space="preserve"> </w:t>
      </w:r>
      <w:r w:rsidR="001C5E21">
        <w:t>would be</w:t>
      </w:r>
      <w:r w:rsidR="00135176">
        <w:t xml:space="preserve"> stable</w:t>
      </w:r>
      <w:r w:rsidR="009F68C1">
        <w:t>.</w:t>
      </w:r>
      <w:r w:rsidR="009C7960">
        <w:t xml:space="preserve">  </w:t>
      </w:r>
      <w:r w:rsidR="00FB46B3">
        <w:t xml:space="preserve">As PJM explains, </w:t>
      </w:r>
      <w:r w:rsidR="00A56086">
        <w:t xml:space="preserve">if the developer cannot demonstrate its entire facility is workable at its </w:t>
      </w:r>
      <w:r w:rsidR="00F8379A">
        <w:t>MFO</w:t>
      </w:r>
      <w:r w:rsidR="00A56086">
        <w:t xml:space="preserve">, </w:t>
      </w:r>
      <w:r w:rsidR="00F005F3">
        <w:t xml:space="preserve">the deficiencies in the individual project model will prevent </w:t>
      </w:r>
      <w:r w:rsidR="002569AE">
        <w:t xml:space="preserve">the collective Cycle 01 model from operating properly.  </w:t>
      </w:r>
      <w:r w:rsidR="00EC2B25">
        <w:t xml:space="preserve">Because </w:t>
      </w:r>
      <w:r w:rsidR="00F92633">
        <w:t xml:space="preserve">PJM found that </w:t>
      </w:r>
      <w:r w:rsidR="00637CB3">
        <w:t>deficiencies identified in the May 15 Deficiency Notice remained unresolved after Oklo submitted its</w:t>
      </w:r>
      <w:r w:rsidR="00636C3D">
        <w:t xml:space="preserve"> cure package, </w:t>
      </w:r>
      <w:r w:rsidR="00D956B9" w:rsidRPr="00D956B9">
        <w:t xml:space="preserve">PJM’s decision to reject and withdraw the Project from Cycle 01 was consistent with section 403(B)(1)(c) of the Tariff.  </w:t>
      </w:r>
    </w:p>
    <w:p w14:paraId="67791094" w14:textId="7D969162" w:rsidR="00EC328E" w:rsidRDefault="001C0DD4" w:rsidP="00566A18">
      <w:pPr>
        <w:pStyle w:val="FERCparanumber"/>
      </w:pPr>
      <w:r>
        <w:t xml:space="preserve">We are unpersuaded by Oklo’s remaining arguments.  Oklo </w:t>
      </w:r>
      <w:r w:rsidR="00D619DA" w:rsidRPr="00D619DA">
        <w:t xml:space="preserve">asserts that PJM’s June 24 NextGen Comments did not comply with PJM’s enumerated process in </w:t>
      </w:r>
      <w:r w:rsidR="00DE001E">
        <w:t xml:space="preserve">     </w:t>
      </w:r>
      <w:r w:rsidR="00D619DA" w:rsidRPr="00D619DA">
        <w:lastRenderedPageBreak/>
        <w:t>section 403(B)(1)(a) of the Tariff because they were uploaded 41 business days after the Application Deadline (26 business days after PJM’s window to raise deficiencies) and were not updates to previously flagged deficiencies.  Oklo also contends that PJM failed to satisfy the requirements of section 403(B)(1)(a) because four of the five issues raised in the June 24 NextGen Comments addressed topics that PJM could have flagged on the initial review but did not</w:t>
      </w:r>
      <w:r w:rsidR="00D619DA">
        <w:t xml:space="preserve">.  </w:t>
      </w:r>
      <w:r w:rsidR="000F5FA1">
        <w:t xml:space="preserve">Irrespective of </w:t>
      </w:r>
      <w:r w:rsidR="007E5AED">
        <w:t xml:space="preserve">PJM’s </w:t>
      </w:r>
      <w:r w:rsidR="00A202E6">
        <w:t>June 24 NextGen comments</w:t>
      </w:r>
      <w:r w:rsidR="00884F48">
        <w:t>,</w:t>
      </w:r>
      <w:r w:rsidR="00590CCC">
        <w:t xml:space="preserve"> </w:t>
      </w:r>
      <w:r w:rsidR="00A202E6">
        <w:t>Oklo fail</w:t>
      </w:r>
      <w:r w:rsidR="00591B47">
        <w:t>ed</w:t>
      </w:r>
      <w:r w:rsidR="00A202E6">
        <w:t xml:space="preserve"> to </w:t>
      </w:r>
      <w:r w:rsidR="00F66D35">
        <w:t xml:space="preserve">demonstrate a stable </w:t>
      </w:r>
      <w:r w:rsidR="00F7487C">
        <w:t>system</w:t>
      </w:r>
      <w:r w:rsidR="00F66D35">
        <w:t xml:space="preserve"> for the facility’s MFO</w:t>
      </w:r>
      <w:r w:rsidR="00E61312">
        <w:t xml:space="preserve">, and therefore </w:t>
      </w:r>
      <w:r w:rsidR="00001A78">
        <w:t xml:space="preserve">failed </w:t>
      </w:r>
      <w:r w:rsidR="00C53F66">
        <w:t xml:space="preserve">to </w:t>
      </w:r>
      <w:r w:rsidR="00A202E6">
        <w:t xml:space="preserve">cure the </w:t>
      </w:r>
      <w:r w:rsidR="0084569A">
        <w:t>Application</w:t>
      </w:r>
      <w:r w:rsidR="00164AE2">
        <w:t>, which</w:t>
      </w:r>
      <w:r w:rsidR="00A202E6">
        <w:t xml:space="preserve"> is sufficient to justify </w:t>
      </w:r>
      <w:r w:rsidR="007E5AED">
        <w:t>PJM</w:t>
      </w:r>
      <w:r w:rsidR="00AC2E8A">
        <w:t>’s</w:t>
      </w:r>
      <w:r w:rsidR="007E5AED">
        <w:t xml:space="preserve"> </w:t>
      </w:r>
      <w:r w:rsidR="00A202E6">
        <w:t>reject</w:t>
      </w:r>
      <w:r w:rsidR="00A202E6" w:rsidDel="007E5AED">
        <w:t>ion of</w:t>
      </w:r>
      <w:r w:rsidR="00A202E6">
        <w:t xml:space="preserve"> </w:t>
      </w:r>
      <w:r w:rsidR="007E5AED">
        <w:t>Oklo’s</w:t>
      </w:r>
      <w:r w:rsidR="00A202E6">
        <w:t xml:space="preserve"> application.</w:t>
      </w:r>
      <w:r w:rsidR="00301CF6">
        <w:t xml:space="preserve">  </w:t>
      </w:r>
      <w:r w:rsidR="00A202E6">
        <w:t xml:space="preserve">Moreover, </w:t>
      </w:r>
      <w:r w:rsidR="00EA0B22">
        <w:t xml:space="preserve">as PJM points out, </w:t>
      </w:r>
      <w:r w:rsidR="00437A54">
        <w:t xml:space="preserve">the Withdrawal Notice included deficiencies that were introduced </w:t>
      </w:r>
      <w:r w:rsidR="00EA0B22">
        <w:t>when Oklo subm</w:t>
      </w:r>
      <w:r w:rsidR="001B4AED">
        <w:t>itted its cure package</w:t>
      </w:r>
      <w:r w:rsidR="005F0CE5">
        <w:t>.</w:t>
      </w:r>
      <w:r w:rsidR="001B4AED">
        <w:rPr>
          <w:rStyle w:val="FootnoteReference"/>
        </w:rPr>
        <w:footnoteReference w:id="97"/>
      </w:r>
      <w:r w:rsidR="005F0CE5">
        <w:t xml:space="preserve">  </w:t>
      </w:r>
    </w:p>
    <w:p w14:paraId="493F9841" w14:textId="14544AF9" w:rsidR="000A1605" w:rsidRDefault="00AB5F6A" w:rsidP="00D666A2">
      <w:pPr>
        <w:pStyle w:val="FERCparanumber"/>
      </w:pPr>
      <w:r>
        <w:t>Add</w:t>
      </w:r>
      <w:r w:rsidR="0036115F">
        <w:t xml:space="preserve">itionally, </w:t>
      </w:r>
      <w:r w:rsidR="0036115F" w:rsidRPr="0036115F">
        <w:t xml:space="preserve">Oklo argues that PJM violated section 205 of the FPA by deviating from its guidelines and </w:t>
      </w:r>
      <w:r w:rsidR="0005251C">
        <w:t>requiring the Project to demonstrate</w:t>
      </w:r>
      <w:r w:rsidR="0052516F">
        <w:t xml:space="preserve"> low-voltage ride</w:t>
      </w:r>
      <w:r w:rsidR="0005251C">
        <w:t xml:space="preserve"> </w:t>
      </w:r>
      <w:r w:rsidR="0052516F">
        <w:t xml:space="preserve">through </w:t>
      </w:r>
      <w:r w:rsidR="0005251C">
        <w:t xml:space="preserve">capability for the entire facility, </w:t>
      </w:r>
      <w:r w:rsidR="0036115F" w:rsidRPr="0036115F">
        <w:t>a condition of service that has no basis in the Tariff.</w:t>
      </w:r>
      <w:r w:rsidR="00A135D7">
        <w:t xml:space="preserve">  </w:t>
      </w:r>
      <w:r w:rsidR="00577AFB" w:rsidRPr="00577AFB">
        <w:t>Oklo</w:t>
      </w:r>
      <w:r w:rsidR="00BE37B0">
        <w:t xml:space="preserve"> argues </w:t>
      </w:r>
      <w:r w:rsidR="00116BF4">
        <w:t>that</w:t>
      </w:r>
      <w:r w:rsidR="00BE37B0">
        <w:t xml:space="preserve"> it met </w:t>
      </w:r>
      <w:r w:rsidR="00475B7F">
        <w:t>the requirement</w:t>
      </w:r>
      <w:r w:rsidR="00AB1840">
        <w:t xml:space="preserve"> </w:t>
      </w:r>
      <w:r w:rsidR="00475B7F">
        <w:t>i</w:t>
      </w:r>
      <w:r w:rsidR="00B6306C">
        <w:t>n</w:t>
      </w:r>
      <w:r w:rsidR="00577AFB" w:rsidRPr="00577AFB">
        <w:t xml:space="preserve"> DMDG section 7.4 Voltage Ride Through Test </w:t>
      </w:r>
      <w:r w:rsidR="000A1605">
        <w:t>(for IBR):</w:t>
      </w:r>
    </w:p>
    <w:p w14:paraId="27419CF2" w14:textId="3703ACBC" w:rsidR="000A1605" w:rsidRDefault="0053662B" w:rsidP="007955A3">
      <w:pPr>
        <w:pStyle w:val="BlockIndent"/>
      </w:pPr>
      <w:r w:rsidRPr="0053662B">
        <w:t xml:space="preserve">For inverter-based resources a three-phase fault is applied at the </w:t>
      </w:r>
      <w:r w:rsidR="00CF0570">
        <w:t>[point of interconnection]</w:t>
      </w:r>
      <w:r w:rsidRPr="0053662B">
        <w:t xml:space="preserve"> for 9 cycles. </w:t>
      </w:r>
      <w:r w:rsidR="004E767C">
        <w:t xml:space="preserve"> </w:t>
      </w:r>
      <w:r w:rsidRPr="0053662B">
        <w:t xml:space="preserve">The fault is cleared without the loss of any elements. </w:t>
      </w:r>
      <w:r w:rsidR="004E767C">
        <w:t xml:space="preserve"> </w:t>
      </w:r>
      <w:r w:rsidRPr="0053662B">
        <w:t xml:space="preserve">The results of the VRT test shall show the unit(s) does not trip, the real and reactive power recovers to the prefault value. </w:t>
      </w:r>
      <w:r w:rsidR="004E767C">
        <w:t xml:space="preserve"> </w:t>
      </w:r>
      <w:r w:rsidRPr="0053662B">
        <w:t xml:space="preserve">The response shall also be reviewed to see if the unit(s) entered Momentary Cessation if both the real and reactive current went to 0. </w:t>
      </w:r>
      <w:r w:rsidR="004E767C">
        <w:t xml:space="preserve"> </w:t>
      </w:r>
      <w:r w:rsidRPr="0053662B">
        <w:t>Provide plots of real and reactive power, terminal voltage, terminal current and frequency.</w:t>
      </w:r>
    </w:p>
    <w:p w14:paraId="7298526B" w14:textId="5FBF5D4F" w:rsidR="00927AF4" w:rsidRDefault="00E75B94" w:rsidP="00AB2A05">
      <w:pPr>
        <w:pStyle w:val="FERCparanumber"/>
      </w:pPr>
      <w:r>
        <w:t>However</w:t>
      </w:r>
      <w:r w:rsidR="000C5EC6">
        <w:t xml:space="preserve"> </w:t>
      </w:r>
      <w:r>
        <w:t>a</w:t>
      </w:r>
      <w:r w:rsidR="005F3198">
        <w:t xml:space="preserve">s PJM </w:t>
      </w:r>
      <w:r w:rsidR="005251A1">
        <w:t>states</w:t>
      </w:r>
      <w:r w:rsidR="005F3198">
        <w:t xml:space="preserve">, </w:t>
      </w:r>
      <w:r w:rsidR="00F072AC">
        <w:t xml:space="preserve">the requirements in DMDG section 7.4 do not obviate the need for PSSE models to demonstrate stability across the </w:t>
      </w:r>
      <w:r w:rsidR="005F76BA">
        <w:t>P</w:t>
      </w:r>
      <w:r w:rsidR="00F072AC">
        <w:t xml:space="preserve">roject’s full </w:t>
      </w:r>
      <w:r w:rsidR="003A5291">
        <w:t>MFO</w:t>
      </w:r>
      <w:r w:rsidR="00753317" w:rsidRPr="00577AFB">
        <w:t xml:space="preserve"> </w:t>
      </w:r>
      <w:r w:rsidR="00577AFB" w:rsidRPr="00577AFB">
        <w:t xml:space="preserve">as specified in </w:t>
      </w:r>
      <w:r w:rsidR="00AE3B63">
        <w:t xml:space="preserve">other parts of the </w:t>
      </w:r>
      <w:r w:rsidR="00577AFB" w:rsidRPr="00577AFB">
        <w:t>DMDG</w:t>
      </w:r>
      <w:r w:rsidR="00AE3B63">
        <w:t>, including</w:t>
      </w:r>
      <w:r w:rsidR="00577AFB" w:rsidRPr="00577AFB">
        <w:t xml:space="preserve"> </w:t>
      </w:r>
      <w:r w:rsidR="007E4E89">
        <w:t xml:space="preserve">DMDG </w:t>
      </w:r>
      <w:r w:rsidR="00D27DE4">
        <w:t xml:space="preserve">section </w:t>
      </w:r>
      <w:r w:rsidR="007B1F9C" w:rsidRPr="00577AFB">
        <w:t>7.3</w:t>
      </w:r>
      <w:r w:rsidR="007B1F9C">
        <w:t xml:space="preserve"> (</w:t>
      </w:r>
      <w:r w:rsidR="006E29F6" w:rsidRPr="006E29F6">
        <w:t>power flow and dynamic models for any type of generator must be usable by the Siemens PTI PSS/E software platform to perform the simulation</w:t>
      </w:r>
      <w:r w:rsidR="007B1F9C">
        <w:t>)</w:t>
      </w:r>
      <w:r w:rsidR="00D27DE4">
        <w:t xml:space="preserve">, </w:t>
      </w:r>
      <w:r w:rsidR="0049442F">
        <w:t>section 8</w:t>
      </w:r>
      <w:r w:rsidR="0005772F">
        <w:t xml:space="preserve"> (</w:t>
      </w:r>
      <w:r w:rsidR="008F0E91">
        <w:t>outlining DMDG Model Checklist requirements)</w:t>
      </w:r>
      <w:r w:rsidR="0049442F">
        <w:t>,</w:t>
      </w:r>
      <w:r w:rsidR="00D27DE4">
        <w:t xml:space="preserve"> </w:t>
      </w:r>
      <w:r w:rsidR="00D27DE4" w:rsidRPr="00577AFB">
        <w:t xml:space="preserve">section 5 (the full facility model must be checked to ensure the gross active power output of the generator(s) can meet the MFO at the </w:t>
      </w:r>
      <w:r w:rsidR="00D27DE4">
        <w:t>point of interconnection</w:t>
      </w:r>
      <w:r w:rsidR="00D27DE4" w:rsidRPr="00577AFB">
        <w:t xml:space="preserve"> considering loads and losses for the facility)</w:t>
      </w:r>
      <w:r w:rsidR="00D91527">
        <w:t xml:space="preserve">, and section 3 (also providing software </w:t>
      </w:r>
      <w:r w:rsidR="00373213">
        <w:t>compatibility</w:t>
      </w:r>
      <w:r w:rsidR="00EF6141">
        <w:t xml:space="preserve"> </w:t>
      </w:r>
      <w:r w:rsidR="00E41981">
        <w:t>requirements</w:t>
      </w:r>
      <w:r w:rsidR="00373213">
        <w:t>)</w:t>
      </w:r>
      <w:r w:rsidR="00577AFB" w:rsidRPr="00577AFB">
        <w:t>.</w:t>
      </w:r>
      <w:r w:rsidR="004709E2">
        <w:rPr>
          <w:rStyle w:val="FootnoteReference"/>
        </w:rPr>
        <w:footnoteReference w:id="98"/>
      </w:r>
      <w:r w:rsidR="00577AFB" w:rsidRPr="00577AFB">
        <w:t xml:space="preserve">  Stated differently, even if Oklo properly followed DMDG section 7.4 with respect to the fuel cell portion of the Project, PJM properly withdrew the Project because Oklo failed to satisfy </w:t>
      </w:r>
      <w:r w:rsidR="00FE21FB">
        <w:t>other modeling</w:t>
      </w:r>
      <w:r w:rsidR="00577AFB" w:rsidRPr="00577AFB">
        <w:t xml:space="preserve"> requirements </w:t>
      </w:r>
      <w:r w:rsidR="00FE21FB">
        <w:t>specified in the</w:t>
      </w:r>
      <w:r w:rsidR="00577AFB" w:rsidRPr="00577AFB">
        <w:t xml:space="preserve"> DMDG.  </w:t>
      </w:r>
      <w:r w:rsidR="003638F5">
        <w:t xml:space="preserve">As noted by PJM, the </w:t>
      </w:r>
      <w:r w:rsidR="00C60AAD" w:rsidRPr="00C60AAD">
        <w:t xml:space="preserve">Commission “generally allows transmission providers to </w:t>
      </w:r>
      <w:r w:rsidR="00C60AAD" w:rsidRPr="00C60AAD">
        <w:lastRenderedPageBreak/>
        <w:t>exercise their engineering judgment when conducting interconnection studies, including deferring to transmission providers’ discretion regarding how to maintain a reliable transmission system.”</w:t>
      </w:r>
      <w:r w:rsidR="00C60AAD">
        <w:rPr>
          <w:rStyle w:val="FootnoteReference"/>
        </w:rPr>
        <w:footnoteReference w:id="99"/>
      </w:r>
    </w:p>
    <w:p w14:paraId="79E4F95A" w14:textId="776DDABC" w:rsidR="00520249" w:rsidRDefault="00E50207" w:rsidP="00AB2A05">
      <w:pPr>
        <w:pStyle w:val="FERCparanumber"/>
      </w:pPr>
      <w:r>
        <w:t xml:space="preserve"> </w:t>
      </w:r>
      <w:r w:rsidR="004D3F6C">
        <w:t xml:space="preserve">Oklo correctly states that the </w:t>
      </w:r>
      <w:r w:rsidR="00EB26BF">
        <w:t>five</w:t>
      </w:r>
      <w:r w:rsidR="00B95A10">
        <w:t xml:space="preserve"> cycle</w:t>
      </w:r>
      <w:r w:rsidR="00EB26BF">
        <w:t>,</w:t>
      </w:r>
      <w:r w:rsidR="004D3F6C">
        <w:t xml:space="preserve"> three-phase fault test is not in the DMDG</w:t>
      </w:r>
      <w:r w:rsidR="005E127A">
        <w:t xml:space="preserve">.  </w:t>
      </w:r>
      <w:r w:rsidR="0050733F">
        <w:t>But as noted earlier</w:t>
      </w:r>
      <w:r w:rsidR="00DF23A8">
        <w:t>,</w:t>
      </w:r>
      <w:r w:rsidR="0050733F">
        <w:t xml:space="preserve"> </w:t>
      </w:r>
      <w:r w:rsidR="00DC577E">
        <w:t>Oklo</w:t>
      </w:r>
      <w:r w:rsidR="00B50EFE">
        <w:t xml:space="preserve">’s “cured” version of its Application was </w:t>
      </w:r>
      <w:r w:rsidR="00FF2D29">
        <w:t>deficient</w:t>
      </w:r>
      <w:r w:rsidR="006E141E">
        <w:t>.</w:t>
      </w:r>
      <w:r w:rsidR="00F739C4">
        <w:t xml:space="preserve">  </w:t>
      </w:r>
      <w:r w:rsidR="00C642D4">
        <w:t>PJM therefore took the</w:t>
      </w:r>
      <w:r w:rsidR="00F739C4">
        <w:t xml:space="preserve"> additional </w:t>
      </w:r>
      <w:r w:rsidR="009B2E47">
        <w:t xml:space="preserve">step </w:t>
      </w:r>
      <w:r w:rsidR="00C642D4">
        <w:t>of performing</w:t>
      </w:r>
      <w:r w:rsidR="009B2E47">
        <w:t xml:space="preserve"> the standard </w:t>
      </w:r>
      <w:r w:rsidR="00EB26BF">
        <w:t>five</w:t>
      </w:r>
      <w:r w:rsidR="00BD7126" w:rsidRPr="00BD7126">
        <w:t xml:space="preserve"> cycle</w:t>
      </w:r>
      <w:r w:rsidR="00B628F7">
        <w:t>,</w:t>
      </w:r>
      <w:r w:rsidR="00BD7126" w:rsidRPr="00BD7126">
        <w:t xml:space="preserve"> </w:t>
      </w:r>
      <w:r w:rsidR="00C74E01">
        <w:t>three-</w:t>
      </w:r>
      <w:r w:rsidR="00BD7126" w:rsidRPr="00BD7126">
        <w:t>phase fault test</w:t>
      </w:r>
      <w:r w:rsidR="00F114A9">
        <w:t>,</w:t>
      </w:r>
      <w:r w:rsidR="006A37D6">
        <w:rPr>
          <w:rStyle w:val="FootnoteReference"/>
        </w:rPr>
        <w:footnoteReference w:id="100"/>
      </w:r>
      <w:r w:rsidR="00F114A9">
        <w:t xml:space="preserve"> which it states is an industry standard test that it performs on all projects,</w:t>
      </w:r>
      <w:r w:rsidR="00F114A9">
        <w:rPr>
          <w:rStyle w:val="FootnoteReference"/>
        </w:rPr>
        <w:footnoteReference w:id="101"/>
      </w:r>
      <w:r w:rsidR="00BD7126" w:rsidRPr="00BD7126">
        <w:t xml:space="preserve"> to see if the model was stable </w:t>
      </w:r>
      <w:r w:rsidR="00BD7126">
        <w:t xml:space="preserve">with the </w:t>
      </w:r>
      <w:r w:rsidR="007244E0">
        <w:t>nuclear and natural gas resources included and found that it was not.</w:t>
      </w:r>
      <w:r w:rsidR="005D6002">
        <w:rPr>
          <w:rStyle w:val="FootnoteReference"/>
        </w:rPr>
        <w:footnoteReference w:id="102"/>
      </w:r>
      <w:r w:rsidR="007244E0">
        <w:t xml:space="preserve">  </w:t>
      </w:r>
      <w:r w:rsidR="001440B7">
        <w:t xml:space="preserve">Hence </w:t>
      </w:r>
      <w:r w:rsidR="00746764" w:rsidRPr="00746764">
        <w:t xml:space="preserve">the August 3, 2026, Deficiency Notice listed the failure of the </w:t>
      </w:r>
      <w:r w:rsidR="00B628F7">
        <w:t>five</w:t>
      </w:r>
      <w:r w:rsidR="00746764" w:rsidRPr="00746764">
        <w:t xml:space="preserve"> cycle</w:t>
      </w:r>
      <w:r w:rsidR="00B628F7">
        <w:t>,</w:t>
      </w:r>
      <w:r w:rsidR="00746764" w:rsidRPr="00746764">
        <w:t xml:space="preserve"> </w:t>
      </w:r>
      <w:r w:rsidR="00E656A5">
        <w:t>three</w:t>
      </w:r>
      <w:r w:rsidR="00746764" w:rsidRPr="00746764">
        <w:t xml:space="preserve">-phase test as </w:t>
      </w:r>
      <w:r w:rsidR="00746764">
        <w:t>additional information to assist Oklo if it is determined to continue developing its Project.</w:t>
      </w:r>
      <w:r w:rsidR="003A5FF0">
        <w:rPr>
          <w:rStyle w:val="FootnoteReference"/>
        </w:rPr>
        <w:footnoteReference w:id="103"/>
      </w:r>
      <w:r w:rsidR="00746764">
        <w:t xml:space="preserve">  </w:t>
      </w:r>
      <w:r w:rsidR="00D25656">
        <w:t xml:space="preserve">PJM states that </w:t>
      </w:r>
      <w:r w:rsidR="004376AB">
        <w:t>the Project was rejected because Oklo failed to provide a working model for the facility’s MFO, consistent with DMDG sections 7.1 and 7.3 and common industry practice.</w:t>
      </w:r>
      <w:r w:rsidR="00053329">
        <w:rPr>
          <w:rStyle w:val="FootnoteReference"/>
        </w:rPr>
        <w:footnoteReference w:id="104"/>
      </w:r>
    </w:p>
    <w:p w14:paraId="6681628F" w14:textId="15921EBA" w:rsidR="001A7BDA" w:rsidRDefault="001A7BDA" w:rsidP="001A7BDA">
      <w:pPr>
        <w:pStyle w:val="FERCparanumber"/>
      </w:pPr>
      <w:r>
        <w:t xml:space="preserve">Although we find that Oklo failed to demonstrate PJM violated its Tariff, we note </w:t>
      </w:r>
      <w:r w:rsidR="00DE3654">
        <w:t xml:space="preserve">that, in order to meet growing demand in the PJM Region, it is critical that PJM collaborate with project developers before, during, and after the interconnection </w:t>
      </w:r>
      <w:r w:rsidR="00DE3654">
        <w:lastRenderedPageBreak/>
        <w:t>application process to ensure guidance and expectations are clearly understood and properly implemented.</w:t>
      </w:r>
      <w:r w:rsidR="00543FCB">
        <w:t xml:space="preserve">  </w:t>
      </w:r>
    </w:p>
    <w:p w14:paraId="5402147A" w14:textId="1FAAA527" w:rsidR="00A11E0F" w:rsidRDefault="00A11E0F" w:rsidP="007955A3">
      <w:pPr>
        <w:pStyle w:val="FERCparanumber"/>
      </w:pPr>
      <w:r>
        <w:t xml:space="preserve">While we </w:t>
      </w:r>
      <w:r w:rsidR="000D4E02">
        <w:t xml:space="preserve">deny the complaint, we note that </w:t>
      </w:r>
      <w:r w:rsidR="003934A2">
        <w:t>Oklo can still cure the additional errors and submit th</w:t>
      </w:r>
      <w:r w:rsidR="0069611F">
        <w:t>e</w:t>
      </w:r>
      <w:r w:rsidR="003934A2">
        <w:t xml:space="preserve"> </w:t>
      </w:r>
      <w:r w:rsidR="0069611F">
        <w:t>P</w:t>
      </w:r>
      <w:r w:rsidR="003934A2">
        <w:t xml:space="preserve">roject </w:t>
      </w:r>
      <w:r w:rsidR="00677A26">
        <w:t>to</w:t>
      </w:r>
      <w:r w:rsidR="003934A2">
        <w:t xml:space="preserve"> </w:t>
      </w:r>
      <w:r w:rsidR="009E3100">
        <w:t xml:space="preserve">PJM’s </w:t>
      </w:r>
      <w:r w:rsidR="0034508F">
        <w:t>Cycle 02.</w:t>
      </w:r>
      <w:r w:rsidR="005B4FA0">
        <w:t xml:space="preserve">  </w:t>
      </w:r>
      <w:r w:rsidR="00D070EB">
        <w:t xml:space="preserve">Alternatively, </w:t>
      </w:r>
      <w:r w:rsidR="63D9935A">
        <w:t xml:space="preserve">if Oklo is committed to moving forward with the </w:t>
      </w:r>
      <w:r w:rsidR="00C8330B">
        <w:t>P</w:t>
      </w:r>
      <w:r w:rsidR="63D9935A">
        <w:t>roject expeditiously</w:t>
      </w:r>
      <w:r w:rsidR="00D070EB">
        <w:t xml:space="preserve">, Oklo may further consider the possibility of submitting the Project for consideration in PJM’s </w:t>
      </w:r>
      <w:r w:rsidR="008972D5" w:rsidRPr="007955A3">
        <w:t>EIT</w:t>
      </w:r>
      <w:r w:rsidR="002D2C61">
        <w:t xml:space="preserve"> process</w:t>
      </w:r>
      <w:r w:rsidR="007125CD">
        <w:t>,</w:t>
      </w:r>
      <w:r w:rsidR="002D2C61">
        <w:t xml:space="preserve"> which is open until </w:t>
      </w:r>
      <w:r w:rsidR="00F8609A">
        <w:t>December 31, 20</w:t>
      </w:r>
      <w:r w:rsidR="00F03AA1">
        <w:t>2</w:t>
      </w:r>
      <w:r w:rsidR="00F8609A">
        <w:t>7.</w:t>
      </w:r>
      <w:r w:rsidR="00AB248C">
        <w:rPr>
          <w:rStyle w:val="FootnoteReference"/>
        </w:rPr>
        <w:footnoteReference w:id="105"/>
      </w:r>
      <w:r w:rsidR="00F8609A">
        <w:t xml:space="preserve">  </w:t>
      </w:r>
    </w:p>
    <w:p w14:paraId="7F9330EA" w14:textId="63C00F2F" w:rsidR="00C876E5" w:rsidRDefault="004F2940" w:rsidP="007955A3">
      <w:pPr>
        <w:pStyle w:val="FERCparanumber"/>
      </w:pPr>
      <w:r>
        <w:t xml:space="preserve">Finally, because we deny </w:t>
      </w:r>
      <w:r w:rsidR="00BC6D5C">
        <w:t xml:space="preserve">the </w:t>
      </w:r>
      <w:r w:rsidR="00C744A6">
        <w:t xml:space="preserve">complaint, </w:t>
      </w:r>
      <w:r w:rsidR="00BC6D5C">
        <w:t xml:space="preserve">Oklo’s request for waiver of </w:t>
      </w:r>
      <w:r w:rsidR="009B42A8">
        <w:t>Part VIII.B, section 403 of the Tariff</w:t>
      </w:r>
      <w:r w:rsidR="00BC6D5C">
        <w:t xml:space="preserve"> is rendered moot</w:t>
      </w:r>
      <w:r w:rsidR="001649A7">
        <w:t>,</w:t>
      </w:r>
      <w:r w:rsidR="00BC6D5C">
        <w:t xml:space="preserve"> </w:t>
      </w:r>
      <w:r w:rsidR="008C3A38">
        <w:t>and we therefore dismiss it.</w:t>
      </w:r>
    </w:p>
    <w:p w14:paraId="65E8317C" w14:textId="77777777" w:rsidR="004A5408" w:rsidRDefault="004A5408">
      <w:r w:rsidRPr="00CD0B38">
        <w:rPr>
          <w:u w:val="single"/>
        </w:rPr>
        <w:t>The Commission orders</w:t>
      </w:r>
      <w:r w:rsidRPr="00CD0B38">
        <w:t>:</w:t>
      </w:r>
    </w:p>
    <w:p w14:paraId="17BF5165" w14:textId="77777777" w:rsidR="004A5408" w:rsidRDefault="004A5408"/>
    <w:p w14:paraId="21A24006" w14:textId="6316C76B" w:rsidR="004A5408" w:rsidRPr="00CD0B38" w:rsidRDefault="00787B53" w:rsidP="004A5408">
      <w:pPr>
        <w:pStyle w:val="ListParagraph"/>
        <w:numPr>
          <w:ilvl w:val="0"/>
          <w:numId w:val="23"/>
        </w:numPr>
        <w:spacing w:after="260"/>
        <w:contextualSpacing w:val="0"/>
      </w:pPr>
      <w:r>
        <w:t>Oklo’s c</w:t>
      </w:r>
      <w:r w:rsidR="002C16B4">
        <w:t>omplaint is hereby denied</w:t>
      </w:r>
      <w:r w:rsidR="007D1338">
        <w:t>, as discussed in the body of this order.</w:t>
      </w:r>
    </w:p>
    <w:p w14:paraId="687EDFB9" w14:textId="5FEB24B6" w:rsidR="004A5408" w:rsidRPr="00CD0B38" w:rsidRDefault="000D631B" w:rsidP="0027626B">
      <w:pPr>
        <w:pStyle w:val="ListParagraph"/>
        <w:numPr>
          <w:ilvl w:val="0"/>
          <w:numId w:val="23"/>
        </w:numPr>
        <w:spacing w:after="260"/>
        <w:contextualSpacing w:val="0"/>
      </w:pPr>
      <w:r>
        <w:t>Oklo’s waiver request is hereby dismissed as moot, as discussed in the body of this order.</w:t>
      </w:r>
    </w:p>
    <w:p w14:paraId="6659A93A" w14:textId="77777777" w:rsidR="004A5408" w:rsidRDefault="004A5408">
      <w:r w:rsidRPr="00CD0B38">
        <w:t>By the Commission.</w:t>
      </w:r>
    </w:p>
    <w:p w14:paraId="37C213EE" w14:textId="77777777" w:rsidR="0027626B" w:rsidRDefault="0027626B"/>
    <w:p w14:paraId="0289EDC3" w14:textId="729872CF" w:rsidR="00570494" w:rsidRDefault="0027626B" w:rsidP="00570494">
      <w:pPr>
        <w:widowControl/>
      </w:pPr>
      <w:r w:rsidRPr="0027626B">
        <w:t>( S E A L )</w:t>
      </w:r>
    </w:p>
    <w:p w14:paraId="55FEF8DA" w14:textId="77777777" w:rsidR="00570494" w:rsidRDefault="00570494" w:rsidP="00570494">
      <w:pPr>
        <w:widowControl/>
      </w:pPr>
    </w:p>
    <w:p w14:paraId="078F6F9D" w14:textId="77777777" w:rsidR="00570494" w:rsidRDefault="00570494" w:rsidP="00570494">
      <w:pPr>
        <w:widowControl/>
      </w:pPr>
    </w:p>
    <w:p w14:paraId="7B6E63AB" w14:textId="68552DD2" w:rsidR="00570494" w:rsidRPr="00570494" w:rsidRDefault="00570494" w:rsidP="00570494">
      <w:pPr>
        <w:widowControl/>
        <w:ind w:firstLine="2606"/>
        <w:jc w:val="center"/>
      </w:pPr>
      <w:r w:rsidRPr="00570494">
        <w:t>Debbie-Anne A. Reese,</w:t>
      </w:r>
    </w:p>
    <w:p w14:paraId="765FA274" w14:textId="26CBC6DA" w:rsidR="00570494" w:rsidRPr="00570494" w:rsidRDefault="00570494" w:rsidP="00570494">
      <w:pPr>
        <w:widowControl/>
        <w:ind w:firstLine="2606"/>
        <w:jc w:val="center"/>
      </w:pPr>
      <w:r w:rsidRPr="00570494">
        <w:t>Secretary.</w:t>
      </w:r>
    </w:p>
    <w:p w14:paraId="62CCDD5D" w14:textId="77777777" w:rsidR="00570494" w:rsidRDefault="00570494" w:rsidP="00570494">
      <w:pPr>
        <w:widowControl/>
      </w:pPr>
    </w:p>
    <w:p w14:paraId="21630C6B" w14:textId="77777777" w:rsidR="0027626B" w:rsidRDefault="0027626B" w:rsidP="0027626B">
      <w:pPr>
        <w:widowControl/>
      </w:pPr>
    </w:p>
    <w:p w14:paraId="1C1B7536" w14:textId="77777777" w:rsidR="0027626B" w:rsidRPr="00CD0B38" w:rsidRDefault="0027626B" w:rsidP="0027626B">
      <w:pPr>
        <w:widowControl/>
      </w:pPr>
    </w:p>
    <w:p w14:paraId="587BE5E4" w14:textId="77777777" w:rsidR="00FF32A1" w:rsidRPr="0003382F" w:rsidRDefault="00FF32A1" w:rsidP="000D7E4E">
      <w:pPr>
        <w:pStyle w:val="FootnoteText"/>
        <w:ind w:firstLine="0"/>
      </w:pPr>
    </w:p>
    <w:sectPr w:rsidR="00FF32A1" w:rsidRPr="0003382F" w:rsidSect="004A5408">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2298" w14:textId="77777777" w:rsidR="00BD2BC2" w:rsidRDefault="00BD2BC2" w:rsidP="0048020B">
      <w:r>
        <w:separator/>
      </w:r>
    </w:p>
  </w:endnote>
  <w:endnote w:type="continuationSeparator" w:id="0">
    <w:p w14:paraId="0384B111" w14:textId="77777777" w:rsidR="00BD2BC2" w:rsidRDefault="00BD2BC2"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2AE4" w14:textId="77777777" w:rsidR="00BD2BC2" w:rsidRDefault="00BD2BC2" w:rsidP="0048020B">
      <w:r>
        <w:separator/>
      </w:r>
    </w:p>
  </w:footnote>
  <w:footnote w:type="continuationSeparator" w:id="0">
    <w:p w14:paraId="59EB5D65" w14:textId="77777777" w:rsidR="00BD2BC2" w:rsidRDefault="00BD2BC2" w:rsidP="0048020B">
      <w:r>
        <w:continuationSeparator/>
      </w:r>
    </w:p>
  </w:footnote>
  <w:footnote w:type="continuationNotice" w:id="1">
    <w:p w14:paraId="5BE6A70D" w14:textId="77777777" w:rsidR="00BD2BC2" w:rsidRPr="00F42746" w:rsidRDefault="00BD2BC2" w:rsidP="00F42746">
      <w:pPr>
        <w:spacing w:line="14" w:lineRule="exact"/>
        <w:rPr>
          <w:sz w:val="2"/>
        </w:rPr>
      </w:pPr>
    </w:p>
  </w:footnote>
  <w:footnote w:id="2">
    <w:p w14:paraId="36656054" w14:textId="7BED2EFB" w:rsidR="00C82E6F" w:rsidRDefault="00C82E6F" w:rsidP="00F06EF5">
      <w:pPr>
        <w:pStyle w:val="FootnoteText"/>
      </w:pPr>
      <w:r>
        <w:rPr>
          <w:rStyle w:val="FootnoteReference"/>
        </w:rPr>
        <w:footnoteRef/>
      </w:r>
      <w:r>
        <w:t xml:space="preserve"> </w:t>
      </w:r>
      <w:r w:rsidR="00B44B2E">
        <w:t xml:space="preserve">Oklo states that the revised </w:t>
      </w:r>
      <w:r w:rsidR="004647E2">
        <w:t xml:space="preserve">versions submitted on September 1, 2026 are substantially identical </w:t>
      </w:r>
      <w:r w:rsidR="00F72573">
        <w:t xml:space="preserve">to the originally submitted </w:t>
      </w:r>
      <w:r w:rsidR="004647E2">
        <w:t>versions of the complaint</w:t>
      </w:r>
      <w:r w:rsidR="00101488">
        <w:t xml:space="preserve"> but include additional </w:t>
      </w:r>
      <w:r w:rsidR="00F06EF5">
        <w:t>markings (e.g., “BEGIN CUI//PRIV” and “END CUI//PRIV”) to denote the privileged information.  The citations in this order reference the page numbers in the public version of the complaint submitted on September 1</w:t>
      </w:r>
      <w:r w:rsidR="00931A00">
        <w:t>, 2026</w:t>
      </w:r>
      <w:r w:rsidR="00F06EF5">
        <w:t>.</w:t>
      </w:r>
    </w:p>
  </w:footnote>
  <w:footnote w:id="3">
    <w:p w14:paraId="37A46525" w14:textId="53BD74B7" w:rsidR="00FA10C1" w:rsidRDefault="00FA10C1">
      <w:pPr>
        <w:pStyle w:val="FootnoteText"/>
      </w:pPr>
      <w:r>
        <w:rPr>
          <w:rStyle w:val="FootnoteReference"/>
        </w:rPr>
        <w:footnoteRef/>
      </w:r>
      <w:r>
        <w:t xml:space="preserve"> </w:t>
      </w:r>
      <w:r w:rsidR="00E538FA" w:rsidRPr="00E538FA">
        <w:t>16 U.S.C. §§</w:t>
      </w:r>
      <w:r w:rsidR="009923C8">
        <w:t> </w:t>
      </w:r>
      <w:r w:rsidR="00E538FA" w:rsidRPr="00E538FA">
        <w:t>824e, 825e, 825h.</w:t>
      </w:r>
    </w:p>
  </w:footnote>
  <w:footnote w:id="4">
    <w:p w14:paraId="3DCF622E" w14:textId="576F776A" w:rsidR="00E538FA" w:rsidRDefault="00E538FA">
      <w:pPr>
        <w:pStyle w:val="FootnoteText"/>
      </w:pPr>
      <w:r>
        <w:rPr>
          <w:rStyle w:val="FootnoteReference"/>
        </w:rPr>
        <w:footnoteRef/>
      </w:r>
      <w:r>
        <w:t xml:space="preserve"> </w:t>
      </w:r>
      <w:r w:rsidR="008670AA" w:rsidRPr="008670AA">
        <w:t>18 C.F.R. §</w:t>
      </w:r>
      <w:r w:rsidR="009923C8">
        <w:t> </w:t>
      </w:r>
      <w:r w:rsidR="008670AA" w:rsidRPr="008670AA">
        <w:t>385.206</w:t>
      </w:r>
      <w:r w:rsidR="008670AA">
        <w:t xml:space="preserve"> (2025).</w:t>
      </w:r>
    </w:p>
  </w:footnote>
  <w:footnote w:id="5">
    <w:p w14:paraId="6D664764" w14:textId="30B73706" w:rsidR="00002511" w:rsidRDefault="00002511">
      <w:pPr>
        <w:pStyle w:val="FootnoteText"/>
      </w:pPr>
      <w:r>
        <w:rPr>
          <w:rStyle w:val="FootnoteReference"/>
        </w:rPr>
        <w:footnoteRef/>
      </w:r>
      <w:r>
        <w:t xml:space="preserve"> </w:t>
      </w:r>
      <w:r w:rsidR="00727BD6" w:rsidRPr="00727BD6">
        <w:t>Capitalized terms used but not otherwise defined in this order have the meanings ascribed to them in the Tariff.</w:t>
      </w:r>
    </w:p>
  </w:footnote>
  <w:footnote w:id="6">
    <w:p w14:paraId="39C0E9EC" w14:textId="319116EC" w:rsidR="005D7D0C" w:rsidRDefault="005D7D0C">
      <w:pPr>
        <w:pStyle w:val="FootnoteText"/>
      </w:pPr>
      <w:r>
        <w:rPr>
          <w:rStyle w:val="FootnoteReference"/>
        </w:rPr>
        <w:footnoteRef/>
      </w:r>
      <w:r>
        <w:t xml:space="preserve"> </w:t>
      </w:r>
      <w:r w:rsidR="00363940">
        <w:t xml:space="preserve">Complaint at </w:t>
      </w:r>
      <w:r w:rsidR="00125698">
        <w:t>1-2</w:t>
      </w:r>
      <w:r w:rsidR="00191D99">
        <w:t>.</w:t>
      </w:r>
    </w:p>
  </w:footnote>
  <w:footnote w:id="7">
    <w:p w14:paraId="367F6B86" w14:textId="3943D6FD" w:rsidR="003E2535" w:rsidRDefault="003E2535">
      <w:pPr>
        <w:pStyle w:val="FootnoteText"/>
      </w:pPr>
      <w:r>
        <w:rPr>
          <w:rStyle w:val="FootnoteReference"/>
        </w:rPr>
        <w:footnoteRef/>
      </w:r>
      <w:r>
        <w:t xml:space="preserve"> </w:t>
      </w:r>
      <w:r w:rsidR="008D26C5">
        <w:rPr>
          <w:i/>
          <w:iCs/>
        </w:rPr>
        <w:t>Id.</w:t>
      </w:r>
      <w:r w:rsidR="008D26C5">
        <w:t xml:space="preserve"> </w:t>
      </w:r>
      <w:r>
        <w:t xml:space="preserve">at </w:t>
      </w:r>
      <w:r w:rsidR="00423433">
        <w:t xml:space="preserve">2, </w:t>
      </w:r>
      <w:r>
        <w:t>16-18.</w:t>
      </w:r>
    </w:p>
  </w:footnote>
  <w:footnote w:id="8">
    <w:p w14:paraId="159FD99A" w14:textId="622D6299" w:rsidR="005D252D" w:rsidRDefault="005D252D" w:rsidP="005D252D">
      <w:pPr>
        <w:pStyle w:val="FootnoteText"/>
      </w:pPr>
      <w:r>
        <w:rPr>
          <w:rStyle w:val="FootnoteReference"/>
        </w:rPr>
        <w:footnoteRef/>
      </w:r>
      <w:r>
        <w:t xml:space="preserve"> </w:t>
      </w:r>
      <w:r w:rsidRPr="009D339C">
        <w:t>PJM</w:t>
      </w:r>
      <w:r>
        <w:t xml:space="preserve">, Intra-PJM </w:t>
      </w:r>
      <w:r w:rsidRPr="009D339C">
        <w:t>Tariff</w:t>
      </w:r>
      <w:r>
        <w:t>s</w:t>
      </w:r>
      <w:r w:rsidRPr="009D339C">
        <w:t xml:space="preserve">, </w:t>
      </w:r>
      <w:r w:rsidR="00DF6063" w:rsidRPr="00DF6063">
        <w:t xml:space="preserve">OATT </w:t>
      </w:r>
      <w:r w:rsidR="0057539E">
        <w:t>pt.</w:t>
      </w:r>
      <w:r w:rsidR="00DF6063" w:rsidRPr="00DF6063">
        <w:t xml:space="preserve"> </w:t>
      </w:r>
      <w:r w:rsidRPr="001455B7">
        <w:t>VIII.B</w:t>
      </w:r>
      <w:r w:rsidR="007E50C7" w:rsidRPr="0041293E">
        <w:t xml:space="preserve">, § </w:t>
      </w:r>
      <w:r w:rsidRPr="001455B7">
        <w:t>403</w:t>
      </w:r>
      <w:r w:rsidR="0041293E" w:rsidRPr="0041293E">
        <w:t xml:space="preserve"> (</w:t>
      </w:r>
      <w:r w:rsidRPr="001455B7">
        <w:t>Application Rules</w:t>
      </w:r>
      <w:r w:rsidR="0041293E">
        <w:t>)</w:t>
      </w:r>
      <w:r w:rsidRPr="001455B7">
        <w:t xml:space="preserve"> (0.1.0)</w:t>
      </w:r>
      <w:r w:rsidRPr="009D339C">
        <w:t xml:space="preserve">, </w:t>
      </w:r>
      <w:r w:rsidR="00AC2EC1">
        <w:t xml:space="preserve">      </w:t>
      </w:r>
      <w:r w:rsidRPr="009D339C">
        <w:t>§ B</w:t>
      </w:r>
      <w:r>
        <w:t>(</w:t>
      </w:r>
      <w:r w:rsidRPr="009D339C">
        <w:t>1</w:t>
      </w:r>
      <w:r>
        <w:t>)(a)-(b)</w:t>
      </w:r>
      <w:r w:rsidR="00425FC2">
        <w:t xml:space="preserve"> (hereinafter </w:t>
      </w:r>
      <w:r w:rsidR="00B93FAE">
        <w:t xml:space="preserve">PJM, Intra-PJM Tariffs, </w:t>
      </w:r>
      <w:r w:rsidR="00425FC2" w:rsidRPr="00983BEF">
        <w:t>Part VIII.B, §</w:t>
      </w:r>
      <w:r w:rsidR="00425FC2">
        <w:t> </w:t>
      </w:r>
      <w:r w:rsidR="00425FC2" w:rsidRPr="00983BEF">
        <w:t>403 (Application Rules) (0.10)</w:t>
      </w:r>
      <w:r w:rsidR="002478A1">
        <w:t>)</w:t>
      </w:r>
      <w:r w:rsidR="00030A0C">
        <w:t>.</w:t>
      </w:r>
    </w:p>
  </w:footnote>
  <w:footnote w:id="9">
    <w:p w14:paraId="306BB29A" w14:textId="77777777" w:rsidR="005D252D" w:rsidRPr="005939E5" w:rsidRDefault="005D252D" w:rsidP="005D252D">
      <w:pPr>
        <w:pStyle w:val="FootnoteText"/>
      </w:pPr>
      <w:r>
        <w:rPr>
          <w:rStyle w:val="FootnoteReference"/>
        </w:rPr>
        <w:footnoteRef/>
      </w:r>
      <w:r>
        <w:t xml:space="preserve"> </w:t>
      </w:r>
      <w:r>
        <w:rPr>
          <w:i/>
          <w:iCs/>
        </w:rPr>
        <w:t>Id.</w:t>
      </w:r>
      <w:r>
        <w:t xml:space="preserve"> </w:t>
      </w:r>
      <w:r w:rsidRPr="009D339C">
        <w:t>§ B</w:t>
      </w:r>
      <w:r>
        <w:t>(</w:t>
      </w:r>
      <w:r w:rsidRPr="009D339C">
        <w:t>1</w:t>
      </w:r>
      <w:r>
        <w:t>)(c)</w:t>
      </w:r>
      <w:r w:rsidRPr="009D339C">
        <w:t>.</w:t>
      </w:r>
    </w:p>
  </w:footnote>
  <w:footnote w:id="10">
    <w:p w14:paraId="1B5F87B9" w14:textId="15FAA070" w:rsidR="00C60186" w:rsidRDefault="00C60186">
      <w:pPr>
        <w:pStyle w:val="FootnoteText"/>
      </w:pPr>
      <w:r>
        <w:rPr>
          <w:rStyle w:val="FootnoteReference"/>
        </w:rPr>
        <w:footnoteRef/>
      </w:r>
      <w:r>
        <w:t xml:space="preserve"> Complaint at 2-3.</w:t>
      </w:r>
    </w:p>
  </w:footnote>
  <w:footnote w:id="11">
    <w:p w14:paraId="3225DA1D" w14:textId="4401D02A" w:rsidR="00B075B7" w:rsidRPr="00B075B7" w:rsidRDefault="00B075B7">
      <w:pPr>
        <w:pStyle w:val="FootnoteText"/>
      </w:pPr>
      <w:r>
        <w:rPr>
          <w:rStyle w:val="FootnoteReference"/>
        </w:rPr>
        <w:footnoteRef/>
      </w:r>
      <w:r>
        <w:t xml:space="preserve"> </w:t>
      </w:r>
      <w:r>
        <w:rPr>
          <w:i/>
          <w:iCs/>
        </w:rPr>
        <w:t>Id.</w:t>
      </w:r>
      <w:r w:rsidRPr="009923C8">
        <w:t xml:space="preserve"> </w:t>
      </w:r>
      <w:r>
        <w:t>at 4.</w:t>
      </w:r>
    </w:p>
  </w:footnote>
  <w:footnote w:id="12">
    <w:p w14:paraId="64B1121C" w14:textId="77AE0DE0" w:rsidR="00686B97" w:rsidRPr="00686B97" w:rsidRDefault="00686B97">
      <w:pPr>
        <w:pStyle w:val="FootnoteText"/>
      </w:pPr>
      <w:r>
        <w:rPr>
          <w:rStyle w:val="FootnoteReference"/>
        </w:rPr>
        <w:footnoteRef/>
      </w:r>
      <w:r>
        <w:t xml:space="preserve"> </w:t>
      </w:r>
      <w:r w:rsidRPr="00686B97">
        <w:rPr>
          <w:i/>
          <w:iCs/>
        </w:rPr>
        <w:t>Id</w:t>
      </w:r>
      <w:r>
        <w:rPr>
          <w:i/>
          <w:iCs/>
        </w:rPr>
        <w:t>.</w:t>
      </w:r>
      <w:r w:rsidRPr="009923C8">
        <w:t xml:space="preserve"> </w:t>
      </w:r>
    </w:p>
  </w:footnote>
  <w:footnote w:id="13">
    <w:p w14:paraId="20B15DB4" w14:textId="687A73FE" w:rsidR="004874BE" w:rsidRPr="004874BE" w:rsidRDefault="004874BE">
      <w:pPr>
        <w:pStyle w:val="FootnoteText"/>
      </w:pPr>
      <w:r>
        <w:rPr>
          <w:rStyle w:val="FootnoteReference"/>
        </w:rPr>
        <w:footnoteRef/>
      </w:r>
      <w:r>
        <w:t xml:space="preserve"> </w:t>
      </w:r>
      <w:r>
        <w:rPr>
          <w:i/>
          <w:iCs/>
        </w:rPr>
        <w:t>Id.</w:t>
      </w:r>
      <w:r w:rsidRPr="009923C8">
        <w:t xml:space="preserve"> </w:t>
      </w:r>
      <w:r>
        <w:t>at 5.</w:t>
      </w:r>
    </w:p>
  </w:footnote>
  <w:footnote w:id="14">
    <w:p w14:paraId="1B6027AB" w14:textId="2762FFD9" w:rsidR="0041293E" w:rsidRDefault="0041293E">
      <w:pPr>
        <w:pStyle w:val="FootnoteText"/>
      </w:pPr>
      <w:r>
        <w:rPr>
          <w:rStyle w:val="FootnoteReference"/>
        </w:rPr>
        <w:footnoteRef/>
      </w:r>
      <w:r>
        <w:t xml:space="preserve"> </w:t>
      </w:r>
      <w:r w:rsidR="00E9235B" w:rsidRPr="00E9235B">
        <w:t xml:space="preserve">NextGen is PJM’s online platform through which project developers submit and manage Applications and supporting information, receive PJM comments, respond to identified deficiencies, and monitor Application status.  PJM September 4 Answer </w:t>
      </w:r>
      <w:r w:rsidR="00AC2EC1">
        <w:t xml:space="preserve">                  </w:t>
      </w:r>
      <w:r w:rsidR="00E9235B" w:rsidRPr="00E9235B">
        <w:t>at n.33</w:t>
      </w:r>
      <w:r w:rsidR="00EC497A">
        <w:t>.</w:t>
      </w:r>
    </w:p>
  </w:footnote>
  <w:footnote w:id="15">
    <w:p w14:paraId="589BBBAE" w14:textId="26CEE875" w:rsidR="000A210D" w:rsidRPr="000A210D" w:rsidRDefault="000A210D">
      <w:pPr>
        <w:pStyle w:val="FootnoteText"/>
      </w:pPr>
      <w:r>
        <w:rPr>
          <w:rStyle w:val="FootnoteReference"/>
        </w:rPr>
        <w:footnoteRef/>
      </w:r>
      <w:r>
        <w:t xml:space="preserve"> </w:t>
      </w:r>
      <w:r w:rsidR="00E9235B">
        <w:t>Complaint</w:t>
      </w:r>
      <w:r w:rsidRPr="009923C8">
        <w:t xml:space="preserve"> </w:t>
      </w:r>
      <w:r>
        <w:t>at 6.</w:t>
      </w:r>
    </w:p>
  </w:footnote>
  <w:footnote w:id="16">
    <w:p w14:paraId="42E5EB77" w14:textId="4D3FA64F" w:rsidR="008A70A0" w:rsidRPr="008A70A0" w:rsidRDefault="008A70A0">
      <w:pPr>
        <w:pStyle w:val="FootnoteText"/>
      </w:pPr>
      <w:r>
        <w:rPr>
          <w:rStyle w:val="FootnoteReference"/>
        </w:rPr>
        <w:footnoteRef/>
      </w:r>
      <w:r>
        <w:t xml:space="preserve"> </w:t>
      </w:r>
      <w:r>
        <w:rPr>
          <w:i/>
          <w:iCs/>
        </w:rPr>
        <w:t>Id.</w:t>
      </w:r>
      <w:r w:rsidRPr="009923C8">
        <w:t xml:space="preserve"> </w:t>
      </w:r>
      <w:r>
        <w:t>at 7.</w:t>
      </w:r>
    </w:p>
  </w:footnote>
  <w:footnote w:id="17">
    <w:p w14:paraId="0D946628" w14:textId="165EBD51" w:rsidR="006543F6" w:rsidRPr="006543F6" w:rsidRDefault="006543F6">
      <w:pPr>
        <w:pStyle w:val="FootnoteText"/>
      </w:pPr>
      <w:r>
        <w:rPr>
          <w:rStyle w:val="FootnoteReference"/>
        </w:rPr>
        <w:footnoteRef/>
      </w:r>
      <w:r>
        <w:t xml:space="preserve"> </w:t>
      </w:r>
      <w:r>
        <w:rPr>
          <w:i/>
          <w:iCs/>
        </w:rPr>
        <w:t>Id.</w:t>
      </w:r>
      <w:r w:rsidRPr="009923C8">
        <w:t xml:space="preserve"> </w:t>
      </w:r>
      <w:r>
        <w:t xml:space="preserve">at 8.  </w:t>
      </w:r>
    </w:p>
  </w:footnote>
  <w:footnote w:id="18">
    <w:p w14:paraId="679D87E7" w14:textId="2D1A7444" w:rsidR="0000159E" w:rsidRPr="0000159E" w:rsidRDefault="0000159E">
      <w:pPr>
        <w:pStyle w:val="FootnoteText"/>
      </w:pPr>
      <w:r>
        <w:rPr>
          <w:rStyle w:val="FootnoteReference"/>
        </w:rPr>
        <w:footnoteRef/>
      </w:r>
      <w:r>
        <w:t xml:space="preserve"> </w:t>
      </w:r>
      <w:r>
        <w:rPr>
          <w:i/>
          <w:iCs/>
        </w:rPr>
        <w:t>Id.</w:t>
      </w:r>
      <w:r w:rsidRPr="009923C8">
        <w:t xml:space="preserve"> </w:t>
      </w:r>
      <w:r>
        <w:t xml:space="preserve">(citing </w:t>
      </w:r>
      <w:r w:rsidRPr="0000159E">
        <w:t xml:space="preserve">PJM, </w:t>
      </w:r>
      <w:r w:rsidR="00F77653">
        <w:t xml:space="preserve">Intra-PJM </w:t>
      </w:r>
      <w:r w:rsidR="00F77653" w:rsidRPr="009D339C">
        <w:t>Tariff</w:t>
      </w:r>
      <w:r w:rsidR="00F77653">
        <w:t>s</w:t>
      </w:r>
      <w:r w:rsidR="00C41AE2" w:rsidRPr="00C41AE2">
        <w:t>, OATT</w:t>
      </w:r>
      <w:r w:rsidR="00AC2EC1">
        <w:t>,</w:t>
      </w:r>
      <w:r w:rsidR="00C41AE2" w:rsidRPr="00C41AE2">
        <w:t xml:space="preserve"> </w:t>
      </w:r>
      <w:r w:rsidR="00AC2EC1">
        <w:t>p</w:t>
      </w:r>
      <w:r w:rsidR="00C41AE2" w:rsidRPr="00C41AE2">
        <w:t>t</w:t>
      </w:r>
      <w:r w:rsidR="00AC2EC1">
        <w:t>.</w:t>
      </w:r>
      <w:r w:rsidR="00C41AE2" w:rsidRPr="00C41AE2">
        <w:t xml:space="preserve"> VIII.E</w:t>
      </w:r>
      <w:r w:rsidR="002139CE" w:rsidRPr="002139CE">
        <w:t>, §</w:t>
      </w:r>
      <w:r w:rsidR="00C41AE2" w:rsidRPr="00C41AE2">
        <w:t xml:space="preserve"> 419 </w:t>
      </w:r>
      <w:r w:rsidR="002139CE">
        <w:t>(</w:t>
      </w:r>
      <w:r w:rsidR="00C41AE2" w:rsidRPr="00C41AE2">
        <w:t>Internal Dispute Resolution Procedures</w:t>
      </w:r>
      <w:r w:rsidR="002139CE">
        <w:t>)</w:t>
      </w:r>
      <w:r w:rsidR="00C41AE2" w:rsidRPr="00C41AE2">
        <w:t xml:space="preserve"> (0.</w:t>
      </w:r>
      <w:r w:rsidRPr="0000159E">
        <w:t>10)</w:t>
      </w:r>
      <w:r>
        <w:t>).</w:t>
      </w:r>
    </w:p>
  </w:footnote>
  <w:footnote w:id="19">
    <w:p w14:paraId="3DEA9342" w14:textId="719E006B" w:rsidR="009C7685" w:rsidRPr="00983BEF" w:rsidRDefault="009C7685">
      <w:pPr>
        <w:pStyle w:val="FootnoteText"/>
      </w:pPr>
      <w:r>
        <w:rPr>
          <w:rStyle w:val="FootnoteReference"/>
        </w:rPr>
        <w:footnoteRef/>
      </w:r>
      <w:r>
        <w:t xml:space="preserve"> </w:t>
      </w:r>
      <w:r w:rsidR="00983BEF">
        <w:rPr>
          <w:i/>
          <w:iCs/>
        </w:rPr>
        <w:t>Id.</w:t>
      </w:r>
      <w:r w:rsidR="00983BEF" w:rsidRPr="009923C8">
        <w:t xml:space="preserve"> </w:t>
      </w:r>
      <w:r w:rsidR="00983BEF">
        <w:t xml:space="preserve">at 10 (citing </w:t>
      </w:r>
      <w:r w:rsidR="00983BEF" w:rsidRPr="00983BEF">
        <w:t>PJM</w:t>
      </w:r>
      <w:r w:rsidR="005A44BE">
        <w:t>, Intra-PJM</w:t>
      </w:r>
      <w:r w:rsidR="00983BEF" w:rsidRPr="00983BEF">
        <w:t xml:space="preserve"> Tariff</w:t>
      </w:r>
      <w:r w:rsidR="005A44BE">
        <w:t>s</w:t>
      </w:r>
      <w:r w:rsidR="00983BEF" w:rsidRPr="00983BEF">
        <w:t>, Part VIII.B, §</w:t>
      </w:r>
      <w:r w:rsidR="009923C8">
        <w:t> </w:t>
      </w:r>
      <w:r w:rsidR="00983BEF" w:rsidRPr="00983BEF">
        <w:t>403 (Application Rules) (0.10), § B.1.</w:t>
      </w:r>
      <w:r w:rsidR="00983BEF">
        <w:t>).</w:t>
      </w:r>
    </w:p>
  </w:footnote>
  <w:footnote w:id="20">
    <w:p w14:paraId="516EB215" w14:textId="4A9FC55A" w:rsidR="00C2120C" w:rsidRPr="00C2120C" w:rsidRDefault="00C2120C">
      <w:pPr>
        <w:pStyle w:val="FootnoteText"/>
      </w:pPr>
      <w:r>
        <w:rPr>
          <w:rStyle w:val="FootnoteReference"/>
        </w:rPr>
        <w:footnoteRef/>
      </w:r>
      <w:r>
        <w:t xml:space="preserve"> </w:t>
      </w:r>
      <w:r>
        <w:rPr>
          <w:i/>
          <w:iCs/>
        </w:rPr>
        <w:t>Id.</w:t>
      </w:r>
      <w:r w:rsidRPr="009923C8">
        <w:t xml:space="preserve"> </w:t>
      </w:r>
      <w:r>
        <w:t>at 10-11.</w:t>
      </w:r>
    </w:p>
  </w:footnote>
  <w:footnote w:id="21">
    <w:p w14:paraId="50484D0D" w14:textId="5EF09EA3" w:rsidR="00493209" w:rsidRPr="00493209" w:rsidRDefault="00493209">
      <w:pPr>
        <w:pStyle w:val="FootnoteText"/>
      </w:pPr>
      <w:r>
        <w:rPr>
          <w:rStyle w:val="FootnoteReference"/>
        </w:rPr>
        <w:footnoteRef/>
      </w:r>
      <w:r>
        <w:t xml:space="preserve"> </w:t>
      </w:r>
      <w:r>
        <w:rPr>
          <w:i/>
          <w:iCs/>
        </w:rPr>
        <w:t>Id.</w:t>
      </w:r>
      <w:r w:rsidRPr="009923C8">
        <w:t xml:space="preserve"> </w:t>
      </w:r>
      <w:r>
        <w:t>at 11.</w:t>
      </w:r>
    </w:p>
  </w:footnote>
  <w:footnote w:id="22">
    <w:p w14:paraId="79309076" w14:textId="4E158023" w:rsidR="00213B32" w:rsidRPr="00213B32" w:rsidRDefault="00213B32">
      <w:pPr>
        <w:pStyle w:val="FootnoteText"/>
      </w:pPr>
      <w:r>
        <w:rPr>
          <w:rStyle w:val="FootnoteReference"/>
        </w:rPr>
        <w:footnoteRef/>
      </w:r>
      <w:r>
        <w:t xml:space="preserve"> </w:t>
      </w:r>
      <w:r>
        <w:rPr>
          <w:i/>
          <w:iCs/>
        </w:rPr>
        <w:t>Id.</w:t>
      </w:r>
      <w:r w:rsidRPr="009923C8">
        <w:t xml:space="preserve"> </w:t>
      </w:r>
      <w:r>
        <w:t>at 12.</w:t>
      </w:r>
    </w:p>
  </w:footnote>
  <w:footnote w:id="23">
    <w:p w14:paraId="1E1A9747" w14:textId="526B264F" w:rsidR="002A1DEA" w:rsidRPr="002A1DEA" w:rsidRDefault="002A1DEA">
      <w:pPr>
        <w:pStyle w:val="FootnoteText"/>
      </w:pPr>
      <w:r>
        <w:rPr>
          <w:rStyle w:val="FootnoteReference"/>
        </w:rPr>
        <w:footnoteRef/>
      </w:r>
      <w:r>
        <w:t xml:space="preserve"> </w:t>
      </w:r>
      <w:r>
        <w:rPr>
          <w:i/>
          <w:iCs/>
        </w:rPr>
        <w:t>Id.</w:t>
      </w:r>
      <w:r w:rsidRPr="009923C8">
        <w:t xml:space="preserve"> </w:t>
      </w:r>
      <w:r>
        <w:t>at 12-</w:t>
      </w:r>
      <w:r w:rsidR="002B33FF">
        <w:t>16</w:t>
      </w:r>
      <w:r w:rsidR="00ED5AFB">
        <w:t>; 16 U.S.C. § 824d</w:t>
      </w:r>
      <w:r w:rsidR="002B33FF">
        <w:t>.</w:t>
      </w:r>
    </w:p>
  </w:footnote>
  <w:footnote w:id="24">
    <w:p w14:paraId="3CF28A15" w14:textId="47BB0C85" w:rsidR="009D22BA" w:rsidRPr="009D22BA" w:rsidRDefault="009D22BA">
      <w:pPr>
        <w:pStyle w:val="FootnoteText"/>
      </w:pPr>
      <w:r>
        <w:rPr>
          <w:rStyle w:val="FootnoteReference"/>
        </w:rPr>
        <w:footnoteRef/>
      </w:r>
      <w:r>
        <w:t xml:space="preserve"> </w:t>
      </w:r>
      <w:r w:rsidR="00B17A5C">
        <w:t>Complaint</w:t>
      </w:r>
      <w:r w:rsidRPr="009923C8">
        <w:t xml:space="preserve"> </w:t>
      </w:r>
      <w:r>
        <w:t xml:space="preserve">at 12 (citing </w:t>
      </w:r>
      <w:r w:rsidRPr="009D22BA">
        <w:t>PJM, Dynamic Model Development Guidelines for Interconnection Analysis, §</w:t>
      </w:r>
      <w:r w:rsidR="009923C8">
        <w:t> </w:t>
      </w:r>
      <w:r w:rsidRPr="009D22BA">
        <w:t>7.4</w:t>
      </w:r>
      <w:r>
        <w:t>).</w:t>
      </w:r>
    </w:p>
  </w:footnote>
  <w:footnote w:id="25">
    <w:p w14:paraId="2555B93A" w14:textId="5DA0473C" w:rsidR="00094D67" w:rsidRPr="00094D67" w:rsidRDefault="00094D67">
      <w:pPr>
        <w:pStyle w:val="FootnoteText"/>
      </w:pPr>
      <w:r>
        <w:rPr>
          <w:rStyle w:val="FootnoteReference"/>
        </w:rPr>
        <w:footnoteRef/>
      </w:r>
      <w:r>
        <w:t xml:space="preserve"> </w:t>
      </w:r>
      <w:r>
        <w:rPr>
          <w:i/>
          <w:iCs/>
        </w:rPr>
        <w:t>Id.</w:t>
      </w:r>
      <w:r w:rsidRPr="009923C8">
        <w:t xml:space="preserve"> </w:t>
      </w:r>
      <w:r>
        <w:t xml:space="preserve">(citing </w:t>
      </w:r>
      <w:r w:rsidR="002139CE">
        <w:t>Complaint, a</w:t>
      </w:r>
      <w:r>
        <w:t>ttach</w:t>
      </w:r>
      <w:r w:rsidR="000C0447">
        <w:t>.</w:t>
      </w:r>
      <w:r>
        <w:t xml:space="preserve"> E at 1</w:t>
      </w:r>
      <w:r w:rsidR="00356BEB">
        <w:t xml:space="preserve">; </w:t>
      </w:r>
      <w:r w:rsidR="002139CE">
        <w:t>a</w:t>
      </w:r>
      <w:r w:rsidR="00356BEB">
        <w:t>ttach. L</w:t>
      </w:r>
      <w:r>
        <w:t>).</w:t>
      </w:r>
    </w:p>
  </w:footnote>
  <w:footnote w:id="26">
    <w:p w14:paraId="434E041B" w14:textId="6AD3E5AE" w:rsidR="00C07AAB" w:rsidRPr="00C07AAB" w:rsidRDefault="00C07AAB">
      <w:pPr>
        <w:pStyle w:val="FootnoteText"/>
      </w:pPr>
      <w:r>
        <w:rPr>
          <w:rStyle w:val="FootnoteReference"/>
        </w:rPr>
        <w:footnoteRef/>
      </w:r>
      <w:r>
        <w:t xml:space="preserve"> </w:t>
      </w:r>
      <w:r>
        <w:rPr>
          <w:i/>
          <w:iCs/>
        </w:rPr>
        <w:t>Id.</w:t>
      </w:r>
      <w:r w:rsidRPr="009923C8">
        <w:t xml:space="preserve"> </w:t>
      </w:r>
      <w:r>
        <w:t>at 13.</w:t>
      </w:r>
    </w:p>
  </w:footnote>
  <w:footnote w:id="27">
    <w:p w14:paraId="1C168676" w14:textId="3CE289B1" w:rsidR="00562A48" w:rsidRPr="00562A48" w:rsidRDefault="00562A48">
      <w:pPr>
        <w:pStyle w:val="FootnoteText"/>
      </w:pPr>
      <w:r>
        <w:rPr>
          <w:rStyle w:val="FootnoteReference"/>
        </w:rPr>
        <w:footnoteRef/>
      </w:r>
      <w:r>
        <w:t xml:space="preserve"> </w:t>
      </w:r>
      <w:r>
        <w:rPr>
          <w:i/>
          <w:iCs/>
        </w:rPr>
        <w:t>Id.</w:t>
      </w:r>
      <w:r w:rsidRPr="009923C8">
        <w:t xml:space="preserve"> </w:t>
      </w:r>
      <w:r>
        <w:t>at 14</w:t>
      </w:r>
      <w:r w:rsidR="00C222F3">
        <w:t xml:space="preserve"> (citing </w:t>
      </w:r>
      <w:r w:rsidR="008965EC" w:rsidRPr="008965EC">
        <w:t>DMDG, §</w:t>
      </w:r>
      <w:r w:rsidR="009923C8">
        <w:t> </w:t>
      </w:r>
      <w:r w:rsidR="008965EC" w:rsidRPr="008965EC">
        <w:t>2</w:t>
      </w:r>
      <w:r w:rsidR="00C222F3">
        <w:t>)</w:t>
      </w:r>
      <w:r>
        <w:t>.</w:t>
      </w:r>
    </w:p>
  </w:footnote>
  <w:footnote w:id="28">
    <w:p w14:paraId="25EF13F2" w14:textId="06BF5625" w:rsidR="00A36DD4" w:rsidRPr="00A36DD4" w:rsidRDefault="00A36DD4">
      <w:pPr>
        <w:pStyle w:val="FootnoteText"/>
      </w:pPr>
      <w:r>
        <w:rPr>
          <w:rStyle w:val="FootnoteReference"/>
        </w:rPr>
        <w:footnoteRef/>
      </w:r>
      <w:r>
        <w:t xml:space="preserve"> </w:t>
      </w:r>
      <w:r>
        <w:rPr>
          <w:i/>
          <w:iCs/>
        </w:rPr>
        <w:t>Id.</w:t>
      </w:r>
      <w:r w:rsidRPr="009923C8">
        <w:t xml:space="preserve"> </w:t>
      </w:r>
      <w:r>
        <w:t>at 16-17.</w:t>
      </w:r>
    </w:p>
  </w:footnote>
  <w:footnote w:id="29">
    <w:p w14:paraId="6C2CB41F" w14:textId="00D19997" w:rsidR="00AF6AE4" w:rsidRPr="00AF6AE4" w:rsidRDefault="00AF6AE4">
      <w:pPr>
        <w:pStyle w:val="FootnoteText"/>
        <w:rPr>
          <w:u w:val="single"/>
        </w:rPr>
      </w:pPr>
      <w:r>
        <w:rPr>
          <w:rStyle w:val="FootnoteReference"/>
        </w:rPr>
        <w:footnoteRef/>
      </w:r>
      <w:r>
        <w:t xml:space="preserve"> </w:t>
      </w:r>
      <w:r>
        <w:rPr>
          <w:i/>
          <w:iCs/>
        </w:rPr>
        <w:t>Id.</w:t>
      </w:r>
      <w:r w:rsidRPr="009923C8">
        <w:t xml:space="preserve"> </w:t>
      </w:r>
      <w:r>
        <w:t>at 16.</w:t>
      </w:r>
    </w:p>
  </w:footnote>
  <w:footnote w:id="30">
    <w:p w14:paraId="64C7DADD" w14:textId="1CCA5E7B" w:rsidR="001E752D" w:rsidRPr="001E752D" w:rsidRDefault="001E752D">
      <w:pPr>
        <w:pStyle w:val="FootnoteText"/>
      </w:pPr>
      <w:r>
        <w:rPr>
          <w:rStyle w:val="FootnoteReference"/>
        </w:rPr>
        <w:footnoteRef/>
      </w:r>
      <w:r>
        <w:t xml:space="preserve"> </w:t>
      </w:r>
      <w:r>
        <w:rPr>
          <w:i/>
          <w:iCs/>
        </w:rPr>
        <w:t>Id.</w:t>
      </w:r>
      <w:r w:rsidRPr="009923C8">
        <w:t xml:space="preserve"> </w:t>
      </w:r>
      <w:r>
        <w:t>at 18.</w:t>
      </w:r>
    </w:p>
  </w:footnote>
  <w:footnote w:id="31">
    <w:p w14:paraId="52BA7434" w14:textId="7981C61F" w:rsidR="00B83919" w:rsidRPr="00B83919" w:rsidRDefault="00B83919">
      <w:pPr>
        <w:pStyle w:val="FootnoteText"/>
      </w:pPr>
      <w:r>
        <w:rPr>
          <w:rStyle w:val="FootnoteReference"/>
        </w:rPr>
        <w:footnoteRef/>
      </w:r>
      <w:r>
        <w:t xml:space="preserve"> </w:t>
      </w:r>
      <w:r>
        <w:rPr>
          <w:i/>
          <w:iCs/>
        </w:rPr>
        <w:t>Id.</w:t>
      </w:r>
      <w:r w:rsidRPr="009923C8">
        <w:t xml:space="preserve"> </w:t>
      </w:r>
      <w:r>
        <w:t>at 16.</w:t>
      </w:r>
    </w:p>
  </w:footnote>
  <w:footnote w:id="32">
    <w:p w14:paraId="6F4686A8" w14:textId="01478CB2" w:rsidR="00E25CE8" w:rsidRPr="00E25CE8" w:rsidRDefault="00E25CE8">
      <w:pPr>
        <w:pStyle w:val="FootnoteText"/>
      </w:pPr>
      <w:r>
        <w:rPr>
          <w:rStyle w:val="FootnoteReference"/>
        </w:rPr>
        <w:footnoteRef/>
      </w:r>
      <w:r>
        <w:t xml:space="preserve"> </w:t>
      </w:r>
      <w:r>
        <w:rPr>
          <w:i/>
          <w:iCs/>
        </w:rPr>
        <w:t>Id.</w:t>
      </w:r>
      <w:r w:rsidRPr="009923C8">
        <w:t xml:space="preserve"> </w:t>
      </w:r>
      <w:r>
        <w:t>at 16-17</w:t>
      </w:r>
      <w:r w:rsidR="00980AEB">
        <w:t xml:space="preserve"> (citing </w:t>
      </w:r>
      <w:r w:rsidR="00980AEB" w:rsidRPr="00980AEB">
        <w:t>PJM</w:t>
      </w:r>
      <w:r w:rsidR="007104F5">
        <w:t>, Intra-PJM</w:t>
      </w:r>
      <w:r w:rsidR="00980AEB" w:rsidRPr="00980AEB">
        <w:t xml:space="preserve"> Tariff</w:t>
      </w:r>
      <w:r w:rsidR="007104F5">
        <w:t>s</w:t>
      </w:r>
      <w:r w:rsidR="00980AEB" w:rsidRPr="00980AEB">
        <w:t>, Part VIII.B, §</w:t>
      </w:r>
      <w:r w:rsidR="009923C8">
        <w:t> </w:t>
      </w:r>
      <w:r w:rsidR="00980AEB" w:rsidRPr="00980AEB">
        <w:t>403</w:t>
      </w:r>
      <w:r w:rsidR="005331FC">
        <w:t xml:space="preserve"> </w:t>
      </w:r>
      <w:r w:rsidR="005331FC" w:rsidRPr="005331FC">
        <w:t>(Application Rules (0.10)</w:t>
      </w:r>
      <w:r w:rsidR="00980AEB" w:rsidRPr="00980AEB">
        <w:t>, § B.1</w:t>
      </w:r>
      <w:r w:rsidR="00980AEB">
        <w:t>)</w:t>
      </w:r>
      <w:r>
        <w:t>.</w:t>
      </w:r>
    </w:p>
  </w:footnote>
  <w:footnote w:id="33">
    <w:p w14:paraId="1D2F2382" w14:textId="3E3C9700" w:rsidR="00D73DB3" w:rsidRDefault="00D73DB3">
      <w:pPr>
        <w:pStyle w:val="FootnoteText"/>
      </w:pPr>
      <w:r>
        <w:rPr>
          <w:rStyle w:val="FootnoteReference"/>
        </w:rPr>
        <w:footnoteRef/>
      </w:r>
      <w:r>
        <w:t xml:space="preserve"> PJM </w:t>
      </w:r>
      <w:r w:rsidR="00725E78">
        <w:t xml:space="preserve">September 4 </w:t>
      </w:r>
      <w:r>
        <w:t>Answer at 1.</w:t>
      </w:r>
    </w:p>
  </w:footnote>
  <w:footnote w:id="34">
    <w:p w14:paraId="572A6B55" w14:textId="3D0FCE10" w:rsidR="00F61367" w:rsidRPr="00F61367" w:rsidRDefault="00F61367">
      <w:pPr>
        <w:pStyle w:val="FootnoteText"/>
      </w:pPr>
      <w:r>
        <w:rPr>
          <w:rStyle w:val="FootnoteReference"/>
        </w:rPr>
        <w:footnoteRef/>
      </w:r>
      <w:r>
        <w:t xml:space="preserve"> </w:t>
      </w:r>
      <w:r>
        <w:rPr>
          <w:i/>
          <w:iCs/>
        </w:rPr>
        <w:t>Id.</w:t>
      </w:r>
      <w:r w:rsidRPr="009923C8">
        <w:t xml:space="preserve"> </w:t>
      </w:r>
      <w:r>
        <w:t>at 14.</w:t>
      </w:r>
    </w:p>
  </w:footnote>
  <w:footnote w:id="35">
    <w:p w14:paraId="006A6874" w14:textId="1E1B7520" w:rsidR="007F4ADB" w:rsidRPr="007F4ADB" w:rsidRDefault="007F4ADB">
      <w:pPr>
        <w:pStyle w:val="FootnoteText"/>
      </w:pPr>
      <w:r>
        <w:rPr>
          <w:rStyle w:val="FootnoteReference"/>
        </w:rPr>
        <w:footnoteRef/>
      </w:r>
      <w:r>
        <w:t xml:space="preserve"> </w:t>
      </w:r>
      <w:r>
        <w:rPr>
          <w:i/>
          <w:iCs/>
        </w:rPr>
        <w:t xml:space="preserve">Id. </w:t>
      </w:r>
      <w:r>
        <w:t>at 15-16.</w:t>
      </w:r>
    </w:p>
  </w:footnote>
  <w:footnote w:id="36">
    <w:p w14:paraId="7669E1AD" w14:textId="71689621" w:rsidR="00DC70EC" w:rsidRPr="00090CA6" w:rsidRDefault="00DC70EC" w:rsidP="00C27868">
      <w:pPr>
        <w:pStyle w:val="FootnoteText"/>
      </w:pPr>
      <w:r>
        <w:rPr>
          <w:rStyle w:val="FootnoteReference"/>
        </w:rPr>
        <w:footnoteRef/>
      </w:r>
      <w:r>
        <w:t xml:space="preserve"> </w:t>
      </w:r>
      <w:r>
        <w:rPr>
          <w:i/>
          <w:iCs/>
        </w:rPr>
        <w:t xml:space="preserve">Id. </w:t>
      </w:r>
      <w:r>
        <w:t xml:space="preserve">at 15.  PJM </w:t>
      </w:r>
      <w:r w:rsidR="00C81288">
        <w:t xml:space="preserve">argues that it notified </w:t>
      </w:r>
      <w:r w:rsidR="00FB11CB">
        <w:t xml:space="preserve">Oklo of errors with its PSSE model with all generators on and that </w:t>
      </w:r>
      <w:r w:rsidR="00820649">
        <w:t>the highlighted issue was not solely with the fuel cell generation component</w:t>
      </w:r>
      <w:r w:rsidR="00572F12">
        <w:t xml:space="preserve">.  </w:t>
      </w:r>
      <w:r w:rsidR="00572F12">
        <w:rPr>
          <w:i/>
          <w:iCs/>
        </w:rPr>
        <w:t xml:space="preserve">Id. </w:t>
      </w:r>
      <w:r w:rsidR="00572F12">
        <w:t>at 16</w:t>
      </w:r>
      <w:r w:rsidR="008A6FB2">
        <w:t xml:space="preserve"> </w:t>
      </w:r>
      <w:r w:rsidR="00151932">
        <w:t>(</w:t>
      </w:r>
      <w:r w:rsidR="00627928">
        <w:t xml:space="preserve">noting the </w:t>
      </w:r>
      <w:r w:rsidR="002C4D38">
        <w:t>May 15 D</w:t>
      </w:r>
      <w:r w:rsidR="00627928">
        <w:t xml:space="preserve">eficiency </w:t>
      </w:r>
      <w:r w:rsidR="002C4D38">
        <w:t>N</w:t>
      </w:r>
      <w:r w:rsidR="00627928">
        <w:t xml:space="preserve">otice </w:t>
      </w:r>
      <w:r w:rsidR="006722BF">
        <w:t>stated that, “</w:t>
      </w:r>
      <w:r w:rsidR="00C27868" w:rsidRPr="00C27868">
        <w:t>Per PJM’s DMDG the PSSE cases should initialize without any</w:t>
      </w:r>
      <w:r w:rsidR="00C27868">
        <w:t xml:space="preserve"> </w:t>
      </w:r>
      <w:r w:rsidR="00C27868" w:rsidRPr="00C27868">
        <w:t xml:space="preserve">DSTATE errors or suspect initial conditions. </w:t>
      </w:r>
      <w:r w:rsidR="00C27868">
        <w:t xml:space="preserve"> </w:t>
      </w:r>
      <w:r w:rsidR="00C27868" w:rsidRPr="00C27868">
        <w:t xml:space="preserve">When initializing </w:t>
      </w:r>
      <w:r w:rsidR="00C27868" w:rsidRPr="00C27868">
        <w:rPr>
          <w:i/>
          <w:iCs/>
        </w:rPr>
        <w:t>the</w:t>
      </w:r>
      <w:r w:rsidR="00C27868">
        <w:t xml:space="preserve"> </w:t>
      </w:r>
      <w:r w:rsidR="00C27868" w:rsidRPr="00C27868">
        <w:rPr>
          <w:i/>
          <w:iCs/>
        </w:rPr>
        <w:t>full project facility with all generators turned on</w:t>
      </w:r>
      <w:r w:rsidR="001426B1">
        <w:rPr>
          <w:i/>
          <w:iCs/>
        </w:rPr>
        <w:t xml:space="preserve"> </w:t>
      </w:r>
      <w:r w:rsidR="001426B1">
        <w:t>. . . .</w:t>
      </w:r>
      <w:r w:rsidR="00375DC5">
        <w:t>)</w:t>
      </w:r>
      <w:r w:rsidR="00627928">
        <w:t>.</w:t>
      </w:r>
      <w:r w:rsidR="00090CA6">
        <w:t xml:space="preserve">  </w:t>
      </w:r>
      <w:r w:rsidR="00090CA6">
        <w:rPr>
          <w:i/>
          <w:iCs/>
        </w:rPr>
        <w:t xml:space="preserve">Id. </w:t>
      </w:r>
      <w:r w:rsidR="00782D50">
        <w:t xml:space="preserve">(citing Complaint, </w:t>
      </w:r>
      <w:r w:rsidR="00EC13E8">
        <w:t>a</w:t>
      </w:r>
      <w:r w:rsidR="00782D50">
        <w:t xml:space="preserve">ttach. </w:t>
      </w:r>
      <w:r w:rsidR="002C4D38">
        <w:t>E).</w:t>
      </w:r>
    </w:p>
  </w:footnote>
  <w:footnote w:id="37">
    <w:p w14:paraId="74ADB580" w14:textId="42359C24" w:rsidR="00BE555A" w:rsidRPr="00BE555A" w:rsidRDefault="00BE555A">
      <w:pPr>
        <w:pStyle w:val="FootnoteText"/>
      </w:pPr>
      <w:r>
        <w:rPr>
          <w:rStyle w:val="FootnoteReference"/>
        </w:rPr>
        <w:footnoteRef/>
      </w:r>
      <w:r>
        <w:t xml:space="preserve"> </w:t>
      </w:r>
      <w:r>
        <w:rPr>
          <w:i/>
          <w:iCs/>
        </w:rPr>
        <w:t xml:space="preserve">Id. </w:t>
      </w:r>
      <w:r>
        <w:t>at 11.</w:t>
      </w:r>
    </w:p>
  </w:footnote>
  <w:footnote w:id="38">
    <w:p w14:paraId="230BBDA2" w14:textId="30D78084" w:rsidR="00E73B3A" w:rsidRPr="00E73B3A" w:rsidRDefault="00E73B3A">
      <w:pPr>
        <w:pStyle w:val="FootnoteText"/>
      </w:pPr>
      <w:r>
        <w:rPr>
          <w:rStyle w:val="FootnoteReference"/>
        </w:rPr>
        <w:footnoteRef/>
      </w:r>
      <w:r>
        <w:t xml:space="preserve"> </w:t>
      </w:r>
      <w:r>
        <w:rPr>
          <w:i/>
          <w:iCs/>
        </w:rPr>
        <w:t xml:space="preserve">Id. </w:t>
      </w:r>
      <w:r>
        <w:t>at 17.</w:t>
      </w:r>
    </w:p>
  </w:footnote>
  <w:footnote w:id="39">
    <w:p w14:paraId="3E78888C" w14:textId="23DD6FD9" w:rsidR="005539EE" w:rsidRPr="00972156" w:rsidRDefault="005539EE">
      <w:pPr>
        <w:pStyle w:val="FootnoteText"/>
      </w:pPr>
      <w:r>
        <w:rPr>
          <w:rStyle w:val="FootnoteReference"/>
        </w:rPr>
        <w:footnoteRef/>
      </w:r>
      <w:r>
        <w:t xml:space="preserve"> </w:t>
      </w:r>
      <w:r w:rsidR="00972156">
        <w:rPr>
          <w:i/>
          <w:iCs/>
        </w:rPr>
        <w:t>Id.</w:t>
      </w:r>
      <w:r w:rsidR="00972156" w:rsidRPr="009923C8">
        <w:t xml:space="preserve"> </w:t>
      </w:r>
      <w:r w:rsidR="00972156">
        <w:t>at 20 (citing PJM</w:t>
      </w:r>
      <w:r w:rsidR="007104F5">
        <w:t>, Intra-PJM</w:t>
      </w:r>
      <w:r w:rsidR="00972156">
        <w:t xml:space="preserve"> Tariff</w:t>
      </w:r>
      <w:r w:rsidR="007104F5">
        <w:t>s</w:t>
      </w:r>
      <w:r w:rsidR="00972156">
        <w:t xml:space="preserve">, </w:t>
      </w:r>
      <w:r w:rsidR="00972156" w:rsidRPr="00972156">
        <w:t xml:space="preserve">Part VIII, </w:t>
      </w:r>
      <w:r w:rsidR="00331AEE" w:rsidRPr="00331AEE">
        <w:t xml:space="preserve">§ 403 </w:t>
      </w:r>
      <w:r w:rsidR="00AC2EC1">
        <w:t>(Application Ru</w:t>
      </w:r>
      <w:r w:rsidR="00A843E7">
        <w:t>l</w:t>
      </w:r>
      <w:r w:rsidR="00AC2EC1">
        <w:t xml:space="preserve">es) </w:t>
      </w:r>
      <w:r w:rsidR="00331AEE" w:rsidRPr="00331AEE">
        <w:t>(0.10),</w:t>
      </w:r>
      <w:r w:rsidR="00331AEE">
        <w:t xml:space="preserve"> </w:t>
      </w:r>
      <w:r w:rsidR="0048724C">
        <w:t>§</w:t>
      </w:r>
      <w:r w:rsidR="009923C8">
        <w:t> </w:t>
      </w:r>
      <w:r w:rsidR="00972156" w:rsidRPr="00972156">
        <w:t>403(B)</w:t>
      </w:r>
      <w:r w:rsidR="00972156">
        <w:t>).</w:t>
      </w:r>
    </w:p>
  </w:footnote>
  <w:footnote w:id="40">
    <w:p w14:paraId="0D0F27C5" w14:textId="2BD64995" w:rsidR="001C54F5" w:rsidRPr="001C54F5" w:rsidRDefault="001C54F5">
      <w:pPr>
        <w:pStyle w:val="FootnoteText"/>
      </w:pPr>
      <w:r>
        <w:rPr>
          <w:rStyle w:val="FootnoteReference"/>
        </w:rPr>
        <w:footnoteRef/>
      </w:r>
      <w:r>
        <w:t xml:space="preserve"> </w:t>
      </w:r>
      <w:r>
        <w:rPr>
          <w:i/>
          <w:iCs/>
        </w:rPr>
        <w:t>Id.</w:t>
      </w:r>
      <w:r w:rsidRPr="009923C8">
        <w:t xml:space="preserve"> </w:t>
      </w:r>
      <w:r>
        <w:t xml:space="preserve">at 21. </w:t>
      </w:r>
    </w:p>
  </w:footnote>
  <w:footnote w:id="41">
    <w:p w14:paraId="63FA15A8" w14:textId="7D1A9D6F" w:rsidR="00480068" w:rsidRPr="00480068" w:rsidRDefault="00480068">
      <w:pPr>
        <w:pStyle w:val="FootnoteText"/>
      </w:pPr>
      <w:r>
        <w:rPr>
          <w:rStyle w:val="FootnoteReference"/>
        </w:rPr>
        <w:footnoteRef/>
      </w:r>
      <w:r>
        <w:t xml:space="preserve"> </w:t>
      </w:r>
      <w:r>
        <w:rPr>
          <w:i/>
          <w:iCs/>
        </w:rPr>
        <w:t>Id.</w:t>
      </w:r>
      <w:r>
        <w:t xml:space="preserve"> (citing Complaint at 9)</w:t>
      </w:r>
      <w:r w:rsidR="00C8335F">
        <w:t>.</w:t>
      </w:r>
    </w:p>
  </w:footnote>
  <w:footnote w:id="42">
    <w:p w14:paraId="259D0A5B" w14:textId="27745904" w:rsidR="007456B0" w:rsidRPr="007456B0" w:rsidRDefault="007456B0">
      <w:pPr>
        <w:pStyle w:val="FootnoteText"/>
      </w:pPr>
      <w:r>
        <w:rPr>
          <w:rStyle w:val="FootnoteReference"/>
        </w:rPr>
        <w:footnoteRef/>
      </w:r>
      <w:r>
        <w:t xml:space="preserve"> </w:t>
      </w:r>
      <w:r>
        <w:rPr>
          <w:i/>
          <w:iCs/>
        </w:rPr>
        <w:t>Id.</w:t>
      </w:r>
      <w:r w:rsidRPr="009923C8">
        <w:t xml:space="preserve"> </w:t>
      </w:r>
      <w:r>
        <w:t>at 21-22.</w:t>
      </w:r>
    </w:p>
  </w:footnote>
  <w:footnote w:id="43">
    <w:p w14:paraId="3D2DF149" w14:textId="263CC2F2" w:rsidR="001A0718" w:rsidRPr="001A0718" w:rsidRDefault="001A0718">
      <w:pPr>
        <w:pStyle w:val="FootnoteText"/>
      </w:pPr>
      <w:r>
        <w:rPr>
          <w:rStyle w:val="FootnoteReference"/>
        </w:rPr>
        <w:footnoteRef/>
      </w:r>
      <w:r>
        <w:t xml:space="preserve"> </w:t>
      </w:r>
      <w:r>
        <w:rPr>
          <w:i/>
          <w:iCs/>
        </w:rPr>
        <w:t>Id.</w:t>
      </w:r>
      <w:r w:rsidRPr="009923C8">
        <w:t xml:space="preserve"> </w:t>
      </w:r>
      <w:r>
        <w:t>at 23.</w:t>
      </w:r>
    </w:p>
  </w:footnote>
  <w:footnote w:id="44">
    <w:p w14:paraId="5AA78280" w14:textId="6CB62986" w:rsidR="001D4002" w:rsidRPr="001D4002" w:rsidRDefault="001D4002">
      <w:pPr>
        <w:pStyle w:val="FootnoteText"/>
      </w:pPr>
      <w:r>
        <w:rPr>
          <w:rStyle w:val="FootnoteReference"/>
        </w:rPr>
        <w:footnoteRef/>
      </w:r>
      <w:r>
        <w:t xml:space="preserve"> </w:t>
      </w:r>
      <w:r>
        <w:rPr>
          <w:i/>
          <w:iCs/>
        </w:rPr>
        <w:t>Id.</w:t>
      </w:r>
      <w:r w:rsidRPr="009923C8">
        <w:t xml:space="preserve"> </w:t>
      </w:r>
      <w:r>
        <w:t>at 24.</w:t>
      </w:r>
    </w:p>
  </w:footnote>
  <w:footnote w:id="45">
    <w:p w14:paraId="3693B7D5" w14:textId="08CD3563" w:rsidR="00647873" w:rsidRPr="00155863" w:rsidRDefault="00647873">
      <w:pPr>
        <w:pStyle w:val="FootnoteText"/>
      </w:pPr>
      <w:r>
        <w:rPr>
          <w:rStyle w:val="FootnoteReference"/>
        </w:rPr>
        <w:footnoteRef/>
      </w:r>
      <w:r>
        <w:t xml:space="preserve"> </w:t>
      </w:r>
      <w:r w:rsidR="007F7164">
        <w:rPr>
          <w:i/>
          <w:iCs/>
        </w:rPr>
        <w:t>Id</w:t>
      </w:r>
      <w:r w:rsidR="0022685E">
        <w:rPr>
          <w:i/>
          <w:iCs/>
        </w:rPr>
        <w:t>.</w:t>
      </w:r>
      <w:r w:rsidR="007F7164">
        <w:t xml:space="preserve">  PJM</w:t>
      </w:r>
      <w:r w:rsidR="00155863">
        <w:t xml:space="preserve"> </w:t>
      </w:r>
      <w:r w:rsidR="00DA11B6">
        <w:t xml:space="preserve">states that while </w:t>
      </w:r>
      <w:r w:rsidR="002E07E9">
        <w:t xml:space="preserve">Oklo </w:t>
      </w:r>
      <w:r w:rsidR="00AE15BD">
        <w:t>minimizes the importance of the DMDG Report and Checklist as a “ministerial administrative requirement</w:t>
      </w:r>
      <w:r w:rsidR="00B53123">
        <w:t>,</w:t>
      </w:r>
      <w:r w:rsidR="00AE15BD">
        <w:t xml:space="preserve">” </w:t>
      </w:r>
      <w:r w:rsidR="000961DE">
        <w:t>PJM made it clear in numerous stakeholder trainings th</w:t>
      </w:r>
      <w:r w:rsidR="003C52B0">
        <w:t>at the Report and Checklist are requirements of the DMDG and must be provided in order for PJM to consider the submission valid</w:t>
      </w:r>
      <w:r w:rsidR="00155863">
        <w:t xml:space="preserve">.  </w:t>
      </w:r>
      <w:r w:rsidR="00155863">
        <w:rPr>
          <w:i/>
          <w:iCs/>
        </w:rPr>
        <w:t>Id.</w:t>
      </w:r>
      <w:r w:rsidR="00155863" w:rsidRPr="009923C8">
        <w:t xml:space="preserve"> </w:t>
      </w:r>
      <w:r w:rsidR="00DE001E">
        <w:t xml:space="preserve">       </w:t>
      </w:r>
      <w:r w:rsidR="00155863">
        <w:t>at 27.</w:t>
      </w:r>
    </w:p>
  </w:footnote>
  <w:footnote w:id="46">
    <w:p w14:paraId="3027BA2A" w14:textId="2D040DEF" w:rsidR="00D018D1" w:rsidRPr="00D018D1" w:rsidRDefault="00D018D1" w:rsidP="00DE001E">
      <w:pPr>
        <w:pStyle w:val="FootnoteText"/>
        <w:widowControl/>
      </w:pPr>
      <w:r>
        <w:rPr>
          <w:rStyle w:val="FootnoteReference"/>
        </w:rPr>
        <w:footnoteRef/>
      </w:r>
      <w:r>
        <w:t xml:space="preserve"> </w:t>
      </w:r>
      <w:r>
        <w:rPr>
          <w:i/>
          <w:iCs/>
        </w:rPr>
        <w:t>Id.</w:t>
      </w:r>
      <w:r w:rsidRPr="009923C8">
        <w:t xml:space="preserve"> </w:t>
      </w:r>
      <w:r>
        <w:t>at 2</w:t>
      </w:r>
      <w:r w:rsidR="00630C54">
        <w:t>5</w:t>
      </w:r>
      <w:r w:rsidR="00A13AB4">
        <w:t xml:space="preserve"> (citing </w:t>
      </w:r>
      <w:r w:rsidR="00262603">
        <w:t xml:space="preserve">Complaint, </w:t>
      </w:r>
      <w:r w:rsidR="00331AEE">
        <w:t>a</w:t>
      </w:r>
      <w:r w:rsidR="00262603">
        <w:t xml:space="preserve">ttach. </w:t>
      </w:r>
      <w:r w:rsidR="008B316F">
        <w:t xml:space="preserve">J </w:t>
      </w:r>
      <w:r w:rsidR="00063601">
        <w:t xml:space="preserve">at 1 </w:t>
      </w:r>
      <w:r w:rsidR="008B316F">
        <w:t>(Withdrawal Notice)</w:t>
      </w:r>
      <w:r w:rsidR="00A13AB4">
        <w:t>)</w:t>
      </w:r>
      <w:r w:rsidR="00630C54">
        <w:t>.</w:t>
      </w:r>
    </w:p>
  </w:footnote>
  <w:footnote w:id="47">
    <w:p w14:paraId="5D65093B" w14:textId="311B5D8C" w:rsidR="00E127AF" w:rsidRPr="00E127AF" w:rsidRDefault="00E127AF">
      <w:pPr>
        <w:pStyle w:val="FootnoteText"/>
      </w:pPr>
      <w:r>
        <w:rPr>
          <w:rStyle w:val="FootnoteReference"/>
        </w:rPr>
        <w:footnoteRef/>
      </w:r>
      <w:r>
        <w:t xml:space="preserve"> </w:t>
      </w:r>
      <w:r>
        <w:rPr>
          <w:i/>
          <w:iCs/>
        </w:rPr>
        <w:t>Id.</w:t>
      </w:r>
      <w:r w:rsidRPr="009923C8">
        <w:t xml:space="preserve"> </w:t>
      </w:r>
      <w:r>
        <w:t>at 26.</w:t>
      </w:r>
    </w:p>
  </w:footnote>
  <w:footnote w:id="48">
    <w:p w14:paraId="001A2AA8" w14:textId="608EA469" w:rsidR="0077719C" w:rsidRPr="0077719C" w:rsidRDefault="0077719C">
      <w:pPr>
        <w:pStyle w:val="FootnoteText"/>
      </w:pPr>
      <w:r>
        <w:rPr>
          <w:rStyle w:val="FootnoteReference"/>
        </w:rPr>
        <w:footnoteRef/>
      </w:r>
      <w:r>
        <w:t xml:space="preserve"> </w:t>
      </w:r>
      <w:r>
        <w:rPr>
          <w:i/>
          <w:iCs/>
        </w:rPr>
        <w:t>Id.</w:t>
      </w:r>
    </w:p>
  </w:footnote>
  <w:footnote w:id="49">
    <w:p w14:paraId="536001CF" w14:textId="424AEE53" w:rsidR="006739F7" w:rsidRPr="006739F7" w:rsidRDefault="006739F7">
      <w:pPr>
        <w:pStyle w:val="FootnoteText"/>
      </w:pPr>
      <w:r>
        <w:rPr>
          <w:rStyle w:val="FootnoteReference"/>
        </w:rPr>
        <w:footnoteRef/>
      </w:r>
      <w:r>
        <w:t xml:space="preserve"> </w:t>
      </w:r>
      <w:r>
        <w:rPr>
          <w:i/>
          <w:iCs/>
        </w:rPr>
        <w:t>Id.</w:t>
      </w:r>
      <w:r w:rsidRPr="009923C8">
        <w:t xml:space="preserve"> </w:t>
      </w:r>
      <w:r>
        <w:t>at 27</w:t>
      </w:r>
      <w:r w:rsidR="00A915D1">
        <w:t>, 30</w:t>
      </w:r>
      <w:r>
        <w:t>.</w:t>
      </w:r>
    </w:p>
  </w:footnote>
  <w:footnote w:id="50">
    <w:p w14:paraId="349A887A" w14:textId="32E43F3F" w:rsidR="00A22D3C" w:rsidRPr="00A22D3C" w:rsidRDefault="00A22D3C">
      <w:pPr>
        <w:pStyle w:val="FootnoteText"/>
      </w:pPr>
      <w:r>
        <w:rPr>
          <w:rStyle w:val="FootnoteReference"/>
        </w:rPr>
        <w:footnoteRef/>
      </w:r>
      <w:r>
        <w:t xml:space="preserve"> </w:t>
      </w:r>
      <w:r>
        <w:rPr>
          <w:i/>
          <w:iCs/>
        </w:rPr>
        <w:t xml:space="preserve">Id. </w:t>
      </w:r>
      <w:r>
        <w:t>at 5.</w:t>
      </w:r>
    </w:p>
  </w:footnote>
  <w:footnote w:id="51">
    <w:p w14:paraId="1209CE64" w14:textId="60BA24D8" w:rsidR="0079120D" w:rsidRPr="00883194" w:rsidRDefault="0079120D">
      <w:pPr>
        <w:pStyle w:val="FootnoteText"/>
      </w:pPr>
      <w:r>
        <w:rPr>
          <w:rStyle w:val="FootnoteReference"/>
        </w:rPr>
        <w:footnoteRef/>
      </w:r>
      <w:r>
        <w:t xml:space="preserve"> </w:t>
      </w:r>
      <w:r>
        <w:rPr>
          <w:i/>
          <w:iCs/>
        </w:rPr>
        <w:t>I</w:t>
      </w:r>
      <w:r w:rsidR="00883194">
        <w:rPr>
          <w:i/>
          <w:iCs/>
        </w:rPr>
        <w:t>d.</w:t>
      </w:r>
      <w:r w:rsidR="00883194" w:rsidRPr="009923C8">
        <w:t xml:space="preserve"> </w:t>
      </w:r>
      <w:r w:rsidR="00883194">
        <w:t>at 28-29.</w:t>
      </w:r>
    </w:p>
  </w:footnote>
  <w:footnote w:id="52">
    <w:p w14:paraId="4605289D" w14:textId="75531FFD" w:rsidR="009013E7" w:rsidRPr="009013E7" w:rsidRDefault="009013E7">
      <w:pPr>
        <w:pStyle w:val="FootnoteText"/>
      </w:pPr>
      <w:r>
        <w:rPr>
          <w:rStyle w:val="FootnoteReference"/>
        </w:rPr>
        <w:footnoteRef/>
      </w:r>
      <w:r>
        <w:t xml:space="preserve"> </w:t>
      </w:r>
      <w:r>
        <w:rPr>
          <w:i/>
          <w:iCs/>
        </w:rPr>
        <w:t xml:space="preserve">Id. </w:t>
      </w:r>
      <w:r>
        <w:t>at 6.</w:t>
      </w:r>
    </w:p>
  </w:footnote>
  <w:footnote w:id="53">
    <w:p w14:paraId="56AC97A9" w14:textId="2788A4C9" w:rsidR="00886318" w:rsidRDefault="00886318" w:rsidP="00886318">
      <w:pPr>
        <w:pStyle w:val="FootnoteText"/>
      </w:pPr>
      <w:r>
        <w:rPr>
          <w:rStyle w:val="FootnoteReference"/>
        </w:rPr>
        <w:footnoteRef/>
      </w:r>
      <w:r>
        <w:t xml:space="preserve"> </w:t>
      </w:r>
      <w:r>
        <w:rPr>
          <w:i/>
          <w:iCs/>
        </w:rPr>
        <w:t>Id.</w:t>
      </w:r>
      <w:r>
        <w:rPr>
          <w:i/>
        </w:rPr>
        <w:t xml:space="preserve"> </w:t>
      </w:r>
      <w:r>
        <w:t xml:space="preserve">at 8 (citing </w:t>
      </w:r>
      <w:r w:rsidRPr="0026487F">
        <w:t xml:space="preserve">Complaint, </w:t>
      </w:r>
      <w:r w:rsidR="00331AEE">
        <w:t>a</w:t>
      </w:r>
      <w:r w:rsidRPr="0026487F">
        <w:t>ttach. J (Withdrawal Notice)</w:t>
      </w:r>
      <w:r>
        <w:t>).</w:t>
      </w:r>
    </w:p>
  </w:footnote>
  <w:footnote w:id="54">
    <w:p w14:paraId="3643229C" w14:textId="77777777" w:rsidR="00886318" w:rsidRDefault="00886318" w:rsidP="00886318">
      <w:pPr>
        <w:pStyle w:val="FootnoteText"/>
      </w:pPr>
      <w:r>
        <w:rPr>
          <w:rStyle w:val="FootnoteReference"/>
        </w:rPr>
        <w:footnoteRef/>
      </w:r>
      <w:r>
        <w:t xml:space="preserve"> </w:t>
      </w:r>
      <w:r>
        <w:rPr>
          <w:i/>
          <w:iCs/>
        </w:rPr>
        <w:t>Id.</w:t>
      </w:r>
    </w:p>
  </w:footnote>
  <w:footnote w:id="55">
    <w:p w14:paraId="489389F2" w14:textId="77777777" w:rsidR="00886318" w:rsidRDefault="00886318" w:rsidP="00886318">
      <w:pPr>
        <w:pStyle w:val="FootnoteText"/>
      </w:pPr>
      <w:r>
        <w:rPr>
          <w:rStyle w:val="FootnoteReference"/>
        </w:rPr>
        <w:footnoteRef/>
      </w:r>
      <w:r>
        <w:t xml:space="preserve"> </w:t>
      </w:r>
      <w:r>
        <w:rPr>
          <w:i/>
          <w:iCs/>
        </w:rPr>
        <w:t>Id.</w:t>
      </w:r>
      <w:r>
        <w:t xml:space="preserve"> (citing DMDG, § 7.4).</w:t>
      </w:r>
    </w:p>
  </w:footnote>
  <w:footnote w:id="56">
    <w:p w14:paraId="6C14DC05" w14:textId="77777777" w:rsidR="00142E90" w:rsidRDefault="00142E90" w:rsidP="00142E90">
      <w:pPr>
        <w:pStyle w:val="FootnoteText"/>
      </w:pPr>
      <w:r>
        <w:rPr>
          <w:rStyle w:val="FootnoteReference"/>
        </w:rPr>
        <w:footnoteRef/>
      </w:r>
      <w:r>
        <w:t xml:space="preserve"> </w:t>
      </w:r>
      <w:r>
        <w:rPr>
          <w:i/>
          <w:iCs/>
        </w:rPr>
        <w:t>Id.</w:t>
      </w:r>
    </w:p>
  </w:footnote>
  <w:footnote w:id="57">
    <w:p w14:paraId="7749A546" w14:textId="77777777" w:rsidR="00142E90" w:rsidRDefault="00142E90" w:rsidP="00142E90">
      <w:pPr>
        <w:pStyle w:val="FootnoteText"/>
      </w:pPr>
      <w:r>
        <w:rPr>
          <w:rStyle w:val="FootnoteReference"/>
        </w:rPr>
        <w:footnoteRef/>
      </w:r>
      <w:r>
        <w:t xml:space="preserve"> </w:t>
      </w:r>
      <w:r>
        <w:rPr>
          <w:i/>
          <w:iCs/>
        </w:rPr>
        <w:t>Id.</w:t>
      </w:r>
    </w:p>
  </w:footnote>
  <w:footnote w:id="58">
    <w:p w14:paraId="64C919B9" w14:textId="795B2DDF" w:rsidR="00F73058" w:rsidRDefault="00F73058">
      <w:pPr>
        <w:pStyle w:val="FootnoteText"/>
      </w:pPr>
      <w:r>
        <w:rPr>
          <w:rStyle w:val="FootnoteReference"/>
        </w:rPr>
        <w:footnoteRef/>
      </w:r>
      <w:r>
        <w:t xml:space="preserve"> </w:t>
      </w:r>
      <w:r w:rsidR="009936DE">
        <w:rPr>
          <w:i/>
          <w:iCs/>
        </w:rPr>
        <w:t>Id.</w:t>
      </w:r>
      <w:r>
        <w:t xml:space="preserve"> (citing </w:t>
      </w:r>
      <w:r w:rsidR="0009140F" w:rsidRPr="0009140F">
        <w:t>DMDG, § 7.1 (MFO Assessment)</w:t>
      </w:r>
      <w:r w:rsidR="0009140F">
        <w:t>).</w:t>
      </w:r>
    </w:p>
  </w:footnote>
  <w:footnote w:id="59">
    <w:p w14:paraId="0E63EDE4" w14:textId="0B8099B3" w:rsidR="0055624E" w:rsidRDefault="0055624E">
      <w:pPr>
        <w:pStyle w:val="FootnoteText"/>
      </w:pPr>
      <w:r>
        <w:rPr>
          <w:rStyle w:val="FootnoteReference"/>
        </w:rPr>
        <w:footnoteRef/>
      </w:r>
      <w:r>
        <w:t xml:space="preserve"> </w:t>
      </w:r>
      <w:r w:rsidR="009936DE">
        <w:rPr>
          <w:i/>
          <w:iCs/>
        </w:rPr>
        <w:t>Id.</w:t>
      </w:r>
      <w:r>
        <w:t xml:space="preserve"> at 9-10.</w:t>
      </w:r>
    </w:p>
  </w:footnote>
  <w:footnote w:id="60">
    <w:p w14:paraId="5F712673" w14:textId="5F9510A3" w:rsidR="00BB795C" w:rsidRDefault="00BB795C">
      <w:pPr>
        <w:pStyle w:val="FootnoteText"/>
      </w:pPr>
      <w:r>
        <w:rPr>
          <w:rStyle w:val="FootnoteReference"/>
        </w:rPr>
        <w:footnoteRef/>
      </w:r>
      <w:r>
        <w:t xml:space="preserve"> </w:t>
      </w:r>
      <w:r w:rsidR="004C05FE">
        <w:rPr>
          <w:i/>
          <w:iCs/>
        </w:rPr>
        <w:t>Id.</w:t>
      </w:r>
    </w:p>
  </w:footnote>
  <w:footnote w:id="61">
    <w:p w14:paraId="65D69009" w14:textId="74AC2849" w:rsidR="004E475C" w:rsidRPr="00FD0696" w:rsidRDefault="004E475C" w:rsidP="004E475C">
      <w:pPr>
        <w:pStyle w:val="FootnoteText"/>
        <w:rPr>
          <w:szCs w:val="26"/>
        </w:rPr>
      </w:pPr>
      <w:r w:rsidRPr="00FD0696">
        <w:rPr>
          <w:rStyle w:val="FootnoteReference"/>
          <w:szCs w:val="26"/>
        </w:rPr>
        <w:footnoteRef/>
      </w:r>
      <w:r w:rsidRPr="00FD0696">
        <w:rPr>
          <w:szCs w:val="26"/>
        </w:rPr>
        <w:t xml:space="preserve"> </w:t>
      </w:r>
      <w:r w:rsidR="00513E3F">
        <w:rPr>
          <w:i/>
          <w:iCs/>
        </w:rPr>
        <w:t>Id.</w:t>
      </w:r>
      <w:r>
        <w:rPr>
          <w:i/>
        </w:rPr>
        <w:t xml:space="preserve"> </w:t>
      </w:r>
      <w:r w:rsidRPr="00FD0696">
        <w:rPr>
          <w:szCs w:val="26"/>
        </w:rPr>
        <w:t>at 2-3, 11-12.</w:t>
      </w:r>
    </w:p>
  </w:footnote>
  <w:footnote w:id="62">
    <w:p w14:paraId="73609098" w14:textId="77777777" w:rsidR="004E475C" w:rsidRPr="00FD0696" w:rsidRDefault="004E475C" w:rsidP="004E475C">
      <w:pPr>
        <w:pStyle w:val="FootnoteText"/>
        <w:rPr>
          <w:szCs w:val="26"/>
        </w:rPr>
      </w:pPr>
      <w:r w:rsidRPr="00FD0696">
        <w:rPr>
          <w:rStyle w:val="FootnoteReference"/>
          <w:szCs w:val="26"/>
        </w:rPr>
        <w:footnoteRef/>
      </w:r>
      <w:r w:rsidRPr="00FD0696">
        <w:rPr>
          <w:szCs w:val="26"/>
        </w:rPr>
        <w:t xml:space="preserve"> </w:t>
      </w:r>
      <w:r w:rsidRPr="00FD0696">
        <w:rPr>
          <w:i/>
          <w:iCs/>
          <w:szCs w:val="26"/>
        </w:rPr>
        <w:t xml:space="preserve">Id. </w:t>
      </w:r>
      <w:r w:rsidRPr="00FD0696">
        <w:rPr>
          <w:szCs w:val="26"/>
        </w:rPr>
        <w:t>at 11-12.</w:t>
      </w:r>
    </w:p>
  </w:footnote>
  <w:footnote w:id="63">
    <w:p w14:paraId="5A980390" w14:textId="77777777" w:rsidR="004E475C" w:rsidRPr="00FD0696" w:rsidRDefault="004E475C" w:rsidP="004E475C">
      <w:pPr>
        <w:pStyle w:val="FootnoteText"/>
        <w:rPr>
          <w:szCs w:val="26"/>
        </w:rPr>
      </w:pPr>
      <w:r w:rsidRPr="00FD0696">
        <w:rPr>
          <w:rStyle w:val="FootnoteReference"/>
          <w:szCs w:val="26"/>
        </w:rPr>
        <w:footnoteRef/>
      </w:r>
      <w:r w:rsidRPr="00FD0696">
        <w:rPr>
          <w:szCs w:val="26"/>
        </w:rPr>
        <w:t xml:space="preserve"> </w:t>
      </w:r>
      <w:r w:rsidRPr="00FD0696">
        <w:rPr>
          <w:i/>
          <w:iCs/>
          <w:szCs w:val="26"/>
        </w:rPr>
        <w:t xml:space="preserve">Id. </w:t>
      </w:r>
      <w:r w:rsidRPr="00FD0696">
        <w:rPr>
          <w:szCs w:val="26"/>
        </w:rPr>
        <w:t>at 12-13.</w:t>
      </w:r>
    </w:p>
  </w:footnote>
  <w:footnote w:id="64">
    <w:p w14:paraId="14CD9E55" w14:textId="77777777" w:rsidR="004E475C" w:rsidRPr="00FD0696" w:rsidRDefault="004E475C" w:rsidP="004E475C">
      <w:pPr>
        <w:pStyle w:val="FootnoteText"/>
        <w:rPr>
          <w:szCs w:val="26"/>
        </w:rPr>
      </w:pPr>
      <w:r w:rsidRPr="00FD0696">
        <w:rPr>
          <w:rStyle w:val="FootnoteReference"/>
          <w:szCs w:val="26"/>
        </w:rPr>
        <w:footnoteRef/>
      </w:r>
      <w:r w:rsidRPr="00FD0696">
        <w:rPr>
          <w:szCs w:val="26"/>
        </w:rPr>
        <w:t xml:space="preserve"> </w:t>
      </w:r>
      <w:r w:rsidRPr="00FD0696">
        <w:rPr>
          <w:i/>
          <w:iCs/>
          <w:szCs w:val="26"/>
        </w:rPr>
        <w:t xml:space="preserve">Id. </w:t>
      </w:r>
      <w:r w:rsidRPr="00FD0696">
        <w:rPr>
          <w:szCs w:val="26"/>
        </w:rPr>
        <w:t>at 13.</w:t>
      </w:r>
    </w:p>
  </w:footnote>
  <w:footnote w:id="65">
    <w:p w14:paraId="2F3FCF63" w14:textId="77777777" w:rsidR="004E475C" w:rsidRPr="00080594" w:rsidRDefault="004E475C" w:rsidP="004E475C">
      <w:pPr>
        <w:pStyle w:val="FootnoteText"/>
      </w:pPr>
      <w:r w:rsidRPr="00FD0696">
        <w:rPr>
          <w:rStyle w:val="FootnoteReference"/>
          <w:szCs w:val="26"/>
        </w:rPr>
        <w:footnoteRef/>
      </w:r>
      <w:r w:rsidRPr="00FD0696">
        <w:rPr>
          <w:szCs w:val="26"/>
        </w:rPr>
        <w:t xml:space="preserve"> </w:t>
      </w:r>
      <w:r w:rsidRPr="00FD0696">
        <w:rPr>
          <w:i/>
          <w:iCs/>
          <w:szCs w:val="26"/>
        </w:rPr>
        <w:t xml:space="preserve">Id. </w:t>
      </w:r>
      <w:r w:rsidRPr="00FD0696">
        <w:rPr>
          <w:szCs w:val="26"/>
        </w:rPr>
        <w:t>at 14.</w:t>
      </w:r>
    </w:p>
  </w:footnote>
  <w:footnote w:id="66">
    <w:p w14:paraId="614AED0D" w14:textId="45A13343" w:rsidR="00106940" w:rsidRPr="007955A3" w:rsidRDefault="00106940">
      <w:pPr>
        <w:pStyle w:val="FootnoteText"/>
        <w:rPr>
          <w:i/>
          <w:iCs/>
        </w:rPr>
      </w:pPr>
      <w:r>
        <w:rPr>
          <w:rStyle w:val="FootnoteReference"/>
        </w:rPr>
        <w:footnoteRef/>
      </w:r>
      <w:r>
        <w:t xml:space="preserve"> </w:t>
      </w:r>
      <w:r>
        <w:rPr>
          <w:i/>
          <w:iCs/>
        </w:rPr>
        <w:t>Id.</w:t>
      </w:r>
    </w:p>
  </w:footnote>
  <w:footnote w:id="67">
    <w:p w14:paraId="04B1B88E" w14:textId="5AA3FCC7" w:rsidR="00422034" w:rsidRPr="00422034" w:rsidRDefault="00422034">
      <w:pPr>
        <w:pStyle w:val="FootnoteText"/>
      </w:pPr>
      <w:r>
        <w:rPr>
          <w:rStyle w:val="FootnoteReference"/>
        </w:rPr>
        <w:footnoteRef/>
      </w:r>
      <w:r>
        <w:t xml:space="preserve"> </w:t>
      </w:r>
      <w:r>
        <w:rPr>
          <w:i/>
          <w:iCs/>
        </w:rPr>
        <w:t xml:space="preserve">Id. </w:t>
      </w:r>
      <w:r>
        <w:t>at 14-15.</w:t>
      </w:r>
    </w:p>
  </w:footnote>
  <w:footnote w:id="68">
    <w:p w14:paraId="2B8B6B4E" w14:textId="20EB0012" w:rsidR="004B3363" w:rsidRPr="006B1C2C" w:rsidRDefault="004B3363" w:rsidP="004B3363">
      <w:pPr>
        <w:pStyle w:val="FootnoteText"/>
      </w:pPr>
      <w:r w:rsidRPr="00DC0A67">
        <w:rPr>
          <w:rStyle w:val="FootnoteReference"/>
          <w:szCs w:val="26"/>
        </w:rPr>
        <w:footnoteRef/>
      </w:r>
      <w:r w:rsidRPr="00DC0A67">
        <w:rPr>
          <w:szCs w:val="26"/>
        </w:rPr>
        <w:t xml:space="preserve"> </w:t>
      </w:r>
      <w:r w:rsidRPr="00DC0A67">
        <w:rPr>
          <w:i/>
          <w:iCs/>
          <w:szCs w:val="26"/>
        </w:rPr>
        <w:t xml:space="preserve">Id. </w:t>
      </w:r>
      <w:r w:rsidRPr="00DC0A67">
        <w:rPr>
          <w:szCs w:val="26"/>
        </w:rPr>
        <w:t>at 3</w:t>
      </w:r>
      <w:r w:rsidR="00FD08F2">
        <w:rPr>
          <w:szCs w:val="26"/>
        </w:rPr>
        <w:t>, 14-15</w:t>
      </w:r>
      <w:r w:rsidRPr="00DC0A67">
        <w:rPr>
          <w:szCs w:val="26"/>
        </w:rPr>
        <w:t>.</w:t>
      </w:r>
    </w:p>
  </w:footnote>
  <w:footnote w:id="69">
    <w:p w14:paraId="61181799" w14:textId="7F8B7CFD" w:rsidR="00FA02CA" w:rsidRPr="00FA02CA" w:rsidRDefault="00FA02CA">
      <w:pPr>
        <w:pStyle w:val="FootnoteText"/>
      </w:pPr>
      <w:r>
        <w:rPr>
          <w:rStyle w:val="FootnoteReference"/>
        </w:rPr>
        <w:footnoteRef/>
      </w:r>
      <w:r>
        <w:t xml:space="preserve"> </w:t>
      </w:r>
      <w:r>
        <w:rPr>
          <w:i/>
          <w:iCs/>
        </w:rPr>
        <w:t xml:space="preserve">Id. </w:t>
      </w:r>
      <w:r>
        <w:t>at 15-16.</w:t>
      </w:r>
    </w:p>
  </w:footnote>
  <w:footnote w:id="70">
    <w:p w14:paraId="3C912858" w14:textId="737C2320" w:rsidR="00445B0F" w:rsidRPr="00445B0F" w:rsidRDefault="00445B0F">
      <w:pPr>
        <w:pStyle w:val="FootnoteText"/>
      </w:pPr>
      <w:r>
        <w:rPr>
          <w:rStyle w:val="FootnoteReference"/>
        </w:rPr>
        <w:footnoteRef/>
      </w:r>
      <w:r>
        <w:t xml:space="preserve"> </w:t>
      </w:r>
      <w:r>
        <w:rPr>
          <w:i/>
          <w:iCs/>
        </w:rPr>
        <w:t>Id.</w:t>
      </w:r>
    </w:p>
  </w:footnote>
  <w:footnote w:id="71">
    <w:p w14:paraId="73F842C0" w14:textId="1743B850" w:rsidR="004960B6" w:rsidRPr="004960B6" w:rsidRDefault="004960B6">
      <w:pPr>
        <w:pStyle w:val="FootnoteText"/>
      </w:pPr>
      <w:r>
        <w:rPr>
          <w:rStyle w:val="FootnoteReference"/>
        </w:rPr>
        <w:footnoteRef/>
      </w:r>
      <w:r>
        <w:t xml:space="preserve"> </w:t>
      </w:r>
      <w:r>
        <w:rPr>
          <w:i/>
          <w:iCs/>
        </w:rPr>
        <w:t xml:space="preserve">Id. </w:t>
      </w:r>
      <w:r>
        <w:t>at 16.</w:t>
      </w:r>
    </w:p>
  </w:footnote>
  <w:footnote w:id="72">
    <w:p w14:paraId="58B483CE" w14:textId="1F382BC2" w:rsidR="007343E2" w:rsidRPr="007343E2" w:rsidRDefault="007343E2" w:rsidP="004E67E3">
      <w:pPr>
        <w:pStyle w:val="FootnoteText"/>
      </w:pPr>
      <w:r>
        <w:rPr>
          <w:rStyle w:val="FootnoteReference"/>
        </w:rPr>
        <w:footnoteRef/>
      </w:r>
      <w:r>
        <w:t xml:space="preserve"> </w:t>
      </w:r>
      <w:r>
        <w:rPr>
          <w:i/>
          <w:iCs/>
        </w:rPr>
        <w:t xml:space="preserve">Id. </w:t>
      </w:r>
      <w:r>
        <w:t>at 17 (</w:t>
      </w:r>
      <w:r w:rsidR="008A5A33">
        <w:t xml:space="preserve">citing </w:t>
      </w:r>
      <w:r w:rsidR="00AC2EC1">
        <w:t xml:space="preserve">PJM Interconnection, L.L.C., </w:t>
      </w:r>
      <w:r w:rsidR="0031260E" w:rsidRPr="00AC2EC1">
        <w:rPr>
          <w:i/>
          <w:iCs/>
        </w:rPr>
        <w:t xml:space="preserve">PJM </w:t>
      </w:r>
      <w:r w:rsidR="008A5A33" w:rsidRPr="00AC2EC1">
        <w:rPr>
          <w:i/>
          <w:iCs/>
        </w:rPr>
        <w:t>Manual 14H:</w:t>
      </w:r>
      <w:r w:rsidR="00AC2EC1">
        <w:t xml:space="preserve">  </w:t>
      </w:r>
      <w:r w:rsidR="008A5A33" w:rsidRPr="00566A18">
        <w:rPr>
          <w:i/>
          <w:iCs/>
        </w:rPr>
        <w:t>New Service Requests Cycle Process</w:t>
      </w:r>
      <w:r w:rsidR="008A5A33" w:rsidRPr="008A5A33">
        <w:t xml:space="preserve"> (Revision 07)</w:t>
      </w:r>
      <w:r w:rsidR="00AE2EA0" w:rsidRPr="008A5A33">
        <w:t>, §</w:t>
      </w:r>
      <w:r w:rsidR="00AE2EA0">
        <w:t xml:space="preserve"> </w:t>
      </w:r>
      <w:r w:rsidR="00AE2EA0" w:rsidRPr="008A5A33">
        <w:t>2.11</w:t>
      </w:r>
      <w:r w:rsidR="008A5A33" w:rsidRPr="008A5A33">
        <w:t xml:space="preserve"> (Aug. 19, 2026)</w:t>
      </w:r>
      <w:r w:rsidR="000D760E" w:rsidRPr="000D760E">
        <w:t>, https://www.pjm.com/-/media/DotCom/documents/manuals/m14h.pdf</w:t>
      </w:r>
      <w:r>
        <w:t>)</w:t>
      </w:r>
      <w:r w:rsidR="008A5A33">
        <w:t xml:space="preserve"> (</w:t>
      </w:r>
      <w:r w:rsidR="004E67E3">
        <w:t xml:space="preserve">noting </w:t>
      </w:r>
      <w:r w:rsidR="00BE0D2D">
        <w:t xml:space="preserve">that </w:t>
      </w:r>
      <w:r w:rsidR="004E67E3">
        <w:t>“Until the start of Phase I, developers can still withdraw their New Service Request without losing their Readiness Deposit No. 1.”</w:t>
      </w:r>
      <w:r w:rsidR="008A5A33">
        <w:t>)</w:t>
      </w:r>
      <w:r>
        <w:t>.</w:t>
      </w:r>
    </w:p>
  </w:footnote>
  <w:footnote w:id="73">
    <w:p w14:paraId="156F74FD" w14:textId="3081F998" w:rsidR="00DE4CDF" w:rsidRPr="00DE4CDF" w:rsidRDefault="00DE4CDF">
      <w:pPr>
        <w:pStyle w:val="FootnoteText"/>
      </w:pPr>
      <w:r>
        <w:rPr>
          <w:rStyle w:val="FootnoteReference"/>
        </w:rPr>
        <w:footnoteRef/>
      </w:r>
      <w:r>
        <w:t xml:space="preserve"> </w:t>
      </w:r>
      <w:r>
        <w:rPr>
          <w:i/>
          <w:iCs/>
        </w:rPr>
        <w:t xml:space="preserve">Id. </w:t>
      </w:r>
      <w:r>
        <w:t xml:space="preserve">at 18 (citing PJM </w:t>
      </w:r>
      <w:r w:rsidR="000D760E">
        <w:t xml:space="preserve">September 4 </w:t>
      </w:r>
      <w:r>
        <w:t>Answer at 31).</w:t>
      </w:r>
    </w:p>
  </w:footnote>
  <w:footnote w:id="74">
    <w:p w14:paraId="3B50CCAF" w14:textId="108E63EA" w:rsidR="00D004E2" w:rsidRPr="007955A3" w:rsidRDefault="00D004E2">
      <w:pPr>
        <w:pStyle w:val="FootnoteText"/>
        <w:rPr>
          <w:i/>
          <w:iCs/>
        </w:rPr>
      </w:pPr>
      <w:r>
        <w:rPr>
          <w:rStyle w:val="FootnoteReference"/>
        </w:rPr>
        <w:footnoteRef/>
      </w:r>
      <w:r>
        <w:t xml:space="preserve"> </w:t>
      </w:r>
      <w:r>
        <w:rPr>
          <w:i/>
          <w:iCs/>
        </w:rPr>
        <w:t>Id.</w:t>
      </w:r>
    </w:p>
  </w:footnote>
  <w:footnote w:id="75">
    <w:p w14:paraId="09205B74" w14:textId="77777777" w:rsidR="00527501" w:rsidRDefault="00527501" w:rsidP="00527501">
      <w:pPr>
        <w:pStyle w:val="FootnoteText"/>
      </w:pPr>
      <w:r>
        <w:rPr>
          <w:rStyle w:val="FootnoteReference"/>
        </w:rPr>
        <w:footnoteRef/>
      </w:r>
      <w:r>
        <w:t xml:space="preserve"> PJM September 18 Answer at 1.</w:t>
      </w:r>
    </w:p>
  </w:footnote>
  <w:footnote w:id="76">
    <w:p w14:paraId="39611508" w14:textId="77777777" w:rsidR="00527501" w:rsidRDefault="00527501" w:rsidP="00527501">
      <w:pPr>
        <w:pStyle w:val="FootnoteText"/>
        <w:jc w:val="both"/>
      </w:pPr>
      <w:r>
        <w:rPr>
          <w:rStyle w:val="FootnoteReference"/>
        </w:rPr>
        <w:footnoteRef/>
      </w:r>
      <w:r>
        <w:rPr>
          <w:i/>
          <w:iCs/>
        </w:rPr>
        <w:t xml:space="preserve"> Id. </w:t>
      </w:r>
      <w:r>
        <w:t xml:space="preserve">at 4-5. </w:t>
      </w:r>
    </w:p>
  </w:footnote>
  <w:footnote w:id="77">
    <w:p w14:paraId="5C70ADF8" w14:textId="77777777" w:rsidR="00527501" w:rsidRPr="004B3194" w:rsidRDefault="00527501" w:rsidP="00527501">
      <w:pPr>
        <w:pStyle w:val="FootnoteText"/>
      </w:pPr>
      <w:r>
        <w:rPr>
          <w:rStyle w:val="FootnoteReference"/>
        </w:rPr>
        <w:footnoteRef/>
      </w:r>
      <w:r>
        <w:t xml:space="preserve"> </w:t>
      </w:r>
      <w:r>
        <w:rPr>
          <w:i/>
          <w:iCs/>
        </w:rPr>
        <w:t xml:space="preserve">Id. </w:t>
      </w:r>
      <w:r>
        <w:t>at 4 (citing PJM September 4 Answer at 15).</w:t>
      </w:r>
    </w:p>
  </w:footnote>
  <w:footnote w:id="78">
    <w:p w14:paraId="69CEE9AB" w14:textId="77777777" w:rsidR="00527501" w:rsidRPr="00A87741" w:rsidRDefault="00527501" w:rsidP="00527501">
      <w:pPr>
        <w:pStyle w:val="FootnoteText"/>
      </w:pPr>
      <w:r>
        <w:rPr>
          <w:rStyle w:val="FootnoteReference"/>
        </w:rPr>
        <w:footnoteRef/>
      </w:r>
      <w:r>
        <w:t xml:space="preserve"> </w:t>
      </w:r>
      <w:r>
        <w:rPr>
          <w:i/>
          <w:iCs/>
        </w:rPr>
        <w:t xml:space="preserve">Id. </w:t>
      </w:r>
      <w:r>
        <w:t>(citing PJM September 4 Answer at 15-16).</w:t>
      </w:r>
    </w:p>
  </w:footnote>
  <w:footnote w:id="79">
    <w:p w14:paraId="41E73883" w14:textId="5DBAC4DF" w:rsidR="00527501" w:rsidRPr="005B2158" w:rsidRDefault="00527501" w:rsidP="00527501">
      <w:pPr>
        <w:pStyle w:val="FootnoteText"/>
      </w:pPr>
      <w:r>
        <w:rPr>
          <w:rStyle w:val="FootnoteReference"/>
        </w:rPr>
        <w:footnoteRef/>
      </w:r>
      <w:r>
        <w:t xml:space="preserve"> </w:t>
      </w:r>
      <w:r>
        <w:rPr>
          <w:i/>
          <w:iCs/>
        </w:rPr>
        <w:t xml:space="preserve">Id. </w:t>
      </w:r>
      <w:r>
        <w:t xml:space="preserve">at 5 (citing PJM September 4 Answer at 11; </w:t>
      </w:r>
      <w:r w:rsidR="00AC2EC1">
        <w:t xml:space="preserve">Eastern Interconnection Reliability Assessment Group, </w:t>
      </w:r>
      <w:r w:rsidRPr="001144C7">
        <w:rPr>
          <w:i/>
          <w:iCs/>
        </w:rPr>
        <w:t>Multiregional Modeling Working Group, Procedural Manual</w:t>
      </w:r>
      <w:r w:rsidRPr="00D32B74">
        <w:t xml:space="preserve">, </w:t>
      </w:r>
      <w:r w:rsidR="00AC2EC1">
        <w:t xml:space="preserve">§ </w:t>
      </w:r>
      <w:r w:rsidRPr="00D32B74">
        <w:t xml:space="preserve">8.6, (ver. 44, July 16, 2026) https://www.rfirst.org/wp-content/uploads/2025/12/MMWG_Procedural_Manual_v44.pdf (describing the </w:t>
      </w:r>
      <w:r w:rsidR="00AC2EC1">
        <w:t xml:space="preserve">          </w:t>
      </w:r>
      <w:r w:rsidRPr="00D32B74">
        <w:t>five-cycle, three-phase fault test as part of dynamics case acceptance criteria)</w:t>
      </w:r>
      <w:r>
        <w:t xml:space="preserve">).  </w:t>
      </w:r>
    </w:p>
  </w:footnote>
  <w:footnote w:id="80">
    <w:p w14:paraId="5E6FC8F0" w14:textId="646F3C8A" w:rsidR="00527501" w:rsidRPr="00686CCF" w:rsidRDefault="00527501" w:rsidP="00527501">
      <w:pPr>
        <w:pStyle w:val="FootnoteText"/>
      </w:pPr>
      <w:r>
        <w:rPr>
          <w:rStyle w:val="FootnoteReference"/>
        </w:rPr>
        <w:footnoteRef/>
      </w:r>
      <w:r>
        <w:t xml:space="preserve"> </w:t>
      </w:r>
      <w:r>
        <w:rPr>
          <w:i/>
          <w:iCs/>
        </w:rPr>
        <w:t xml:space="preserve">Id. </w:t>
      </w:r>
      <w:r>
        <w:t xml:space="preserve">(citing </w:t>
      </w:r>
      <w:r w:rsidR="00AC2EC1">
        <w:t xml:space="preserve">PJM Interconnection, L.L.C., </w:t>
      </w:r>
      <w:r w:rsidRPr="00686CCF">
        <w:rPr>
          <w:i/>
          <w:iCs/>
        </w:rPr>
        <w:t>PJM Manual 14B</w:t>
      </w:r>
      <w:r w:rsidR="00AC2EC1">
        <w:rPr>
          <w:i/>
          <w:iCs/>
        </w:rPr>
        <w:t xml:space="preserve">:  </w:t>
      </w:r>
      <w:r w:rsidRPr="00686CCF">
        <w:rPr>
          <w:i/>
          <w:iCs/>
        </w:rPr>
        <w:t>PJM Region Transmission Planning Process</w:t>
      </w:r>
      <w:r w:rsidRPr="00686CCF">
        <w:t xml:space="preserve">, </w:t>
      </w:r>
      <w:r w:rsidR="00AC2EC1">
        <w:t>a</w:t>
      </w:r>
      <w:r w:rsidRPr="00686CCF">
        <w:t>ttach</w:t>
      </w:r>
      <w:r w:rsidR="00AC2EC1">
        <w:t>.</w:t>
      </w:r>
      <w:r w:rsidRPr="00686CCF">
        <w:t xml:space="preserve"> G, </w:t>
      </w:r>
      <w:r w:rsidR="00AC2EC1">
        <w:t>§</w:t>
      </w:r>
      <w:r w:rsidRPr="00686CCF">
        <w:t xml:space="preserve"> G.3.2 (rev. 59, Apr. 22, 2026) https://www.pjm.com/-/media/DotCom/documents/manuals/m14b.pdf</w:t>
      </w:r>
      <w:r>
        <w:t>).</w:t>
      </w:r>
    </w:p>
  </w:footnote>
  <w:footnote w:id="81">
    <w:p w14:paraId="017C86BE" w14:textId="77777777" w:rsidR="00527501" w:rsidRPr="004D0D09" w:rsidRDefault="00527501" w:rsidP="00527501">
      <w:pPr>
        <w:pStyle w:val="FootnoteText"/>
      </w:pPr>
      <w:r>
        <w:rPr>
          <w:rStyle w:val="FootnoteReference"/>
        </w:rPr>
        <w:footnoteRef/>
      </w:r>
      <w:r>
        <w:t xml:space="preserve"> </w:t>
      </w:r>
      <w:r>
        <w:rPr>
          <w:i/>
          <w:iCs/>
        </w:rPr>
        <w:t xml:space="preserve">Id. </w:t>
      </w:r>
      <w:r>
        <w:t>at 6 (citing PJM September 4 Answer at 12).</w:t>
      </w:r>
    </w:p>
  </w:footnote>
  <w:footnote w:id="82">
    <w:p w14:paraId="2149DB8D" w14:textId="77777777" w:rsidR="00527501" w:rsidRPr="001144C7" w:rsidRDefault="00527501" w:rsidP="00527501">
      <w:pPr>
        <w:pStyle w:val="FootnoteText"/>
        <w:rPr>
          <w:i/>
          <w:iCs/>
        </w:rPr>
      </w:pPr>
      <w:r>
        <w:rPr>
          <w:rStyle w:val="FootnoteReference"/>
        </w:rPr>
        <w:footnoteRef/>
      </w:r>
      <w:r>
        <w:t xml:space="preserve"> </w:t>
      </w:r>
      <w:r>
        <w:rPr>
          <w:i/>
          <w:iCs/>
        </w:rPr>
        <w:t xml:space="preserve">Id. </w:t>
      </w:r>
      <w:r>
        <w:t xml:space="preserve">at 1-2. </w:t>
      </w:r>
      <w:r>
        <w:rPr>
          <w:i/>
          <w:iCs/>
        </w:rPr>
        <w:t xml:space="preserve"> </w:t>
      </w:r>
    </w:p>
  </w:footnote>
  <w:footnote w:id="83">
    <w:p w14:paraId="2978705D" w14:textId="7C3B62C2" w:rsidR="00527501" w:rsidRPr="00101068" w:rsidRDefault="00527501" w:rsidP="00527501">
      <w:pPr>
        <w:pStyle w:val="FootnoteText"/>
      </w:pPr>
      <w:r>
        <w:rPr>
          <w:rStyle w:val="FootnoteReference"/>
        </w:rPr>
        <w:footnoteRef/>
      </w:r>
      <w:r>
        <w:t xml:space="preserve"> </w:t>
      </w:r>
      <w:r>
        <w:rPr>
          <w:i/>
          <w:iCs/>
        </w:rPr>
        <w:t xml:space="preserve">Id. </w:t>
      </w:r>
      <w:r>
        <w:t xml:space="preserve">at 6 (citing </w:t>
      </w:r>
      <w:r w:rsidR="00DE001E">
        <w:t xml:space="preserve">NuclearNewswire, </w:t>
      </w:r>
      <w:r w:rsidRPr="00101068">
        <w:rPr>
          <w:i/>
          <w:iCs/>
        </w:rPr>
        <w:t>Oklo claims PJM improperly dropped its Virginia project</w:t>
      </w:r>
      <w:r w:rsidRPr="00101068">
        <w:t xml:space="preserve"> (Sep. 2, 2026), https://www.ans.org/news/article-8362/oklo-claims-pjm-improperly-dropped-its-virginia-project/ </w:t>
      </w:r>
      <w:r w:rsidRPr="006B1E7D">
        <w:t>(quoting Oklo spokesperson regarding the Complaint and the Oklo Project) (emphasis added)</w:t>
      </w:r>
      <w:r>
        <w:t>).</w:t>
      </w:r>
    </w:p>
  </w:footnote>
  <w:footnote w:id="84">
    <w:p w14:paraId="0C7B7159" w14:textId="77777777" w:rsidR="00527501" w:rsidRPr="00531E7D" w:rsidRDefault="00527501" w:rsidP="00527501">
      <w:pPr>
        <w:pStyle w:val="FootnoteText"/>
      </w:pPr>
      <w:r>
        <w:rPr>
          <w:rStyle w:val="FootnoteReference"/>
        </w:rPr>
        <w:footnoteRef/>
      </w:r>
      <w:r>
        <w:t xml:space="preserve"> </w:t>
      </w:r>
      <w:r>
        <w:rPr>
          <w:i/>
          <w:iCs/>
        </w:rPr>
        <w:t xml:space="preserve">Id. </w:t>
      </w:r>
      <w:r>
        <w:t>at 7.</w:t>
      </w:r>
    </w:p>
  </w:footnote>
  <w:footnote w:id="85">
    <w:p w14:paraId="76B81F16" w14:textId="77777777" w:rsidR="00527501" w:rsidRPr="001F72B1" w:rsidRDefault="00527501" w:rsidP="00527501">
      <w:pPr>
        <w:pStyle w:val="FootnoteText"/>
      </w:pPr>
      <w:r>
        <w:rPr>
          <w:rStyle w:val="FootnoteReference"/>
        </w:rPr>
        <w:footnoteRef/>
      </w:r>
      <w:r>
        <w:t xml:space="preserve"> </w:t>
      </w:r>
      <w:r>
        <w:rPr>
          <w:i/>
          <w:iCs/>
        </w:rPr>
        <w:t xml:space="preserve">Id. </w:t>
      </w:r>
      <w:r>
        <w:t>at 8.</w:t>
      </w:r>
    </w:p>
  </w:footnote>
  <w:footnote w:id="86">
    <w:p w14:paraId="108D7695" w14:textId="77777777" w:rsidR="00527501" w:rsidRPr="004F7A86" w:rsidRDefault="00527501" w:rsidP="00527501">
      <w:pPr>
        <w:pStyle w:val="FootnoteText"/>
      </w:pPr>
      <w:r>
        <w:rPr>
          <w:rStyle w:val="FootnoteReference"/>
        </w:rPr>
        <w:footnoteRef/>
      </w:r>
      <w:r>
        <w:t xml:space="preserve"> </w:t>
      </w:r>
      <w:r>
        <w:rPr>
          <w:i/>
          <w:iCs/>
        </w:rPr>
        <w:t xml:space="preserve">Id. </w:t>
      </w:r>
      <w:r>
        <w:t>at 8-9.</w:t>
      </w:r>
    </w:p>
  </w:footnote>
  <w:footnote w:id="87">
    <w:p w14:paraId="1E0AFD6F" w14:textId="77777777" w:rsidR="00527501" w:rsidRPr="002E79C1" w:rsidRDefault="00527501" w:rsidP="00527501">
      <w:pPr>
        <w:pStyle w:val="FootnoteText"/>
      </w:pPr>
      <w:r>
        <w:rPr>
          <w:rStyle w:val="FootnoteReference"/>
        </w:rPr>
        <w:footnoteRef/>
      </w:r>
      <w:r>
        <w:t xml:space="preserve"> </w:t>
      </w:r>
      <w:r>
        <w:rPr>
          <w:i/>
          <w:iCs/>
        </w:rPr>
        <w:t xml:space="preserve">Id. </w:t>
      </w:r>
      <w:r>
        <w:t>at 9-10 (citing Oklo Answer at 15).</w:t>
      </w:r>
    </w:p>
  </w:footnote>
  <w:footnote w:id="88">
    <w:p w14:paraId="26A953DB" w14:textId="77777777" w:rsidR="00527501" w:rsidRPr="002E79C1" w:rsidRDefault="00527501" w:rsidP="00527501">
      <w:pPr>
        <w:pStyle w:val="FootnoteText"/>
      </w:pPr>
      <w:r>
        <w:rPr>
          <w:rStyle w:val="FootnoteReference"/>
        </w:rPr>
        <w:footnoteRef/>
      </w:r>
      <w:r>
        <w:t xml:space="preserve"> </w:t>
      </w:r>
      <w:r>
        <w:rPr>
          <w:i/>
          <w:iCs/>
        </w:rPr>
        <w:t xml:space="preserve">Id. </w:t>
      </w:r>
      <w:r>
        <w:t>at 10.</w:t>
      </w:r>
    </w:p>
  </w:footnote>
  <w:footnote w:id="89">
    <w:p w14:paraId="2A082AFC" w14:textId="154D72AB" w:rsidR="005E09FC" w:rsidRDefault="005E09FC">
      <w:pPr>
        <w:pStyle w:val="FootnoteText"/>
      </w:pPr>
      <w:r>
        <w:rPr>
          <w:rStyle w:val="FootnoteReference"/>
        </w:rPr>
        <w:footnoteRef/>
      </w:r>
      <w:r>
        <w:t xml:space="preserve"> </w:t>
      </w:r>
      <w:r w:rsidR="00022105" w:rsidRPr="00022105">
        <w:t>16 U.S.C. §</w:t>
      </w:r>
      <w:r w:rsidR="009923C8">
        <w:t> </w:t>
      </w:r>
      <w:r w:rsidR="00022105" w:rsidRPr="00022105">
        <w:t xml:space="preserve">824e(b); </w:t>
      </w:r>
      <w:r w:rsidR="00022105" w:rsidRPr="007955A3">
        <w:rPr>
          <w:i/>
          <w:iCs/>
        </w:rPr>
        <w:t>see, e.g.</w:t>
      </w:r>
      <w:r w:rsidR="00022105" w:rsidRPr="00022105">
        <w:t xml:space="preserve">, </w:t>
      </w:r>
      <w:r w:rsidR="00022105" w:rsidRPr="007955A3">
        <w:rPr>
          <w:i/>
          <w:iCs/>
        </w:rPr>
        <w:t>FirstEnergy Serv. Co. v. FERC</w:t>
      </w:r>
      <w:r w:rsidR="00022105" w:rsidRPr="00022105">
        <w:t>, 758 F.3d 346, 353 (D.C. Cir. 2014).</w:t>
      </w:r>
    </w:p>
  </w:footnote>
  <w:footnote w:id="90">
    <w:p w14:paraId="29925BF4" w14:textId="11BF8AD5" w:rsidR="00392C99" w:rsidRDefault="00392C99">
      <w:pPr>
        <w:pStyle w:val="FootnoteText"/>
      </w:pPr>
      <w:r>
        <w:rPr>
          <w:rStyle w:val="FootnoteReference"/>
        </w:rPr>
        <w:footnoteRef/>
      </w:r>
      <w:r>
        <w:t xml:space="preserve"> </w:t>
      </w:r>
      <w:r w:rsidR="002E1DE8">
        <w:t>PJM, Intra-PJM</w:t>
      </w:r>
      <w:r>
        <w:t xml:space="preserve"> </w:t>
      </w:r>
      <w:r w:rsidR="005B1393">
        <w:t>T</w:t>
      </w:r>
      <w:r w:rsidR="005B1393" w:rsidRPr="00983BEF">
        <w:t>ariff</w:t>
      </w:r>
      <w:r w:rsidR="005B1393">
        <w:t>s</w:t>
      </w:r>
      <w:r w:rsidR="005B1393" w:rsidRPr="00983BEF">
        <w:t>, Part VIII.B, §</w:t>
      </w:r>
      <w:r w:rsidR="005B1393">
        <w:t> </w:t>
      </w:r>
      <w:r w:rsidR="005B1393" w:rsidRPr="00983BEF">
        <w:t>403 (Application Rules)</w:t>
      </w:r>
      <w:r w:rsidR="005B1393">
        <w:t>, § B</w:t>
      </w:r>
      <w:r w:rsidR="0034640E">
        <w:t>(1)</w:t>
      </w:r>
      <w:r w:rsidR="005B1393" w:rsidRPr="00983BEF">
        <w:t xml:space="preserve"> (0.10)</w:t>
      </w:r>
      <w:r w:rsidR="005B1393">
        <w:t>.</w:t>
      </w:r>
    </w:p>
  </w:footnote>
  <w:footnote w:id="91">
    <w:p w14:paraId="2AB43816" w14:textId="096E3F51" w:rsidR="009F4A65" w:rsidRDefault="009F4A65" w:rsidP="009F4A65">
      <w:pPr>
        <w:pStyle w:val="FootnoteText"/>
      </w:pPr>
      <w:r>
        <w:rPr>
          <w:rStyle w:val="FootnoteReference"/>
        </w:rPr>
        <w:footnoteRef/>
      </w:r>
      <w:r>
        <w:t xml:space="preserve"> </w:t>
      </w:r>
      <w:r w:rsidRPr="0076201D">
        <w:t>PJM, Intra-PJM Tariffs, Part VIII.</w:t>
      </w:r>
      <w:r>
        <w:t>A</w:t>
      </w:r>
      <w:r w:rsidRPr="0076201D">
        <w:t>, §</w:t>
      </w:r>
      <w:r>
        <w:t xml:space="preserve"> 400 (Definitions R)</w:t>
      </w:r>
      <w:r w:rsidR="00DE001E">
        <w:t xml:space="preserve"> (6.1.0)</w:t>
      </w:r>
      <w:r>
        <w:t>.</w:t>
      </w:r>
    </w:p>
  </w:footnote>
  <w:footnote w:id="92">
    <w:p w14:paraId="755C6B55" w14:textId="366368E7" w:rsidR="003D0E67" w:rsidRDefault="003D0E67" w:rsidP="003D0E67">
      <w:pPr>
        <w:pStyle w:val="FootnoteText"/>
      </w:pPr>
      <w:r>
        <w:rPr>
          <w:rStyle w:val="FootnoteReference"/>
        </w:rPr>
        <w:footnoteRef/>
      </w:r>
      <w:r>
        <w:t xml:space="preserve"> </w:t>
      </w:r>
      <w:r w:rsidRPr="0076201D">
        <w:t>PJM, Intra-PJM Tariffs, Part VIII.B, § 403</w:t>
      </w:r>
      <w:r w:rsidR="00DE001E">
        <w:t xml:space="preserve"> (Applications)</w:t>
      </w:r>
      <w:r w:rsidRPr="0076201D">
        <w:t>, § B.1</w:t>
      </w:r>
      <w:r>
        <w:t>(c)</w:t>
      </w:r>
      <w:r w:rsidR="00DE001E">
        <w:t xml:space="preserve"> (0.10)</w:t>
      </w:r>
      <w:r>
        <w:t xml:space="preserve"> (emphasis added).</w:t>
      </w:r>
    </w:p>
  </w:footnote>
  <w:footnote w:id="93">
    <w:p w14:paraId="1BE7181C" w14:textId="17DAA434" w:rsidR="00C5399C" w:rsidRPr="00871DEE" w:rsidRDefault="00C5399C">
      <w:pPr>
        <w:pStyle w:val="FootnoteText"/>
      </w:pPr>
      <w:r>
        <w:rPr>
          <w:rStyle w:val="FootnoteReference"/>
        </w:rPr>
        <w:footnoteRef/>
      </w:r>
      <w:r>
        <w:t xml:space="preserve"> </w:t>
      </w:r>
      <w:r w:rsidR="00B75804">
        <w:t>Complaint</w:t>
      </w:r>
      <w:r w:rsidR="00913BE5">
        <w:t>,</w:t>
      </w:r>
      <w:r w:rsidR="00B75804">
        <w:t xml:space="preserve"> </w:t>
      </w:r>
      <w:r w:rsidR="007041B0">
        <w:t>a</w:t>
      </w:r>
      <w:r w:rsidR="008528D4">
        <w:t>ttach</w:t>
      </w:r>
      <w:r w:rsidR="00913BE5">
        <w:t>.</w:t>
      </w:r>
      <w:r w:rsidR="008528D4">
        <w:t xml:space="preserve"> E</w:t>
      </w:r>
      <w:r w:rsidR="00913BE5">
        <w:t>.</w:t>
      </w:r>
      <w:r w:rsidR="008528D4">
        <w:t xml:space="preserve"> </w:t>
      </w:r>
      <w:r w:rsidR="00390C7D">
        <w:t xml:space="preserve"> </w:t>
      </w:r>
      <w:r w:rsidR="00E45218">
        <w:t xml:space="preserve">Establishing stability is </w:t>
      </w:r>
      <w:r w:rsidR="004802DE">
        <w:t>a critical element of interconnection</w:t>
      </w:r>
      <w:r w:rsidR="001D544F">
        <w:t xml:space="preserve">.  </w:t>
      </w:r>
      <w:r w:rsidR="000F1A96">
        <w:rPr>
          <w:i/>
          <w:iCs/>
        </w:rPr>
        <w:t>Cf.</w:t>
      </w:r>
      <w:r w:rsidR="00871DEE">
        <w:rPr>
          <w:i/>
          <w:iCs/>
        </w:rPr>
        <w:t xml:space="preserve"> </w:t>
      </w:r>
      <w:r w:rsidR="00652C14" w:rsidRPr="00652C14">
        <w:rPr>
          <w:i/>
          <w:iCs/>
        </w:rPr>
        <w:t>Del</w:t>
      </w:r>
      <w:r w:rsidR="00E17B7F">
        <w:rPr>
          <w:i/>
          <w:iCs/>
        </w:rPr>
        <w:t>.</w:t>
      </w:r>
      <w:r w:rsidR="00652C14" w:rsidRPr="00652C14">
        <w:rPr>
          <w:i/>
          <w:iCs/>
        </w:rPr>
        <w:t xml:space="preserve"> Pub. Serv. Comm</w:t>
      </w:r>
      <w:r w:rsidR="006B4280">
        <w:rPr>
          <w:i/>
          <w:iCs/>
        </w:rPr>
        <w:t>’</w:t>
      </w:r>
      <w:r w:rsidR="00652C14" w:rsidRPr="00652C14">
        <w:rPr>
          <w:i/>
          <w:iCs/>
        </w:rPr>
        <w:t>n</w:t>
      </w:r>
      <w:r w:rsidR="00652C14">
        <w:rPr>
          <w:i/>
          <w:iCs/>
        </w:rPr>
        <w:t xml:space="preserve"> v. PJM Interconnection, L.L.C.</w:t>
      </w:r>
      <w:r w:rsidR="00652C14" w:rsidRPr="007955A3">
        <w:t xml:space="preserve">, 166 FERC </w:t>
      </w:r>
      <w:r w:rsidR="00652C14">
        <w:t>¶</w:t>
      </w:r>
      <w:r w:rsidR="00FD4A33">
        <w:t> </w:t>
      </w:r>
      <w:r w:rsidR="00652C14" w:rsidRPr="007955A3">
        <w:t>61,161</w:t>
      </w:r>
      <w:r w:rsidR="00FD4A33">
        <w:t xml:space="preserve">, </w:t>
      </w:r>
      <w:r w:rsidR="00DC7789">
        <w:rPr>
          <w:i/>
          <w:iCs/>
        </w:rPr>
        <w:t xml:space="preserve">order </w:t>
      </w:r>
      <w:r w:rsidR="00FD4A33" w:rsidRPr="007955A3">
        <w:rPr>
          <w:i/>
          <w:iCs/>
        </w:rPr>
        <w:t>on reh’g</w:t>
      </w:r>
      <w:r w:rsidR="00FD4A33">
        <w:t>,</w:t>
      </w:r>
      <w:r w:rsidR="00B149AF">
        <w:t xml:space="preserve"> </w:t>
      </w:r>
      <w:r w:rsidR="00B149AF" w:rsidRPr="00B149AF">
        <w:t>169 FERC ¶ 61,234</w:t>
      </w:r>
      <w:r w:rsidR="00B149AF">
        <w:t xml:space="preserve">, </w:t>
      </w:r>
      <w:r w:rsidR="007814F8" w:rsidRPr="007955A3">
        <w:rPr>
          <w:i/>
          <w:iCs/>
        </w:rPr>
        <w:t>aff’d sub nom.</w:t>
      </w:r>
      <w:r w:rsidR="007814F8">
        <w:rPr>
          <w:i/>
          <w:iCs/>
        </w:rPr>
        <w:t xml:space="preserve">, </w:t>
      </w:r>
      <w:r w:rsidR="003D2476" w:rsidRPr="003D2476">
        <w:rPr>
          <w:i/>
          <w:iCs/>
        </w:rPr>
        <w:t>Del</w:t>
      </w:r>
      <w:r w:rsidR="00A651D1">
        <w:rPr>
          <w:i/>
          <w:iCs/>
        </w:rPr>
        <w:t>.</w:t>
      </w:r>
      <w:r w:rsidR="003D2476" w:rsidRPr="003D2476">
        <w:rPr>
          <w:i/>
          <w:iCs/>
        </w:rPr>
        <w:t xml:space="preserve"> Pub. Serv. Comm</w:t>
      </w:r>
      <w:r w:rsidR="009E6115">
        <w:rPr>
          <w:i/>
          <w:iCs/>
        </w:rPr>
        <w:t>’</w:t>
      </w:r>
      <w:r w:rsidR="003D2476" w:rsidRPr="003D2476">
        <w:rPr>
          <w:i/>
          <w:iCs/>
        </w:rPr>
        <w:t>n</w:t>
      </w:r>
      <w:r w:rsidR="003D2476" w:rsidRPr="007955A3">
        <w:t>, 169 FERC ¶ 61,234 (2019)</w:t>
      </w:r>
      <w:r w:rsidR="00855F76">
        <w:t xml:space="preserve"> (</w:t>
      </w:r>
      <w:r w:rsidR="007041B0">
        <w:t xml:space="preserve">noting that </w:t>
      </w:r>
      <w:r w:rsidR="00855F76">
        <w:t>when nuclear generators become unstable, they can crea</w:t>
      </w:r>
      <w:r w:rsidR="000F1A96">
        <w:t xml:space="preserve">te the need for extensive transmission upgrades). </w:t>
      </w:r>
    </w:p>
  </w:footnote>
  <w:footnote w:id="94">
    <w:p w14:paraId="6909C4C5" w14:textId="20FF0803" w:rsidR="00485538" w:rsidRPr="00480068" w:rsidRDefault="00485538" w:rsidP="00485538">
      <w:pPr>
        <w:pStyle w:val="FootnoteText"/>
      </w:pPr>
      <w:r>
        <w:rPr>
          <w:rStyle w:val="FootnoteReference"/>
        </w:rPr>
        <w:footnoteRef/>
      </w:r>
      <w:r>
        <w:t xml:space="preserve"> </w:t>
      </w:r>
      <w:r w:rsidR="00A6413B">
        <w:t xml:space="preserve">PJM </w:t>
      </w:r>
      <w:r w:rsidR="007041B0">
        <w:t xml:space="preserve">September 4 </w:t>
      </w:r>
      <w:r w:rsidR="00A6413B">
        <w:t>Answer at 2</w:t>
      </w:r>
      <w:r w:rsidR="000D01A1">
        <w:t>1</w:t>
      </w:r>
      <w:r w:rsidR="00C04CC4">
        <w:t>; PJM September 18 Answer at 5-6</w:t>
      </w:r>
      <w:r w:rsidR="000D01A1">
        <w:t>.</w:t>
      </w:r>
    </w:p>
  </w:footnote>
  <w:footnote w:id="95">
    <w:p w14:paraId="24A6C6AC" w14:textId="3C8E5862" w:rsidR="00A612DD" w:rsidRPr="00A612DD" w:rsidRDefault="00A612DD">
      <w:pPr>
        <w:pStyle w:val="FootnoteText"/>
      </w:pPr>
      <w:r>
        <w:rPr>
          <w:rStyle w:val="FootnoteReference"/>
        </w:rPr>
        <w:footnoteRef/>
      </w:r>
      <w:r>
        <w:t xml:space="preserve"> </w:t>
      </w:r>
      <w:r w:rsidR="00C04CC4">
        <w:t>PJM September 4 Answer</w:t>
      </w:r>
      <w:r>
        <w:rPr>
          <w:i/>
          <w:iCs/>
        </w:rPr>
        <w:t xml:space="preserve"> </w:t>
      </w:r>
      <w:r>
        <w:t>at 12</w:t>
      </w:r>
      <w:r w:rsidR="00C04CC4">
        <w:t>.</w:t>
      </w:r>
      <w:r>
        <w:t xml:space="preserve"> </w:t>
      </w:r>
    </w:p>
  </w:footnote>
  <w:footnote w:id="96">
    <w:p w14:paraId="4A8C656E" w14:textId="1FEFFFA1" w:rsidR="00A12564" w:rsidRDefault="00295216" w:rsidP="00A12564">
      <w:pPr>
        <w:pStyle w:val="FootnoteText"/>
      </w:pPr>
      <w:r>
        <w:rPr>
          <w:rStyle w:val="FootnoteReference"/>
        </w:rPr>
        <w:footnoteRef/>
      </w:r>
      <w:r>
        <w:t xml:space="preserve"> </w:t>
      </w:r>
      <w:r>
        <w:rPr>
          <w:i/>
          <w:iCs/>
        </w:rPr>
        <w:t xml:space="preserve">Id. </w:t>
      </w:r>
      <w:r>
        <w:t>at 16-17.</w:t>
      </w:r>
      <w:r w:rsidR="00A12564">
        <w:t xml:space="preserve">  Specifically, PJM notes that: </w:t>
      </w:r>
    </w:p>
    <w:p w14:paraId="7119B4B8" w14:textId="071C157D" w:rsidR="00295216" w:rsidRPr="00604CA3" w:rsidRDefault="00A12564" w:rsidP="00566A18">
      <w:pPr>
        <w:pStyle w:val="FootnoteText"/>
        <w:spacing w:after="240"/>
        <w:ind w:left="1440" w:right="1440" w:firstLine="0"/>
      </w:pPr>
      <w:r w:rsidRPr="00612A0C">
        <w:t xml:space="preserve">Oklo’s attempt to ‘cure’ the DSTATE errors in its initial model in response to PJM’s deficiency notice introduced additional problems with the revised model (i.e., Oklo’s deletion of the under-excitation and over-excitation limiter models/components for the synchronous units in its cure model may have caused unstable performance by the nuclear and gas generation project components when the model was tested at the project’s MFO) that did not occur with the original model.  </w:t>
      </w:r>
      <w:r w:rsidRPr="00612A0C">
        <w:rPr>
          <w:i/>
          <w:iCs/>
        </w:rPr>
        <w:t xml:space="preserve">Id. </w:t>
      </w:r>
      <w:r w:rsidRPr="00612A0C">
        <w:t>at 18.</w:t>
      </w:r>
    </w:p>
  </w:footnote>
  <w:footnote w:id="97">
    <w:p w14:paraId="30A7C828" w14:textId="31A2440F" w:rsidR="001B4AED" w:rsidRPr="001B4AED" w:rsidRDefault="001B4AED">
      <w:pPr>
        <w:pStyle w:val="FootnoteText"/>
      </w:pPr>
      <w:r>
        <w:rPr>
          <w:rStyle w:val="FootnoteReference"/>
        </w:rPr>
        <w:footnoteRef/>
      </w:r>
      <w:r>
        <w:t xml:space="preserve"> </w:t>
      </w:r>
      <w:r>
        <w:rPr>
          <w:i/>
          <w:iCs/>
        </w:rPr>
        <w:t xml:space="preserve">Id. </w:t>
      </w:r>
      <w:r>
        <w:t xml:space="preserve">at </w:t>
      </w:r>
      <w:r w:rsidR="00F36411">
        <w:t>18.</w:t>
      </w:r>
    </w:p>
  </w:footnote>
  <w:footnote w:id="98">
    <w:p w14:paraId="2ECF033C" w14:textId="487DD45A" w:rsidR="004709E2" w:rsidRDefault="004709E2">
      <w:pPr>
        <w:pStyle w:val="FootnoteText"/>
      </w:pPr>
      <w:r>
        <w:rPr>
          <w:rStyle w:val="FootnoteReference"/>
        </w:rPr>
        <w:footnoteRef/>
      </w:r>
      <w:r>
        <w:t xml:space="preserve"> </w:t>
      </w:r>
      <w:r w:rsidR="00D97035">
        <w:rPr>
          <w:i/>
          <w:iCs/>
        </w:rPr>
        <w:t>Id.</w:t>
      </w:r>
      <w:r>
        <w:t xml:space="preserve"> at </w:t>
      </w:r>
      <w:r w:rsidR="00754C72">
        <w:t xml:space="preserve">16, </w:t>
      </w:r>
      <w:r w:rsidR="00640647">
        <w:t>18</w:t>
      </w:r>
      <w:r w:rsidR="007E62D9">
        <w:t>-20</w:t>
      </w:r>
      <w:r>
        <w:t>.</w:t>
      </w:r>
    </w:p>
  </w:footnote>
  <w:footnote w:id="99">
    <w:p w14:paraId="2FB9C95F" w14:textId="189E07B9" w:rsidR="00C60AAD" w:rsidRDefault="00C60AAD">
      <w:pPr>
        <w:pStyle w:val="FootnoteText"/>
      </w:pPr>
      <w:r>
        <w:rPr>
          <w:rStyle w:val="FootnoteReference"/>
        </w:rPr>
        <w:footnoteRef/>
      </w:r>
      <w:r>
        <w:t xml:space="preserve"> </w:t>
      </w:r>
      <w:r w:rsidR="0079014E" w:rsidRPr="0079014E">
        <w:rPr>
          <w:i/>
          <w:iCs/>
        </w:rPr>
        <w:t>PJM Interconnection, L.L.C.</w:t>
      </w:r>
      <w:r w:rsidR="0079014E" w:rsidRPr="0079014E">
        <w:t xml:space="preserve">, 195 FERC ¶ 61,024, at P 71 (2026); </w:t>
      </w:r>
      <w:r w:rsidR="0079014E" w:rsidRPr="0079014E">
        <w:rPr>
          <w:i/>
          <w:iCs/>
        </w:rPr>
        <w:t>RWE Clean Energy, LLC v. PJM Interconnection, L.L.C.</w:t>
      </w:r>
      <w:r w:rsidR="0079014E" w:rsidRPr="0079014E">
        <w:t>, 194 FERC ¶ 61,212, at P 42 (2026).</w:t>
      </w:r>
      <w:r w:rsidR="000B631C">
        <w:t xml:space="preserve">  </w:t>
      </w:r>
      <w:r w:rsidR="000B631C" w:rsidRPr="000B631C">
        <w:t>While Oklo claims that it satisfied PJM’s initial deficiency, it does not provide</w:t>
      </w:r>
      <w:r w:rsidR="000B631C">
        <w:t xml:space="preserve"> evidence that its response cured those deficiencies and PJM’s </w:t>
      </w:r>
      <w:r w:rsidR="005F0E5B">
        <w:t xml:space="preserve">answer </w:t>
      </w:r>
      <w:r w:rsidR="007C5843">
        <w:t xml:space="preserve">provides </w:t>
      </w:r>
      <w:r w:rsidR="00095C63">
        <w:t xml:space="preserve">evidence that it did not. </w:t>
      </w:r>
    </w:p>
  </w:footnote>
  <w:footnote w:id="100">
    <w:p w14:paraId="0E9E3C73" w14:textId="746C92E2" w:rsidR="006A37D6" w:rsidRPr="00632FEE" w:rsidRDefault="006A37D6">
      <w:pPr>
        <w:pStyle w:val="FootnoteText"/>
        <w:rPr>
          <w:i/>
        </w:rPr>
      </w:pPr>
      <w:r>
        <w:rPr>
          <w:rStyle w:val="FootnoteReference"/>
        </w:rPr>
        <w:footnoteRef/>
      </w:r>
      <w:r>
        <w:t xml:space="preserve"> </w:t>
      </w:r>
      <w:r w:rsidR="001569B7">
        <w:t xml:space="preserve">PJM </w:t>
      </w:r>
      <w:r w:rsidR="000E6655" w:rsidRPr="000E6655">
        <w:t>notes</w:t>
      </w:r>
      <w:r w:rsidR="001569B7">
        <w:t xml:space="preserve"> that </w:t>
      </w:r>
      <w:r w:rsidR="000E6655" w:rsidRPr="000E6655">
        <w:t>“the 5 cycle -</w:t>
      </w:r>
      <w:r w:rsidR="001569B7">
        <w:t xml:space="preserve"> three-phase fault test is a standardized stress test to verify that any model accurately predicts how the facility responds to a major disturbance and whether that facility can recover without disconnecting or becoming unstable</w:t>
      </w:r>
      <w:r w:rsidR="000E6655" w:rsidRPr="000E6655">
        <w:t>,” and to</w:t>
      </w:r>
      <w:r w:rsidR="00D0135A" w:rsidRPr="00D0135A">
        <w:t xml:space="preserve"> pass </w:t>
      </w:r>
      <w:r w:rsidR="000E6655" w:rsidRPr="000E6655">
        <w:t xml:space="preserve">that </w:t>
      </w:r>
      <w:r w:rsidR="00D0135A" w:rsidRPr="00D0135A">
        <w:t xml:space="preserve">test, </w:t>
      </w:r>
      <w:r w:rsidR="000E6655" w:rsidRPr="000E6655">
        <w:t>“</w:t>
      </w:r>
      <w:r w:rsidR="00D0135A" w:rsidRPr="00D0135A">
        <w:t>the model must return to its normal power output smoothly without causing</w:t>
      </w:r>
      <w:r w:rsidR="00890B24">
        <w:t xml:space="preserve"> </w:t>
      </w:r>
      <w:r w:rsidR="00D0135A" w:rsidRPr="00D0135A">
        <w:t>unstable oscillations or crashing.</w:t>
      </w:r>
      <w:r w:rsidR="00890B24">
        <w:t xml:space="preserve">” </w:t>
      </w:r>
      <w:r w:rsidR="00491F23">
        <w:t xml:space="preserve"> </w:t>
      </w:r>
      <w:r w:rsidR="00491F23" w:rsidRPr="00A001EC">
        <w:t xml:space="preserve">PJM </w:t>
      </w:r>
      <w:r w:rsidR="00374DD0" w:rsidRPr="00566A18">
        <w:t xml:space="preserve">September 4 </w:t>
      </w:r>
      <w:r w:rsidR="00491F23" w:rsidRPr="00A001EC">
        <w:t>Answer</w:t>
      </w:r>
      <w:r w:rsidR="00491F23">
        <w:t xml:space="preserve"> at 18</w:t>
      </w:r>
      <w:r w:rsidR="00B549ED">
        <w:t xml:space="preserve"> &amp; n.</w:t>
      </w:r>
      <w:r w:rsidR="00787D3A">
        <w:t>45.</w:t>
      </w:r>
    </w:p>
  </w:footnote>
  <w:footnote w:id="101">
    <w:p w14:paraId="29AC063C" w14:textId="71E37A1C" w:rsidR="00F114A9" w:rsidRDefault="00F114A9">
      <w:pPr>
        <w:pStyle w:val="FootnoteText"/>
      </w:pPr>
      <w:r>
        <w:rPr>
          <w:rStyle w:val="FootnoteReference"/>
        </w:rPr>
        <w:footnoteRef/>
      </w:r>
      <w:r>
        <w:t xml:space="preserve"> </w:t>
      </w:r>
      <w:r w:rsidR="007D386E" w:rsidRPr="007D386E">
        <w:t>PJM September 18 Answer at 5.</w:t>
      </w:r>
    </w:p>
  </w:footnote>
  <w:footnote w:id="102">
    <w:p w14:paraId="35AA2457" w14:textId="07F01290" w:rsidR="005D6002" w:rsidRDefault="005D6002">
      <w:pPr>
        <w:pStyle w:val="FootnoteText"/>
      </w:pPr>
      <w:r>
        <w:rPr>
          <w:rStyle w:val="FootnoteReference"/>
        </w:rPr>
        <w:footnoteRef/>
      </w:r>
      <w:r>
        <w:t xml:space="preserve"> </w:t>
      </w:r>
      <w:r w:rsidR="006D5945">
        <w:t xml:space="preserve">PJM </w:t>
      </w:r>
      <w:r w:rsidR="005200CA" w:rsidRPr="005200CA">
        <w:t xml:space="preserve">September 4 </w:t>
      </w:r>
      <w:r w:rsidR="006D5945">
        <w:t>An</w:t>
      </w:r>
      <w:r w:rsidR="0089249E">
        <w:t>s</w:t>
      </w:r>
      <w:r w:rsidR="006D5945">
        <w:t>wer</w:t>
      </w:r>
      <w:r w:rsidR="00A9554A">
        <w:t xml:space="preserve"> </w:t>
      </w:r>
      <w:r w:rsidR="00FD3740" w:rsidRPr="00FD3740">
        <w:t>at 21 n.84</w:t>
      </w:r>
      <w:r w:rsidR="00FD3740">
        <w:t xml:space="preserve"> (referencing </w:t>
      </w:r>
      <w:r w:rsidR="00362E5F">
        <w:t>Graph 2</w:t>
      </w:r>
      <w:r w:rsidR="00476085">
        <w:t>).</w:t>
      </w:r>
    </w:p>
  </w:footnote>
  <w:footnote w:id="103">
    <w:p w14:paraId="10FF1550" w14:textId="4770C485" w:rsidR="003A5FF0" w:rsidRDefault="003A5FF0">
      <w:pPr>
        <w:pStyle w:val="FootnoteText"/>
      </w:pPr>
      <w:r>
        <w:rPr>
          <w:rStyle w:val="FootnoteReference"/>
        </w:rPr>
        <w:footnoteRef/>
      </w:r>
      <w:r>
        <w:t xml:space="preserve"> </w:t>
      </w:r>
      <w:r w:rsidR="00736193" w:rsidRPr="00736193">
        <w:t>The May 15 Deficiency Notice then indicated that this information was provided to assist the applicant if they sought to reapply:  “All identified deficiencies contained in your Application have been documented in NextGen and will remain available for your review.  PJM has provided this access to assist applicants who may wish to continue developing their projects, address outstanding deficiencies, and reapply in a future submission.”  Complaint, attach. J.</w:t>
      </w:r>
    </w:p>
  </w:footnote>
  <w:footnote w:id="104">
    <w:p w14:paraId="1AAC592A" w14:textId="689A4E31" w:rsidR="00053329" w:rsidRPr="00053329" w:rsidRDefault="00053329" w:rsidP="0027626B">
      <w:pPr>
        <w:pStyle w:val="FootnoteText"/>
        <w:widowControl/>
      </w:pPr>
      <w:r>
        <w:rPr>
          <w:rStyle w:val="FootnoteReference"/>
        </w:rPr>
        <w:footnoteRef/>
      </w:r>
      <w:r>
        <w:t xml:space="preserve"> </w:t>
      </w:r>
      <w:r w:rsidR="00D412DA">
        <w:t xml:space="preserve">PJM </w:t>
      </w:r>
      <w:r w:rsidR="009E68DE">
        <w:t xml:space="preserve">September 4 </w:t>
      </w:r>
      <w:r w:rsidR="00D412DA">
        <w:t>Answer</w:t>
      </w:r>
      <w:r w:rsidRPr="009923C8">
        <w:t xml:space="preserve"> </w:t>
      </w:r>
      <w:r>
        <w:t xml:space="preserve">at </w:t>
      </w:r>
      <w:r w:rsidR="00CD07E7">
        <w:t>18-</w:t>
      </w:r>
      <w:r>
        <w:t>19</w:t>
      </w:r>
      <w:r w:rsidR="00CD07E7">
        <w:t>; PJM September 18 Answer at 3</w:t>
      </w:r>
      <w:r>
        <w:t>.</w:t>
      </w:r>
    </w:p>
  </w:footnote>
  <w:footnote w:id="105">
    <w:p w14:paraId="6605EFE8" w14:textId="2A7A9DB9" w:rsidR="00215C4A" w:rsidRPr="00215C4A" w:rsidRDefault="00AB248C" w:rsidP="00215C4A">
      <w:pPr>
        <w:pStyle w:val="FootnoteText"/>
      </w:pPr>
      <w:r>
        <w:rPr>
          <w:rStyle w:val="FootnoteReference"/>
        </w:rPr>
        <w:footnoteRef/>
      </w:r>
      <w:r>
        <w:t xml:space="preserve"> </w:t>
      </w:r>
      <w:r w:rsidR="00357EE4" w:rsidRPr="00357EE4">
        <w:rPr>
          <w:i/>
          <w:iCs/>
        </w:rPr>
        <w:t>PJM Interconnection, L.L.C.</w:t>
      </w:r>
      <w:r w:rsidR="00357EE4" w:rsidRPr="00357EE4">
        <w:t xml:space="preserve">, 195 FERC </w:t>
      </w:r>
      <w:r w:rsidR="00357EE4">
        <w:t>¶ </w:t>
      </w:r>
      <w:r w:rsidR="00357EE4" w:rsidRPr="00357EE4">
        <w:t>61,197 (2026)</w:t>
      </w:r>
      <w:r w:rsidR="00357EE4">
        <w:t>.</w:t>
      </w:r>
      <w:r w:rsidR="00215C4A" w:rsidRPr="00215C4A">
        <w:t xml:space="preserve"> </w:t>
      </w:r>
      <w:r w:rsidR="004C2401">
        <w:t xml:space="preserve"> </w:t>
      </w:r>
      <w:r w:rsidR="00215C4A">
        <w:t xml:space="preserve">While Oklo represents that the EIT is not a viable alternative, it provides no further explanation other than to note “numerous additional requirements” that it cannot meet. </w:t>
      </w:r>
      <w:r w:rsidR="00727A37">
        <w:t xml:space="preserve"> </w:t>
      </w:r>
      <w:r w:rsidR="00215C4A">
        <w:rPr>
          <w:i/>
          <w:iCs/>
        </w:rPr>
        <w:t xml:space="preserve">See supra </w:t>
      </w:r>
      <w:r w:rsidR="00215C4A">
        <w:t xml:space="preserve">P </w:t>
      </w:r>
      <w:r w:rsidR="00215C4A" w:rsidRPr="004C2401">
        <w:t>31</w:t>
      </w:r>
      <w:r w:rsidR="00215C4A">
        <w:t xml:space="preserve">.  As the Commission explained in approving the EIT, the eligibility requirements </w:t>
      </w:r>
      <w:r w:rsidR="00FA1CE7">
        <w:t xml:space="preserve">of the program </w:t>
      </w:r>
      <w:r w:rsidR="00215C4A">
        <w:t>“appropriately limit EIT to capacity resources that are more likely to timely contribute to meeting the region’s needs”</w:t>
      </w:r>
      <w:r w:rsidR="0007340F">
        <w:t xml:space="preserve"> and “</w:t>
      </w:r>
      <w:r w:rsidR="000945E8">
        <w:t xml:space="preserve"> . . . </w:t>
      </w:r>
      <w:r w:rsidR="0035644F" w:rsidRPr="0035644F">
        <w:t>should deter speculative interconnection requests from entering the EIT process</w:t>
      </w:r>
      <w:r w:rsidR="0035644F">
        <w:t>.”</w:t>
      </w:r>
      <w:r w:rsidR="000D7959">
        <w:t xml:space="preserve">  </w:t>
      </w:r>
      <w:r w:rsidR="00495254" w:rsidRPr="002C3A58">
        <w:rPr>
          <w:i/>
          <w:iCs/>
        </w:rPr>
        <w:t>Id.</w:t>
      </w:r>
      <w:r w:rsidR="00495254">
        <w:t xml:space="preserve"> PP 22, 70.</w:t>
      </w:r>
      <w:r w:rsidR="0027626B">
        <w:t xml:space="preserve">  </w:t>
      </w:r>
      <w:r w:rsidR="000D7959">
        <w:t>EIT projec</w:t>
      </w:r>
      <w:r w:rsidR="00495254">
        <w:t>t readiness requirements include, a commitment to fund Network Upgrades, demonstration of 100% site control, a $500,000 study deposit, and a $15,000 per MW deposit.</w:t>
      </w:r>
      <w:r w:rsidR="00215C4A">
        <w:t xml:space="preserve"> </w:t>
      </w:r>
      <w:r w:rsidR="00271C94">
        <w:t xml:space="preserve"> </w:t>
      </w:r>
      <w:r w:rsidR="00495254">
        <w:rPr>
          <w:i/>
          <w:iCs/>
        </w:rPr>
        <w:t xml:space="preserve">Id. </w:t>
      </w:r>
      <w:r w:rsidR="00495254" w:rsidRPr="00C8330B">
        <w:t>P 60.</w:t>
      </w:r>
      <w:r w:rsidR="00215C4A" w:rsidRPr="007E3ACA">
        <w:t xml:space="preserve"> </w:t>
      </w:r>
      <w:r w:rsidR="00215C4A" w:rsidRPr="00EA660D">
        <w:t xml:space="preserve"> </w:t>
      </w:r>
    </w:p>
    <w:p w14:paraId="3054B96A" w14:textId="0CD17A57" w:rsidR="00AB248C" w:rsidRDefault="00AB248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D9BB" w14:textId="09D62205" w:rsidR="00653D8D" w:rsidRDefault="004A5408"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76E3D7C7" wp14:editId="01937843">
              <wp:simplePos x="635" y="635"/>
              <wp:positionH relativeFrom="page">
                <wp:align>center</wp:align>
              </wp:positionH>
              <wp:positionV relativeFrom="page">
                <wp:align>top</wp:align>
              </wp:positionV>
              <wp:extent cx="284480" cy="380365"/>
              <wp:effectExtent l="0" t="0" r="1270" b="635"/>
              <wp:wrapNone/>
              <wp:docPr id="1113842913"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27957232" w14:textId="2B4AB15F" w:rsidR="004A5408" w:rsidRPr="004A5408" w:rsidRDefault="004A5408" w:rsidP="004A5408">
                          <w:pPr>
                            <w:rPr>
                              <w:rFonts w:eastAsia="Times New Roman"/>
                              <w:noProof/>
                              <w:color w:val="FF0000"/>
                              <w:szCs w:val="26"/>
                            </w:rPr>
                          </w:pPr>
                          <w:r w:rsidRPr="004A5408">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E3D7C7"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27957232" w14:textId="2B4AB15F" w:rsidR="004A5408" w:rsidRPr="004A5408" w:rsidRDefault="004A5408" w:rsidP="004A5408">
                    <w:pPr>
                      <w:rPr>
                        <w:rFonts w:eastAsia="Times New Roman"/>
                        <w:noProof/>
                        <w:color w:val="FF0000"/>
                        <w:szCs w:val="26"/>
                      </w:rPr>
                    </w:pPr>
                    <w:r w:rsidRPr="004A5408">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59449C7F"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A5C2" w14:textId="74EF9AD7" w:rsidR="00653D8D" w:rsidRDefault="004A5408" w:rsidP="004A5408">
    <w:pPr>
      <w:pStyle w:val="Header"/>
      <w:tabs>
        <w:tab w:val="clear" w:pos="4680"/>
      </w:tabs>
      <w:spacing w:after="240"/>
    </w:pPr>
    <w:r>
      <w:rPr>
        <w:noProof/>
      </w:rPr>
      <mc:AlternateContent>
        <mc:Choice Requires="wps">
          <w:drawing>
            <wp:anchor distT="0" distB="0" distL="0" distR="0" simplePos="0" relativeHeight="251658242" behindDoc="0" locked="0" layoutInCell="1" allowOverlap="1" wp14:anchorId="27142148" wp14:editId="2217EFB7">
              <wp:simplePos x="635" y="635"/>
              <wp:positionH relativeFrom="page">
                <wp:align>center</wp:align>
              </wp:positionH>
              <wp:positionV relativeFrom="page">
                <wp:align>top</wp:align>
              </wp:positionV>
              <wp:extent cx="284480" cy="380365"/>
              <wp:effectExtent l="0" t="0" r="1270" b="635"/>
              <wp:wrapNone/>
              <wp:docPr id="1843786175"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45BAA58C" w14:textId="07A2069C" w:rsidR="004A5408" w:rsidRPr="004A5408" w:rsidRDefault="004A5408" w:rsidP="004A5408">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142148" id="_x0000_t202" coordsize="21600,21600" o:spt="202" path="m,l,21600r21600,l21600,xe">
              <v:stroke joinstyle="miter"/>
              <v:path gradientshapeok="t" o:connecttype="rect"/>
            </v:shapetype>
            <v:shape id="Text Box 3" o:spid="_x0000_s1027" type="#_x0000_t202" alt="CUI" style="position:absolute;margin-left:0;margin-top:0;width:22.4pt;height:29.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" filled="f" stroked="f">
              <v:textbox style="mso-fit-shape-to-text:t" inset="0,15pt,0,0">
                <w:txbxContent>
                  <w:p w14:paraId="45BAA58C" w14:textId="07A2069C" w:rsidR="004A5408" w:rsidRPr="004A5408" w:rsidRDefault="004A5408" w:rsidP="004A5408">
                    <w:pPr>
                      <w:rPr>
                        <w:rFonts w:eastAsia="Times New Roman"/>
                        <w:noProof/>
                        <w:color w:val="FF0000"/>
                        <w:szCs w:val="26"/>
                      </w:rPr>
                    </w:pPr>
                  </w:p>
                </w:txbxContent>
              </v:textbox>
              <w10:wrap anchorx="page" anchory="page"/>
            </v:shape>
          </w:pict>
        </mc:Fallback>
      </mc:AlternateContent>
    </w:r>
    <w:r>
      <w:t>Docket No. EL26-101-000</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FACB" w14:textId="6D3C6624" w:rsidR="00653D8D" w:rsidRDefault="004A5408" w:rsidP="00EC3F55">
    <w:pPr>
      <w:pStyle w:val="Header"/>
      <w:tabs>
        <w:tab w:val="clear" w:pos="4680"/>
      </w:tabs>
    </w:pPr>
    <w:r>
      <w:rPr>
        <w:noProof/>
      </w:rPr>
      <mc:AlternateContent>
        <mc:Choice Requires="wps">
          <w:drawing>
            <wp:anchor distT="0" distB="0" distL="0" distR="0" simplePos="0" relativeHeight="251658240" behindDoc="0" locked="0" layoutInCell="1" allowOverlap="1" wp14:anchorId="412753D0" wp14:editId="469CB143">
              <wp:simplePos x="914400" y="457200"/>
              <wp:positionH relativeFrom="page">
                <wp:align>center</wp:align>
              </wp:positionH>
              <wp:positionV relativeFrom="page">
                <wp:align>top</wp:align>
              </wp:positionV>
              <wp:extent cx="284480" cy="380365"/>
              <wp:effectExtent l="0" t="0" r="1270" b="635"/>
              <wp:wrapNone/>
              <wp:docPr id="1027325660"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76D90BC" w14:textId="20B295BB" w:rsidR="004A5408" w:rsidRPr="004A5408" w:rsidRDefault="004A5408" w:rsidP="004A5408">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2753D0" id="_x0000_t202" coordsize="21600,21600" o:spt="202" path="m,l,21600r21600,l21600,xe">
              <v:stroke joinstyle="miter"/>
              <v:path gradientshapeok="t" o:connecttype="rect"/>
            </v:shapetype>
            <v:shape id="Text Box 1" o:spid="_x0000_s1028" type="#_x0000_t202" alt="CUI" style="position:absolute;margin-left:0;margin-top:0;width:22.4pt;height:29.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" filled="f" stroked="f">
              <v:textbox style="mso-fit-shape-to-text:t" inset="0,15pt,0,0">
                <w:txbxContent>
                  <w:p w14:paraId="576D90BC" w14:textId="20B295BB" w:rsidR="004A5408" w:rsidRPr="004A5408" w:rsidRDefault="004A5408" w:rsidP="004A5408">
                    <w:pPr>
                      <w:rPr>
                        <w:rFonts w:eastAsia="Times New Roman"/>
                        <w:noProof/>
                        <w:color w:val="FF0000"/>
                        <w:szCs w:val="2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7DDA983E"/>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CBA4F348"/>
    <w:lvl w:ilvl="0" w:tplc="A886A3F8">
      <w:start w:val="1"/>
      <w:numFmt w:val="decimal"/>
      <w:pStyle w:val="FERCparanumber"/>
      <w:lvlText w:val="%1."/>
      <w:lvlJc w:val="left"/>
      <w:pPr>
        <w:tabs>
          <w:tab w:val="num" w:pos="720"/>
        </w:tabs>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20823096">
    <w:abstractNumId w:val="9"/>
  </w:num>
  <w:num w:numId="2" w16cid:durableId="862936631">
    <w:abstractNumId w:val="7"/>
  </w:num>
  <w:num w:numId="3" w16cid:durableId="1988899118">
    <w:abstractNumId w:val="6"/>
  </w:num>
  <w:num w:numId="4" w16cid:durableId="1058625747">
    <w:abstractNumId w:val="5"/>
  </w:num>
  <w:num w:numId="5" w16cid:durableId="582376747">
    <w:abstractNumId w:val="4"/>
  </w:num>
  <w:num w:numId="6" w16cid:durableId="475873288">
    <w:abstractNumId w:val="8"/>
  </w:num>
  <w:num w:numId="7" w16cid:durableId="1962608499">
    <w:abstractNumId w:val="3"/>
  </w:num>
  <w:num w:numId="8" w16cid:durableId="1107043604">
    <w:abstractNumId w:val="2"/>
  </w:num>
  <w:num w:numId="9" w16cid:durableId="1228223922">
    <w:abstractNumId w:val="1"/>
  </w:num>
  <w:num w:numId="10" w16cid:durableId="2021424444">
    <w:abstractNumId w:val="0"/>
  </w:num>
  <w:num w:numId="11" w16cid:durableId="1259682091">
    <w:abstractNumId w:val="20"/>
  </w:num>
  <w:num w:numId="12" w16cid:durableId="382752241">
    <w:abstractNumId w:val="18"/>
  </w:num>
  <w:num w:numId="13" w16cid:durableId="1729918423">
    <w:abstractNumId w:val="13"/>
  </w:num>
  <w:num w:numId="14" w16cid:durableId="387262925">
    <w:abstractNumId w:val="19"/>
  </w:num>
  <w:num w:numId="15" w16cid:durableId="1922449730">
    <w:abstractNumId w:val="17"/>
  </w:num>
  <w:num w:numId="16" w16cid:durableId="16797733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6668298">
    <w:abstractNumId w:val="11"/>
  </w:num>
  <w:num w:numId="18" w16cid:durableId="1081753375">
    <w:abstractNumId w:val="10"/>
  </w:num>
  <w:num w:numId="19" w16cid:durableId="42171682">
    <w:abstractNumId w:val="14"/>
  </w:num>
  <w:num w:numId="20" w16cid:durableId="630399256">
    <w:abstractNumId w:val="12"/>
  </w:num>
  <w:num w:numId="21" w16cid:durableId="788276974">
    <w:abstractNumId w:val="21"/>
  </w:num>
  <w:num w:numId="22" w16cid:durableId="1186165593">
    <w:abstractNumId w:val="15"/>
  </w:num>
  <w:num w:numId="23" w16cid:durableId="4520224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08"/>
    <w:rsid w:val="0000159E"/>
    <w:rsid w:val="00001883"/>
    <w:rsid w:val="00001962"/>
    <w:rsid w:val="00001A78"/>
    <w:rsid w:val="00001ED3"/>
    <w:rsid w:val="00002302"/>
    <w:rsid w:val="00002511"/>
    <w:rsid w:val="00003340"/>
    <w:rsid w:val="00003489"/>
    <w:rsid w:val="0000397F"/>
    <w:rsid w:val="00004B41"/>
    <w:rsid w:val="00005594"/>
    <w:rsid w:val="0000667D"/>
    <w:rsid w:val="00007081"/>
    <w:rsid w:val="0000731D"/>
    <w:rsid w:val="000074A5"/>
    <w:rsid w:val="000077D4"/>
    <w:rsid w:val="00010238"/>
    <w:rsid w:val="00010246"/>
    <w:rsid w:val="000109A4"/>
    <w:rsid w:val="00010CFC"/>
    <w:rsid w:val="00010FA6"/>
    <w:rsid w:val="0001157E"/>
    <w:rsid w:val="000118C8"/>
    <w:rsid w:val="00011DD0"/>
    <w:rsid w:val="00011EF3"/>
    <w:rsid w:val="0001253E"/>
    <w:rsid w:val="00012A4E"/>
    <w:rsid w:val="000143AA"/>
    <w:rsid w:val="00015BCB"/>
    <w:rsid w:val="00016250"/>
    <w:rsid w:val="000164A7"/>
    <w:rsid w:val="00016B46"/>
    <w:rsid w:val="00016B75"/>
    <w:rsid w:val="0001787A"/>
    <w:rsid w:val="00020156"/>
    <w:rsid w:val="0002023D"/>
    <w:rsid w:val="000202A9"/>
    <w:rsid w:val="0002042F"/>
    <w:rsid w:val="000206F5"/>
    <w:rsid w:val="00021047"/>
    <w:rsid w:val="00021204"/>
    <w:rsid w:val="00021587"/>
    <w:rsid w:val="00022105"/>
    <w:rsid w:val="00022434"/>
    <w:rsid w:val="0002257F"/>
    <w:rsid w:val="000229E6"/>
    <w:rsid w:val="00022A33"/>
    <w:rsid w:val="000234A7"/>
    <w:rsid w:val="00023528"/>
    <w:rsid w:val="0002355F"/>
    <w:rsid w:val="0002358E"/>
    <w:rsid w:val="00024444"/>
    <w:rsid w:val="0002515A"/>
    <w:rsid w:val="00025C28"/>
    <w:rsid w:val="00025E47"/>
    <w:rsid w:val="00026516"/>
    <w:rsid w:val="000265E5"/>
    <w:rsid w:val="00026636"/>
    <w:rsid w:val="00026815"/>
    <w:rsid w:val="00027127"/>
    <w:rsid w:val="00027B22"/>
    <w:rsid w:val="0003024D"/>
    <w:rsid w:val="00030827"/>
    <w:rsid w:val="00030A0C"/>
    <w:rsid w:val="00031791"/>
    <w:rsid w:val="0003194D"/>
    <w:rsid w:val="00032348"/>
    <w:rsid w:val="000325B9"/>
    <w:rsid w:val="0003382F"/>
    <w:rsid w:val="0003394F"/>
    <w:rsid w:val="00033C3C"/>
    <w:rsid w:val="00034009"/>
    <w:rsid w:val="000342C0"/>
    <w:rsid w:val="000357A7"/>
    <w:rsid w:val="00035E92"/>
    <w:rsid w:val="00036456"/>
    <w:rsid w:val="00036E16"/>
    <w:rsid w:val="00037510"/>
    <w:rsid w:val="00037ADB"/>
    <w:rsid w:val="00037BCC"/>
    <w:rsid w:val="00037CD6"/>
    <w:rsid w:val="0004158F"/>
    <w:rsid w:val="00042357"/>
    <w:rsid w:val="00042361"/>
    <w:rsid w:val="000423BF"/>
    <w:rsid w:val="000428C4"/>
    <w:rsid w:val="000432ED"/>
    <w:rsid w:val="000443BB"/>
    <w:rsid w:val="00044440"/>
    <w:rsid w:val="00044499"/>
    <w:rsid w:val="000446B5"/>
    <w:rsid w:val="00044A14"/>
    <w:rsid w:val="00044A9B"/>
    <w:rsid w:val="00044CD1"/>
    <w:rsid w:val="00045074"/>
    <w:rsid w:val="00045331"/>
    <w:rsid w:val="000458FF"/>
    <w:rsid w:val="00045E13"/>
    <w:rsid w:val="00045E71"/>
    <w:rsid w:val="0004624A"/>
    <w:rsid w:val="00046B91"/>
    <w:rsid w:val="00047156"/>
    <w:rsid w:val="00047F61"/>
    <w:rsid w:val="00050868"/>
    <w:rsid w:val="0005086B"/>
    <w:rsid w:val="00050C3C"/>
    <w:rsid w:val="0005135D"/>
    <w:rsid w:val="000514D9"/>
    <w:rsid w:val="00051E7B"/>
    <w:rsid w:val="0005251C"/>
    <w:rsid w:val="00053073"/>
    <w:rsid w:val="00053329"/>
    <w:rsid w:val="00053A20"/>
    <w:rsid w:val="00053AA1"/>
    <w:rsid w:val="00053C8F"/>
    <w:rsid w:val="000542C3"/>
    <w:rsid w:val="00054F89"/>
    <w:rsid w:val="000550DC"/>
    <w:rsid w:val="00055452"/>
    <w:rsid w:val="00055F5F"/>
    <w:rsid w:val="000565F8"/>
    <w:rsid w:val="00056931"/>
    <w:rsid w:val="00056DED"/>
    <w:rsid w:val="00056F67"/>
    <w:rsid w:val="000573D6"/>
    <w:rsid w:val="0005772F"/>
    <w:rsid w:val="000579A7"/>
    <w:rsid w:val="0006000D"/>
    <w:rsid w:val="00060588"/>
    <w:rsid w:val="000609B8"/>
    <w:rsid w:val="00060A06"/>
    <w:rsid w:val="00060CD3"/>
    <w:rsid w:val="0006117F"/>
    <w:rsid w:val="0006118B"/>
    <w:rsid w:val="00061ED7"/>
    <w:rsid w:val="00062732"/>
    <w:rsid w:val="00062F0F"/>
    <w:rsid w:val="00063593"/>
    <w:rsid w:val="00063601"/>
    <w:rsid w:val="00063B9E"/>
    <w:rsid w:val="00064658"/>
    <w:rsid w:val="000646F0"/>
    <w:rsid w:val="00064912"/>
    <w:rsid w:val="00066C13"/>
    <w:rsid w:val="00067B57"/>
    <w:rsid w:val="000703C3"/>
    <w:rsid w:val="00070857"/>
    <w:rsid w:val="00070B40"/>
    <w:rsid w:val="0007190D"/>
    <w:rsid w:val="0007257D"/>
    <w:rsid w:val="0007328A"/>
    <w:rsid w:val="000733FC"/>
    <w:rsid w:val="0007340F"/>
    <w:rsid w:val="0007377C"/>
    <w:rsid w:val="000738C9"/>
    <w:rsid w:val="00073B31"/>
    <w:rsid w:val="0007478D"/>
    <w:rsid w:val="000757E9"/>
    <w:rsid w:val="000758AA"/>
    <w:rsid w:val="000758DD"/>
    <w:rsid w:val="0007636C"/>
    <w:rsid w:val="000767CC"/>
    <w:rsid w:val="00077029"/>
    <w:rsid w:val="00077B15"/>
    <w:rsid w:val="00080DFD"/>
    <w:rsid w:val="00081C0F"/>
    <w:rsid w:val="00081C38"/>
    <w:rsid w:val="00081EEF"/>
    <w:rsid w:val="000825CB"/>
    <w:rsid w:val="0008279A"/>
    <w:rsid w:val="00083FF1"/>
    <w:rsid w:val="000840DE"/>
    <w:rsid w:val="00084132"/>
    <w:rsid w:val="0008421A"/>
    <w:rsid w:val="0008478C"/>
    <w:rsid w:val="00084A31"/>
    <w:rsid w:val="000851E2"/>
    <w:rsid w:val="000853DF"/>
    <w:rsid w:val="000856CF"/>
    <w:rsid w:val="000867F3"/>
    <w:rsid w:val="00086D98"/>
    <w:rsid w:val="00086F0E"/>
    <w:rsid w:val="00087379"/>
    <w:rsid w:val="0008778D"/>
    <w:rsid w:val="00090962"/>
    <w:rsid w:val="00090CA6"/>
    <w:rsid w:val="00090F7A"/>
    <w:rsid w:val="00091014"/>
    <w:rsid w:val="0009140F"/>
    <w:rsid w:val="00091E89"/>
    <w:rsid w:val="00092634"/>
    <w:rsid w:val="00092E53"/>
    <w:rsid w:val="00094032"/>
    <w:rsid w:val="0009414E"/>
    <w:rsid w:val="000944FC"/>
    <w:rsid w:val="000945E8"/>
    <w:rsid w:val="00094D67"/>
    <w:rsid w:val="000955C4"/>
    <w:rsid w:val="00095C63"/>
    <w:rsid w:val="000961DE"/>
    <w:rsid w:val="00096868"/>
    <w:rsid w:val="00096AD0"/>
    <w:rsid w:val="0009780F"/>
    <w:rsid w:val="00097B95"/>
    <w:rsid w:val="00097C05"/>
    <w:rsid w:val="00097DA5"/>
    <w:rsid w:val="000A122D"/>
    <w:rsid w:val="000A1605"/>
    <w:rsid w:val="000A210D"/>
    <w:rsid w:val="000A2754"/>
    <w:rsid w:val="000A2E08"/>
    <w:rsid w:val="000A305B"/>
    <w:rsid w:val="000A32A2"/>
    <w:rsid w:val="000A376F"/>
    <w:rsid w:val="000A397B"/>
    <w:rsid w:val="000A3BF3"/>
    <w:rsid w:val="000A3D2F"/>
    <w:rsid w:val="000A51BD"/>
    <w:rsid w:val="000A5EAD"/>
    <w:rsid w:val="000A6835"/>
    <w:rsid w:val="000A6C08"/>
    <w:rsid w:val="000A6FD4"/>
    <w:rsid w:val="000A7152"/>
    <w:rsid w:val="000A75FD"/>
    <w:rsid w:val="000A76C2"/>
    <w:rsid w:val="000A7758"/>
    <w:rsid w:val="000A7F84"/>
    <w:rsid w:val="000B23A6"/>
    <w:rsid w:val="000B2A2F"/>
    <w:rsid w:val="000B3A60"/>
    <w:rsid w:val="000B3D57"/>
    <w:rsid w:val="000B4124"/>
    <w:rsid w:val="000B4CAC"/>
    <w:rsid w:val="000B4FC8"/>
    <w:rsid w:val="000B517B"/>
    <w:rsid w:val="000B5B0B"/>
    <w:rsid w:val="000B631C"/>
    <w:rsid w:val="000B6A3A"/>
    <w:rsid w:val="000B706D"/>
    <w:rsid w:val="000B7208"/>
    <w:rsid w:val="000B7509"/>
    <w:rsid w:val="000B7E62"/>
    <w:rsid w:val="000B7E69"/>
    <w:rsid w:val="000C0040"/>
    <w:rsid w:val="000C011B"/>
    <w:rsid w:val="000C0253"/>
    <w:rsid w:val="000C0447"/>
    <w:rsid w:val="000C1FCA"/>
    <w:rsid w:val="000C226D"/>
    <w:rsid w:val="000C3FDD"/>
    <w:rsid w:val="000C40F0"/>
    <w:rsid w:val="000C4370"/>
    <w:rsid w:val="000C4A0B"/>
    <w:rsid w:val="000C51DC"/>
    <w:rsid w:val="000C565A"/>
    <w:rsid w:val="000C5BFB"/>
    <w:rsid w:val="000C5EB5"/>
    <w:rsid w:val="000C5EC6"/>
    <w:rsid w:val="000C66D2"/>
    <w:rsid w:val="000C6869"/>
    <w:rsid w:val="000C76BD"/>
    <w:rsid w:val="000C78E1"/>
    <w:rsid w:val="000D01A1"/>
    <w:rsid w:val="000D01E1"/>
    <w:rsid w:val="000D0EAA"/>
    <w:rsid w:val="000D0EE6"/>
    <w:rsid w:val="000D1D4B"/>
    <w:rsid w:val="000D1FB6"/>
    <w:rsid w:val="000D261C"/>
    <w:rsid w:val="000D3B7B"/>
    <w:rsid w:val="000D403F"/>
    <w:rsid w:val="000D4105"/>
    <w:rsid w:val="000D42C9"/>
    <w:rsid w:val="000D4E02"/>
    <w:rsid w:val="000D5948"/>
    <w:rsid w:val="000D5B9A"/>
    <w:rsid w:val="000D5C35"/>
    <w:rsid w:val="000D5C4D"/>
    <w:rsid w:val="000D631B"/>
    <w:rsid w:val="000D6409"/>
    <w:rsid w:val="000D739B"/>
    <w:rsid w:val="000D741C"/>
    <w:rsid w:val="000D760E"/>
    <w:rsid w:val="000D7959"/>
    <w:rsid w:val="000D7DD4"/>
    <w:rsid w:val="000D7E4E"/>
    <w:rsid w:val="000D7E96"/>
    <w:rsid w:val="000E065C"/>
    <w:rsid w:val="000E0857"/>
    <w:rsid w:val="000E0FB3"/>
    <w:rsid w:val="000E1A4B"/>
    <w:rsid w:val="000E1B48"/>
    <w:rsid w:val="000E1FCF"/>
    <w:rsid w:val="000E21EF"/>
    <w:rsid w:val="000E2BFA"/>
    <w:rsid w:val="000E2E5D"/>
    <w:rsid w:val="000E35B1"/>
    <w:rsid w:val="000E41E7"/>
    <w:rsid w:val="000E44F5"/>
    <w:rsid w:val="000E49A3"/>
    <w:rsid w:val="000E5D69"/>
    <w:rsid w:val="000E6655"/>
    <w:rsid w:val="000E712F"/>
    <w:rsid w:val="000E7135"/>
    <w:rsid w:val="000E72EE"/>
    <w:rsid w:val="000E73F1"/>
    <w:rsid w:val="000E77F2"/>
    <w:rsid w:val="000E78AF"/>
    <w:rsid w:val="000E79A0"/>
    <w:rsid w:val="000E7F02"/>
    <w:rsid w:val="000F00A8"/>
    <w:rsid w:val="000F0F4B"/>
    <w:rsid w:val="000F1A47"/>
    <w:rsid w:val="000F1A96"/>
    <w:rsid w:val="000F1D04"/>
    <w:rsid w:val="000F1DF8"/>
    <w:rsid w:val="000F27E4"/>
    <w:rsid w:val="000F2DC1"/>
    <w:rsid w:val="000F372C"/>
    <w:rsid w:val="000F433B"/>
    <w:rsid w:val="000F48EB"/>
    <w:rsid w:val="000F4D64"/>
    <w:rsid w:val="000F5061"/>
    <w:rsid w:val="000F5906"/>
    <w:rsid w:val="000F5C6A"/>
    <w:rsid w:val="000F5FA1"/>
    <w:rsid w:val="000F603B"/>
    <w:rsid w:val="000F6403"/>
    <w:rsid w:val="000F6C7F"/>
    <w:rsid w:val="00100E1B"/>
    <w:rsid w:val="00100F1D"/>
    <w:rsid w:val="00101107"/>
    <w:rsid w:val="00101488"/>
    <w:rsid w:val="001016D7"/>
    <w:rsid w:val="00102126"/>
    <w:rsid w:val="00102199"/>
    <w:rsid w:val="001021D2"/>
    <w:rsid w:val="00102622"/>
    <w:rsid w:val="00102736"/>
    <w:rsid w:val="0010290F"/>
    <w:rsid w:val="001031DC"/>
    <w:rsid w:val="00103A3E"/>
    <w:rsid w:val="00103BA6"/>
    <w:rsid w:val="001041FA"/>
    <w:rsid w:val="00104611"/>
    <w:rsid w:val="00104F76"/>
    <w:rsid w:val="00105AB6"/>
    <w:rsid w:val="0010678F"/>
    <w:rsid w:val="00106940"/>
    <w:rsid w:val="0010726E"/>
    <w:rsid w:val="00107561"/>
    <w:rsid w:val="001075D6"/>
    <w:rsid w:val="0011061C"/>
    <w:rsid w:val="001112C1"/>
    <w:rsid w:val="00111818"/>
    <w:rsid w:val="001118BC"/>
    <w:rsid w:val="001119DC"/>
    <w:rsid w:val="00112C51"/>
    <w:rsid w:val="0011304A"/>
    <w:rsid w:val="0011394A"/>
    <w:rsid w:val="00116574"/>
    <w:rsid w:val="00116A1F"/>
    <w:rsid w:val="00116BF4"/>
    <w:rsid w:val="0011752F"/>
    <w:rsid w:val="00117704"/>
    <w:rsid w:val="00120603"/>
    <w:rsid w:val="001208A2"/>
    <w:rsid w:val="001209EF"/>
    <w:rsid w:val="00120A91"/>
    <w:rsid w:val="0012255E"/>
    <w:rsid w:val="00122F57"/>
    <w:rsid w:val="001236E4"/>
    <w:rsid w:val="00123D3E"/>
    <w:rsid w:val="0012479D"/>
    <w:rsid w:val="0012496C"/>
    <w:rsid w:val="00124C66"/>
    <w:rsid w:val="00125698"/>
    <w:rsid w:val="00125913"/>
    <w:rsid w:val="001259E8"/>
    <w:rsid w:val="00126C3F"/>
    <w:rsid w:val="00126DA8"/>
    <w:rsid w:val="0012713F"/>
    <w:rsid w:val="00127478"/>
    <w:rsid w:val="001274AA"/>
    <w:rsid w:val="001279B9"/>
    <w:rsid w:val="00127E78"/>
    <w:rsid w:val="00130CCE"/>
    <w:rsid w:val="00130CD5"/>
    <w:rsid w:val="00131066"/>
    <w:rsid w:val="001310A1"/>
    <w:rsid w:val="00132248"/>
    <w:rsid w:val="00132D57"/>
    <w:rsid w:val="001345E0"/>
    <w:rsid w:val="0013500C"/>
    <w:rsid w:val="00135176"/>
    <w:rsid w:val="00135C38"/>
    <w:rsid w:val="00135E13"/>
    <w:rsid w:val="0013615A"/>
    <w:rsid w:val="00136E23"/>
    <w:rsid w:val="00136ED6"/>
    <w:rsid w:val="00137096"/>
    <w:rsid w:val="00137314"/>
    <w:rsid w:val="00137E77"/>
    <w:rsid w:val="00140366"/>
    <w:rsid w:val="00140544"/>
    <w:rsid w:val="00140F30"/>
    <w:rsid w:val="0014111D"/>
    <w:rsid w:val="001413E5"/>
    <w:rsid w:val="00141A3D"/>
    <w:rsid w:val="00141CA2"/>
    <w:rsid w:val="00141D2C"/>
    <w:rsid w:val="00141FF2"/>
    <w:rsid w:val="001421AA"/>
    <w:rsid w:val="001426B1"/>
    <w:rsid w:val="00142E90"/>
    <w:rsid w:val="001440B7"/>
    <w:rsid w:val="00144ABB"/>
    <w:rsid w:val="00144B4F"/>
    <w:rsid w:val="00144FB2"/>
    <w:rsid w:val="00145A02"/>
    <w:rsid w:val="00146074"/>
    <w:rsid w:val="0014670E"/>
    <w:rsid w:val="00146A50"/>
    <w:rsid w:val="00146C24"/>
    <w:rsid w:val="00146FB3"/>
    <w:rsid w:val="001470E7"/>
    <w:rsid w:val="00147DCC"/>
    <w:rsid w:val="001504F3"/>
    <w:rsid w:val="001505AC"/>
    <w:rsid w:val="00150C3C"/>
    <w:rsid w:val="00150E2A"/>
    <w:rsid w:val="0015121A"/>
    <w:rsid w:val="001512A7"/>
    <w:rsid w:val="00151932"/>
    <w:rsid w:val="001519F7"/>
    <w:rsid w:val="001520D4"/>
    <w:rsid w:val="0015246A"/>
    <w:rsid w:val="00152AEE"/>
    <w:rsid w:val="0015341E"/>
    <w:rsid w:val="001542EE"/>
    <w:rsid w:val="00154548"/>
    <w:rsid w:val="001549DE"/>
    <w:rsid w:val="00154C7A"/>
    <w:rsid w:val="00155863"/>
    <w:rsid w:val="00155A66"/>
    <w:rsid w:val="001565C2"/>
    <w:rsid w:val="001569B7"/>
    <w:rsid w:val="00156D0C"/>
    <w:rsid w:val="00156EB6"/>
    <w:rsid w:val="00157F8F"/>
    <w:rsid w:val="00160168"/>
    <w:rsid w:val="0016099D"/>
    <w:rsid w:val="00160D6D"/>
    <w:rsid w:val="00160F54"/>
    <w:rsid w:val="001610E2"/>
    <w:rsid w:val="00162798"/>
    <w:rsid w:val="001648DE"/>
    <w:rsid w:val="001649A7"/>
    <w:rsid w:val="00164AE2"/>
    <w:rsid w:val="00164D39"/>
    <w:rsid w:val="00164D95"/>
    <w:rsid w:val="00164DF4"/>
    <w:rsid w:val="00165001"/>
    <w:rsid w:val="0016522C"/>
    <w:rsid w:val="0016531B"/>
    <w:rsid w:val="00165332"/>
    <w:rsid w:val="00165D5E"/>
    <w:rsid w:val="00165E44"/>
    <w:rsid w:val="00166EFD"/>
    <w:rsid w:val="00167411"/>
    <w:rsid w:val="00167541"/>
    <w:rsid w:val="00167900"/>
    <w:rsid w:val="00170130"/>
    <w:rsid w:val="00170360"/>
    <w:rsid w:val="0017068E"/>
    <w:rsid w:val="0017080C"/>
    <w:rsid w:val="0017114A"/>
    <w:rsid w:val="00171587"/>
    <w:rsid w:val="0017160F"/>
    <w:rsid w:val="00171803"/>
    <w:rsid w:val="00172218"/>
    <w:rsid w:val="00172D85"/>
    <w:rsid w:val="00172EE9"/>
    <w:rsid w:val="001737A1"/>
    <w:rsid w:val="00173BEF"/>
    <w:rsid w:val="00173C92"/>
    <w:rsid w:val="00173E40"/>
    <w:rsid w:val="001745E3"/>
    <w:rsid w:val="00174794"/>
    <w:rsid w:val="00174BB9"/>
    <w:rsid w:val="0017565E"/>
    <w:rsid w:val="00175A54"/>
    <w:rsid w:val="00175AFF"/>
    <w:rsid w:val="0017696A"/>
    <w:rsid w:val="00176A93"/>
    <w:rsid w:val="00176E06"/>
    <w:rsid w:val="0017701D"/>
    <w:rsid w:val="00177259"/>
    <w:rsid w:val="00177CB7"/>
    <w:rsid w:val="00180051"/>
    <w:rsid w:val="0018128F"/>
    <w:rsid w:val="001816BC"/>
    <w:rsid w:val="00182319"/>
    <w:rsid w:val="001825DA"/>
    <w:rsid w:val="001829A6"/>
    <w:rsid w:val="001829DA"/>
    <w:rsid w:val="001833DB"/>
    <w:rsid w:val="00183612"/>
    <w:rsid w:val="00183642"/>
    <w:rsid w:val="00183DCC"/>
    <w:rsid w:val="00184284"/>
    <w:rsid w:val="0018442E"/>
    <w:rsid w:val="00184F66"/>
    <w:rsid w:val="0018560C"/>
    <w:rsid w:val="001864B4"/>
    <w:rsid w:val="001864B8"/>
    <w:rsid w:val="001868E3"/>
    <w:rsid w:val="00187046"/>
    <w:rsid w:val="0018758C"/>
    <w:rsid w:val="00187691"/>
    <w:rsid w:val="00190361"/>
    <w:rsid w:val="00191617"/>
    <w:rsid w:val="001918A9"/>
    <w:rsid w:val="00191AEB"/>
    <w:rsid w:val="00191C90"/>
    <w:rsid w:val="00191D99"/>
    <w:rsid w:val="0019292E"/>
    <w:rsid w:val="001939C1"/>
    <w:rsid w:val="00194EF8"/>
    <w:rsid w:val="00195065"/>
    <w:rsid w:val="0019577F"/>
    <w:rsid w:val="001960DD"/>
    <w:rsid w:val="001961B6"/>
    <w:rsid w:val="001961FC"/>
    <w:rsid w:val="001967D4"/>
    <w:rsid w:val="001967EA"/>
    <w:rsid w:val="00196DF0"/>
    <w:rsid w:val="0019707D"/>
    <w:rsid w:val="00197C5D"/>
    <w:rsid w:val="00197EE6"/>
    <w:rsid w:val="00197F8C"/>
    <w:rsid w:val="001A0718"/>
    <w:rsid w:val="001A081E"/>
    <w:rsid w:val="001A0AC9"/>
    <w:rsid w:val="001A0F30"/>
    <w:rsid w:val="001A16B5"/>
    <w:rsid w:val="001A181E"/>
    <w:rsid w:val="001A2AF1"/>
    <w:rsid w:val="001A3058"/>
    <w:rsid w:val="001A33D6"/>
    <w:rsid w:val="001A3419"/>
    <w:rsid w:val="001A3893"/>
    <w:rsid w:val="001A4326"/>
    <w:rsid w:val="001A474A"/>
    <w:rsid w:val="001A5478"/>
    <w:rsid w:val="001A563A"/>
    <w:rsid w:val="001A5D68"/>
    <w:rsid w:val="001A750D"/>
    <w:rsid w:val="001A7BDA"/>
    <w:rsid w:val="001A7D52"/>
    <w:rsid w:val="001A7E0E"/>
    <w:rsid w:val="001B041C"/>
    <w:rsid w:val="001B042B"/>
    <w:rsid w:val="001B0BCC"/>
    <w:rsid w:val="001B0D79"/>
    <w:rsid w:val="001B146C"/>
    <w:rsid w:val="001B1626"/>
    <w:rsid w:val="001B1B4B"/>
    <w:rsid w:val="001B1FE9"/>
    <w:rsid w:val="001B2758"/>
    <w:rsid w:val="001B2C6D"/>
    <w:rsid w:val="001B2D73"/>
    <w:rsid w:val="001B2DF9"/>
    <w:rsid w:val="001B336E"/>
    <w:rsid w:val="001B362D"/>
    <w:rsid w:val="001B3C3D"/>
    <w:rsid w:val="001B4AED"/>
    <w:rsid w:val="001B4FB2"/>
    <w:rsid w:val="001B5D35"/>
    <w:rsid w:val="001B5FFC"/>
    <w:rsid w:val="001B7CBD"/>
    <w:rsid w:val="001B7D35"/>
    <w:rsid w:val="001C0A5B"/>
    <w:rsid w:val="001C0DD4"/>
    <w:rsid w:val="001C1286"/>
    <w:rsid w:val="001C12C1"/>
    <w:rsid w:val="001C1A37"/>
    <w:rsid w:val="001C21C8"/>
    <w:rsid w:val="001C2FBB"/>
    <w:rsid w:val="001C3333"/>
    <w:rsid w:val="001C4749"/>
    <w:rsid w:val="001C4CD6"/>
    <w:rsid w:val="001C54F5"/>
    <w:rsid w:val="001C59D2"/>
    <w:rsid w:val="001C5E21"/>
    <w:rsid w:val="001C6001"/>
    <w:rsid w:val="001C6913"/>
    <w:rsid w:val="001C6DA1"/>
    <w:rsid w:val="001C6E09"/>
    <w:rsid w:val="001C6E89"/>
    <w:rsid w:val="001C6EFF"/>
    <w:rsid w:val="001C717A"/>
    <w:rsid w:val="001C7646"/>
    <w:rsid w:val="001D030C"/>
    <w:rsid w:val="001D0340"/>
    <w:rsid w:val="001D0763"/>
    <w:rsid w:val="001D07AC"/>
    <w:rsid w:val="001D0B98"/>
    <w:rsid w:val="001D17AB"/>
    <w:rsid w:val="001D2189"/>
    <w:rsid w:val="001D2419"/>
    <w:rsid w:val="001D25F4"/>
    <w:rsid w:val="001D264B"/>
    <w:rsid w:val="001D3534"/>
    <w:rsid w:val="001D35FF"/>
    <w:rsid w:val="001D37F4"/>
    <w:rsid w:val="001D3B0D"/>
    <w:rsid w:val="001D4002"/>
    <w:rsid w:val="001D4447"/>
    <w:rsid w:val="001D466B"/>
    <w:rsid w:val="001D4C4F"/>
    <w:rsid w:val="001D544F"/>
    <w:rsid w:val="001D6705"/>
    <w:rsid w:val="001D6C92"/>
    <w:rsid w:val="001D70B0"/>
    <w:rsid w:val="001D7232"/>
    <w:rsid w:val="001D7927"/>
    <w:rsid w:val="001E0C2C"/>
    <w:rsid w:val="001E1357"/>
    <w:rsid w:val="001E19B8"/>
    <w:rsid w:val="001E1A72"/>
    <w:rsid w:val="001E1B76"/>
    <w:rsid w:val="001E2674"/>
    <w:rsid w:val="001E2712"/>
    <w:rsid w:val="001E28F8"/>
    <w:rsid w:val="001E2A06"/>
    <w:rsid w:val="001E4157"/>
    <w:rsid w:val="001E51DE"/>
    <w:rsid w:val="001E5709"/>
    <w:rsid w:val="001E59F9"/>
    <w:rsid w:val="001E5F57"/>
    <w:rsid w:val="001E60A8"/>
    <w:rsid w:val="001E60D3"/>
    <w:rsid w:val="001E67B0"/>
    <w:rsid w:val="001E736F"/>
    <w:rsid w:val="001E752D"/>
    <w:rsid w:val="001E7775"/>
    <w:rsid w:val="001E7A8F"/>
    <w:rsid w:val="001E7FC2"/>
    <w:rsid w:val="001F0853"/>
    <w:rsid w:val="001F2264"/>
    <w:rsid w:val="001F260A"/>
    <w:rsid w:val="001F2B77"/>
    <w:rsid w:val="001F2D8C"/>
    <w:rsid w:val="001F4942"/>
    <w:rsid w:val="001F51A0"/>
    <w:rsid w:val="001F5CC6"/>
    <w:rsid w:val="001F5F2A"/>
    <w:rsid w:val="001F5FAA"/>
    <w:rsid w:val="001F60F1"/>
    <w:rsid w:val="001F6AB6"/>
    <w:rsid w:val="001F6CCB"/>
    <w:rsid w:val="001F736A"/>
    <w:rsid w:val="001F7C3A"/>
    <w:rsid w:val="001F7DBB"/>
    <w:rsid w:val="002000FB"/>
    <w:rsid w:val="002006D7"/>
    <w:rsid w:val="0020094D"/>
    <w:rsid w:val="00201383"/>
    <w:rsid w:val="00202234"/>
    <w:rsid w:val="00202BC3"/>
    <w:rsid w:val="00202C87"/>
    <w:rsid w:val="00202D73"/>
    <w:rsid w:val="0020321E"/>
    <w:rsid w:val="00203911"/>
    <w:rsid w:val="002047AD"/>
    <w:rsid w:val="00204861"/>
    <w:rsid w:val="00205014"/>
    <w:rsid w:val="00205243"/>
    <w:rsid w:val="00206CD4"/>
    <w:rsid w:val="002072CF"/>
    <w:rsid w:val="00207A3F"/>
    <w:rsid w:val="00207E33"/>
    <w:rsid w:val="0021062F"/>
    <w:rsid w:val="00211765"/>
    <w:rsid w:val="00211853"/>
    <w:rsid w:val="0021198F"/>
    <w:rsid w:val="0021218B"/>
    <w:rsid w:val="002121BD"/>
    <w:rsid w:val="0021260A"/>
    <w:rsid w:val="00212A2A"/>
    <w:rsid w:val="0021326F"/>
    <w:rsid w:val="002136E7"/>
    <w:rsid w:val="002139CE"/>
    <w:rsid w:val="00213B32"/>
    <w:rsid w:val="00213CC6"/>
    <w:rsid w:val="002143FA"/>
    <w:rsid w:val="00215093"/>
    <w:rsid w:val="00215818"/>
    <w:rsid w:val="00215C4A"/>
    <w:rsid w:val="00215EAF"/>
    <w:rsid w:val="0021620C"/>
    <w:rsid w:val="00216A68"/>
    <w:rsid w:val="00216BAD"/>
    <w:rsid w:val="00216D8B"/>
    <w:rsid w:val="00217B26"/>
    <w:rsid w:val="00217DC1"/>
    <w:rsid w:val="002206DB"/>
    <w:rsid w:val="002210DC"/>
    <w:rsid w:val="00221273"/>
    <w:rsid w:val="0022182D"/>
    <w:rsid w:val="00221D13"/>
    <w:rsid w:val="00221F37"/>
    <w:rsid w:val="00222820"/>
    <w:rsid w:val="002231FB"/>
    <w:rsid w:val="00223D80"/>
    <w:rsid w:val="00224154"/>
    <w:rsid w:val="00224639"/>
    <w:rsid w:val="0022465A"/>
    <w:rsid w:val="00224859"/>
    <w:rsid w:val="00225A12"/>
    <w:rsid w:val="00225B57"/>
    <w:rsid w:val="002261B3"/>
    <w:rsid w:val="0022685E"/>
    <w:rsid w:val="00227308"/>
    <w:rsid w:val="00227439"/>
    <w:rsid w:val="00227658"/>
    <w:rsid w:val="0023092B"/>
    <w:rsid w:val="00230CA4"/>
    <w:rsid w:val="00230F93"/>
    <w:rsid w:val="00231859"/>
    <w:rsid w:val="002318B6"/>
    <w:rsid w:val="00231C3E"/>
    <w:rsid w:val="00232534"/>
    <w:rsid w:val="00233CEF"/>
    <w:rsid w:val="00233FD0"/>
    <w:rsid w:val="002342E4"/>
    <w:rsid w:val="00234761"/>
    <w:rsid w:val="002352B0"/>
    <w:rsid w:val="002354E4"/>
    <w:rsid w:val="00235A5A"/>
    <w:rsid w:val="00235AE6"/>
    <w:rsid w:val="00235C0C"/>
    <w:rsid w:val="0023629A"/>
    <w:rsid w:val="00240493"/>
    <w:rsid w:val="002406DD"/>
    <w:rsid w:val="00240E58"/>
    <w:rsid w:val="002415F9"/>
    <w:rsid w:val="002417D1"/>
    <w:rsid w:val="002419B9"/>
    <w:rsid w:val="00241A40"/>
    <w:rsid w:val="002431E2"/>
    <w:rsid w:val="002434C7"/>
    <w:rsid w:val="00243942"/>
    <w:rsid w:val="00243CC4"/>
    <w:rsid w:val="00243E5B"/>
    <w:rsid w:val="00244C31"/>
    <w:rsid w:val="00244F02"/>
    <w:rsid w:val="00245698"/>
    <w:rsid w:val="00245EC2"/>
    <w:rsid w:val="002464E8"/>
    <w:rsid w:val="00246C1D"/>
    <w:rsid w:val="00246DFD"/>
    <w:rsid w:val="0024710C"/>
    <w:rsid w:val="00247150"/>
    <w:rsid w:val="002474BA"/>
    <w:rsid w:val="002478A1"/>
    <w:rsid w:val="00247E33"/>
    <w:rsid w:val="002501CA"/>
    <w:rsid w:val="00250F29"/>
    <w:rsid w:val="002510DC"/>
    <w:rsid w:val="0025182A"/>
    <w:rsid w:val="00251D5A"/>
    <w:rsid w:val="0025321E"/>
    <w:rsid w:val="00253776"/>
    <w:rsid w:val="00253F55"/>
    <w:rsid w:val="002545A8"/>
    <w:rsid w:val="002548DF"/>
    <w:rsid w:val="00255404"/>
    <w:rsid w:val="00255417"/>
    <w:rsid w:val="00255D92"/>
    <w:rsid w:val="00256614"/>
    <w:rsid w:val="00256838"/>
    <w:rsid w:val="002569AE"/>
    <w:rsid w:val="0025796E"/>
    <w:rsid w:val="00257989"/>
    <w:rsid w:val="00257EB6"/>
    <w:rsid w:val="00260167"/>
    <w:rsid w:val="0026037E"/>
    <w:rsid w:val="00260517"/>
    <w:rsid w:val="00260520"/>
    <w:rsid w:val="00260585"/>
    <w:rsid w:val="00260B1F"/>
    <w:rsid w:val="00261479"/>
    <w:rsid w:val="0026171F"/>
    <w:rsid w:val="0026197D"/>
    <w:rsid w:val="00261993"/>
    <w:rsid w:val="0026252B"/>
    <w:rsid w:val="00262603"/>
    <w:rsid w:val="00262FED"/>
    <w:rsid w:val="002634D8"/>
    <w:rsid w:val="00263D47"/>
    <w:rsid w:val="0026420C"/>
    <w:rsid w:val="0026487F"/>
    <w:rsid w:val="00265651"/>
    <w:rsid w:val="002659E5"/>
    <w:rsid w:val="00265AEA"/>
    <w:rsid w:val="00266A6B"/>
    <w:rsid w:val="00267100"/>
    <w:rsid w:val="00267328"/>
    <w:rsid w:val="002673FE"/>
    <w:rsid w:val="00267BCE"/>
    <w:rsid w:val="002702D6"/>
    <w:rsid w:val="00270A75"/>
    <w:rsid w:val="00270D80"/>
    <w:rsid w:val="002711E3"/>
    <w:rsid w:val="00271666"/>
    <w:rsid w:val="00271C1F"/>
    <w:rsid w:val="00271C94"/>
    <w:rsid w:val="00271ECA"/>
    <w:rsid w:val="002722FC"/>
    <w:rsid w:val="00272E86"/>
    <w:rsid w:val="00273DAB"/>
    <w:rsid w:val="00274042"/>
    <w:rsid w:val="00274963"/>
    <w:rsid w:val="0027526E"/>
    <w:rsid w:val="0027531A"/>
    <w:rsid w:val="00275621"/>
    <w:rsid w:val="0027572B"/>
    <w:rsid w:val="0027626B"/>
    <w:rsid w:val="002763CE"/>
    <w:rsid w:val="00276BA5"/>
    <w:rsid w:val="0027741B"/>
    <w:rsid w:val="002777C8"/>
    <w:rsid w:val="00277857"/>
    <w:rsid w:val="00277EC5"/>
    <w:rsid w:val="002807EE"/>
    <w:rsid w:val="00280E9D"/>
    <w:rsid w:val="002814B9"/>
    <w:rsid w:val="002817CE"/>
    <w:rsid w:val="00282051"/>
    <w:rsid w:val="002833C3"/>
    <w:rsid w:val="00283AA6"/>
    <w:rsid w:val="00283AB9"/>
    <w:rsid w:val="0028432C"/>
    <w:rsid w:val="002846A3"/>
    <w:rsid w:val="00284C60"/>
    <w:rsid w:val="00284E46"/>
    <w:rsid w:val="00285052"/>
    <w:rsid w:val="00285101"/>
    <w:rsid w:val="00285124"/>
    <w:rsid w:val="00285538"/>
    <w:rsid w:val="002857E2"/>
    <w:rsid w:val="00285EDF"/>
    <w:rsid w:val="0028624F"/>
    <w:rsid w:val="00286986"/>
    <w:rsid w:val="00286E94"/>
    <w:rsid w:val="002870A9"/>
    <w:rsid w:val="00287228"/>
    <w:rsid w:val="00290ABD"/>
    <w:rsid w:val="00291076"/>
    <w:rsid w:val="00291501"/>
    <w:rsid w:val="0029183F"/>
    <w:rsid w:val="00292212"/>
    <w:rsid w:val="00292BF8"/>
    <w:rsid w:val="00292DAB"/>
    <w:rsid w:val="0029378F"/>
    <w:rsid w:val="00293A98"/>
    <w:rsid w:val="00293DE2"/>
    <w:rsid w:val="00293E05"/>
    <w:rsid w:val="00294009"/>
    <w:rsid w:val="00294409"/>
    <w:rsid w:val="00295216"/>
    <w:rsid w:val="002956FC"/>
    <w:rsid w:val="00295830"/>
    <w:rsid w:val="00295AF9"/>
    <w:rsid w:val="00295F20"/>
    <w:rsid w:val="0029669C"/>
    <w:rsid w:val="00297AE2"/>
    <w:rsid w:val="00297E08"/>
    <w:rsid w:val="002A01DC"/>
    <w:rsid w:val="002A0B4A"/>
    <w:rsid w:val="002A14B4"/>
    <w:rsid w:val="002A1DEA"/>
    <w:rsid w:val="002A2400"/>
    <w:rsid w:val="002A2A59"/>
    <w:rsid w:val="002A32C1"/>
    <w:rsid w:val="002A34C1"/>
    <w:rsid w:val="002A3FDF"/>
    <w:rsid w:val="002A48A7"/>
    <w:rsid w:val="002A4918"/>
    <w:rsid w:val="002A5C43"/>
    <w:rsid w:val="002A6096"/>
    <w:rsid w:val="002A6A3A"/>
    <w:rsid w:val="002A7090"/>
    <w:rsid w:val="002A729E"/>
    <w:rsid w:val="002A72D8"/>
    <w:rsid w:val="002A7789"/>
    <w:rsid w:val="002A7FB5"/>
    <w:rsid w:val="002B0978"/>
    <w:rsid w:val="002B0A98"/>
    <w:rsid w:val="002B262D"/>
    <w:rsid w:val="002B2942"/>
    <w:rsid w:val="002B2B0E"/>
    <w:rsid w:val="002B2CF4"/>
    <w:rsid w:val="002B32BD"/>
    <w:rsid w:val="002B33FF"/>
    <w:rsid w:val="002B34BA"/>
    <w:rsid w:val="002B35F2"/>
    <w:rsid w:val="002B44B5"/>
    <w:rsid w:val="002B473D"/>
    <w:rsid w:val="002B47DD"/>
    <w:rsid w:val="002B4A12"/>
    <w:rsid w:val="002B4A5E"/>
    <w:rsid w:val="002B5F5A"/>
    <w:rsid w:val="002B60A2"/>
    <w:rsid w:val="002B6125"/>
    <w:rsid w:val="002B613D"/>
    <w:rsid w:val="002B6F9C"/>
    <w:rsid w:val="002B6FC1"/>
    <w:rsid w:val="002B7350"/>
    <w:rsid w:val="002B737F"/>
    <w:rsid w:val="002B78BB"/>
    <w:rsid w:val="002B7E48"/>
    <w:rsid w:val="002C00D3"/>
    <w:rsid w:val="002C0385"/>
    <w:rsid w:val="002C0F6F"/>
    <w:rsid w:val="002C0FE2"/>
    <w:rsid w:val="002C16B4"/>
    <w:rsid w:val="002C1B5B"/>
    <w:rsid w:val="002C25B4"/>
    <w:rsid w:val="002C2972"/>
    <w:rsid w:val="002C2F0B"/>
    <w:rsid w:val="002C35B0"/>
    <w:rsid w:val="002C3FE8"/>
    <w:rsid w:val="002C4872"/>
    <w:rsid w:val="002C4D38"/>
    <w:rsid w:val="002C4E57"/>
    <w:rsid w:val="002C4F50"/>
    <w:rsid w:val="002C56B4"/>
    <w:rsid w:val="002C56D4"/>
    <w:rsid w:val="002C57E5"/>
    <w:rsid w:val="002C590C"/>
    <w:rsid w:val="002C5E0E"/>
    <w:rsid w:val="002C5FF3"/>
    <w:rsid w:val="002C6187"/>
    <w:rsid w:val="002C6B0C"/>
    <w:rsid w:val="002C72FC"/>
    <w:rsid w:val="002C76F2"/>
    <w:rsid w:val="002C7704"/>
    <w:rsid w:val="002C7DA1"/>
    <w:rsid w:val="002C7F13"/>
    <w:rsid w:val="002D0093"/>
    <w:rsid w:val="002D0944"/>
    <w:rsid w:val="002D0B43"/>
    <w:rsid w:val="002D0C68"/>
    <w:rsid w:val="002D1528"/>
    <w:rsid w:val="002D16C6"/>
    <w:rsid w:val="002D1AC6"/>
    <w:rsid w:val="002D1F10"/>
    <w:rsid w:val="002D206A"/>
    <w:rsid w:val="002D2814"/>
    <w:rsid w:val="002D2B04"/>
    <w:rsid w:val="002D2C61"/>
    <w:rsid w:val="002D2C69"/>
    <w:rsid w:val="002D358E"/>
    <w:rsid w:val="002D437E"/>
    <w:rsid w:val="002D5664"/>
    <w:rsid w:val="002D571C"/>
    <w:rsid w:val="002D58C6"/>
    <w:rsid w:val="002D650E"/>
    <w:rsid w:val="002D65B3"/>
    <w:rsid w:val="002D6688"/>
    <w:rsid w:val="002D6AB0"/>
    <w:rsid w:val="002D7D6B"/>
    <w:rsid w:val="002E0345"/>
    <w:rsid w:val="002E06D8"/>
    <w:rsid w:val="002E07E9"/>
    <w:rsid w:val="002E08E1"/>
    <w:rsid w:val="002E0D20"/>
    <w:rsid w:val="002E136B"/>
    <w:rsid w:val="002E19DA"/>
    <w:rsid w:val="002E1DE8"/>
    <w:rsid w:val="002E1F84"/>
    <w:rsid w:val="002E20A6"/>
    <w:rsid w:val="002E2247"/>
    <w:rsid w:val="002E2A0C"/>
    <w:rsid w:val="002E2CE4"/>
    <w:rsid w:val="002E2E54"/>
    <w:rsid w:val="002E310F"/>
    <w:rsid w:val="002E3153"/>
    <w:rsid w:val="002E42E1"/>
    <w:rsid w:val="002E46A4"/>
    <w:rsid w:val="002E47F9"/>
    <w:rsid w:val="002E4E8A"/>
    <w:rsid w:val="002E585E"/>
    <w:rsid w:val="002E6052"/>
    <w:rsid w:val="002E6506"/>
    <w:rsid w:val="002F006D"/>
    <w:rsid w:val="002F05C5"/>
    <w:rsid w:val="002F08DF"/>
    <w:rsid w:val="002F153C"/>
    <w:rsid w:val="002F159F"/>
    <w:rsid w:val="002F1853"/>
    <w:rsid w:val="002F1A70"/>
    <w:rsid w:val="002F269E"/>
    <w:rsid w:val="002F366D"/>
    <w:rsid w:val="002F39F9"/>
    <w:rsid w:val="002F3AD7"/>
    <w:rsid w:val="002F4637"/>
    <w:rsid w:val="002F4643"/>
    <w:rsid w:val="002F4678"/>
    <w:rsid w:val="002F49A7"/>
    <w:rsid w:val="002F4FB6"/>
    <w:rsid w:val="002F52A9"/>
    <w:rsid w:val="002F5D7D"/>
    <w:rsid w:val="002F6591"/>
    <w:rsid w:val="002F6913"/>
    <w:rsid w:val="002F6B3D"/>
    <w:rsid w:val="002F7032"/>
    <w:rsid w:val="002F7754"/>
    <w:rsid w:val="002F7A7F"/>
    <w:rsid w:val="002F7CC7"/>
    <w:rsid w:val="00300C96"/>
    <w:rsid w:val="00301CF6"/>
    <w:rsid w:val="00301D68"/>
    <w:rsid w:val="00302D4F"/>
    <w:rsid w:val="0030314E"/>
    <w:rsid w:val="003031DA"/>
    <w:rsid w:val="00303AF6"/>
    <w:rsid w:val="00303E06"/>
    <w:rsid w:val="00303FD8"/>
    <w:rsid w:val="003041AF"/>
    <w:rsid w:val="00304837"/>
    <w:rsid w:val="003049D0"/>
    <w:rsid w:val="0030645C"/>
    <w:rsid w:val="00306AD7"/>
    <w:rsid w:val="003100AA"/>
    <w:rsid w:val="003102E9"/>
    <w:rsid w:val="00310F87"/>
    <w:rsid w:val="003111AB"/>
    <w:rsid w:val="00311A35"/>
    <w:rsid w:val="00311E0B"/>
    <w:rsid w:val="003122B5"/>
    <w:rsid w:val="00312534"/>
    <w:rsid w:val="0031260E"/>
    <w:rsid w:val="00312651"/>
    <w:rsid w:val="00313634"/>
    <w:rsid w:val="00313AD3"/>
    <w:rsid w:val="0031438D"/>
    <w:rsid w:val="0031465E"/>
    <w:rsid w:val="00314A87"/>
    <w:rsid w:val="00314EA4"/>
    <w:rsid w:val="00314F94"/>
    <w:rsid w:val="00314FE1"/>
    <w:rsid w:val="003156BC"/>
    <w:rsid w:val="00315E55"/>
    <w:rsid w:val="003161C5"/>
    <w:rsid w:val="00317EEE"/>
    <w:rsid w:val="00320084"/>
    <w:rsid w:val="00321270"/>
    <w:rsid w:val="00322C97"/>
    <w:rsid w:val="00322F05"/>
    <w:rsid w:val="0032307B"/>
    <w:rsid w:val="00323346"/>
    <w:rsid w:val="003234A8"/>
    <w:rsid w:val="0032403F"/>
    <w:rsid w:val="0032406E"/>
    <w:rsid w:val="003243C5"/>
    <w:rsid w:val="0032454C"/>
    <w:rsid w:val="00324D43"/>
    <w:rsid w:val="00324F79"/>
    <w:rsid w:val="00325632"/>
    <w:rsid w:val="00326348"/>
    <w:rsid w:val="003266DD"/>
    <w:rsid w:val="00327266"/>
    <w:rsid w:val="00327401"/>
    <w:rsid w:val="00327F9E"/>
    <w:rsid w:val="00330799"/>
    <w:rsid w:val="0033085B"/>
    <w:rsid w:val="00330C2E"/>
    <w:rsid w:val="003310DB"/>
    <w:rsid w:val="003314B6"/>
    <w:rsid w:val="00331AEE"/>
    <w:rsid w:val="00331C50"/>
    <w:rsid w:val="00331D41"/>
    <w:rsid w:val="00331F10"/>
    <w:rsid w:val="00332029"/>
    <w:rsid w:val="00332B49"/>
    <w:rsid w:val="00332B7F"/>
    <w:rsid w:val="00332DF9"/>
    <w:rsid w:val="00332F0B"/>
    <w:rsid w:val="003333AE"/>
    <w:rsid w:val="0033374F"/>
    <w:rsid w:val="00333968"/>
    <w:rsid w:val="003339B1"/>
    <w:rsid w:val="00333A4B"/>
    <w:rsid w:val="0033466A"/>
    <w:rsid w:val="003346EB"/>
    <w:rsid w:val="00334AFA"/>
    <w:rsid w:val="00335836"/>
    <w:rsid w:val="00335933"/>
    <w:rsid w:val="00335B0A"/>
    <w:rsid w:val="00335C34"/>
    <w:rsid w:val="00335FBD"/>
    <w:rsid w:val="003364AD"/>
    <w:rsid w:val="003365BA"/>
    <w:rsid w:val="00336952"/>
    <w:rsid w:val="003370E4"/>
    <w:rsid w:val="00337200"/>
    <w:rsid w:val="00337DE0"/>
    <w:rsid w:val="0034002D"/>
    <w:rsid w:val="00340045"/>
    <w:rsid w:val="003403E5"/>
    <w:rsid w:val="003417B3"/>
    <w:rsid w:val="00341F12"/>
    <w:rsid w:val="003420B6"/>
    <w:rsid w:val="00342C92"/>
    <w:rsid w:val="003437BD"/>
    <w:rsid w:val="00343B15"/>
    <w:rsid w:val="00343D67"/>
    <w:rsid w:val="003446CE"/>
    <w:rsid w:val="0034508F"/>
    <w:rsid w:val="003455C1"/>
    <w:rsid w:val="00345F6C"/>
    <w:rsid w:val="003460F5"/>
    <w:rsid w:val="0034640E"/>
    <w:rsid w:val="003467B7"/>
    <w:rsid w:val="003478CF"/>
    <w:rsid w:val="003478FC"/>
    <w:rsid w:val="00347BC9"/>
    <w:rsid w:val="00347DA6"/>
    <w:rsid w:val="00350564"/>
    <w:rsid w:val="003509B9"/>
    <w:rsid w:val="00350E98"/>
    <w:rsid w:val="00350F46"/>
    <w:rsid w:val="00350FC8"/>
    <w:rsid w:val="0035127F"/>
    <w:rsid w:val="00351847"/>
    <w:rsid w:val="003519E7"/>
    <w:rsid w:val="00351EE4"/>
    <w:rsid w:val="003520AD"/>
    <w:rsid w:val="00352682"/>
    <w:rsid w:val="003527D4"/>
    <w:rsid w:val="003535FB"/>
    <w:rsid w:val="00353F5C"/>
    <w:rsid w:val="00355258"/>
    <w:rsid w:val="00355696"/>
    <w:rsid w:val="00355FFD"/>
    <w:rsid w:val="0035644F"/>
    <w:rsid w:val="00356733"/>
    <w:rsid w:val="003567A3"/>
    <w:rsid w:val="00356BEB"/>
    <w:rsid w:val="00357A3E"/>
    <w:rsid w:val="00357AB5"/>
    <w:rsid w:val="00357D4D"/>
    <w:rsid w:val="00357EE4"/>
    <w:rsid w:val="003603B5"/>
    <w:rsid w:val="003608E7"/>
    <w:rsid w:val="00360AA1"/>
    <w:rsid w:val="00360D9A"/>
    <w:rsid w:val="0036115F"/>
    <w:rsid w:val="00361671"/>
    <w:rsid w:val="00362060"/>
    <w:rsid w:val="003621E9"/>
    <w:rsid w:val="00362B92"/>
    <w:rsid w:val="00362E5F"/>
    <w:rsid w:val="003638F5"/>
    <w:rsid w:val="00363940"/>
    <w:rsid w:val="0036396C"/>
    <w:rsid w:val="00364055"/>
    <w:rsid w:val="00364106"/>
    <w:rsid w:val="00364218"/>
    <w:rsid w:val="00364B7D"/>
    <w:rsid w:val="00364E1F"/>
    <w:rsid w:val="00364E6F"/>
    <w:rsid w:val="0036500A"/>
    <w:rsid w:val="00365589"/>
    <w:rsid w:val="003657D8"/>
    <w:rsid w:val="00365F08"/>
    <w:rsid w:val="00366158"/>
    <w:rsid w:val="00366CD5"/>
    <w:rsid w:val="003675C5"/>
    <w:rsid w:val="00367B84"/>
    <w:rsid w:val="003700E3"/>
    <w:rsid w:val="0037013D"/>
    <w:rsid w:val="00370C42"/>
    <w:rsid w:val="00372BBE"/>
    <w:rsid w:val="00373014"/>
    <w:rsid w:val="00373213"/>
    <w:rsid w:val="0037357C"/>
    <w:rsid w:val="00373CB8"/>
    <w:rsid w:val="00373D16"/>
    <w:rsid w:val="00374147"/>
    <w:rsid w:val="00374532"/>
    <w:rsid w:val="00374868"/>
    <w:rsid w:val="00374AD3"/>
    <w:rsid w:val="00374B63"/>
    <w:rsid w:val="00374C8D"/>
    <w:rsid w:val="00374DCE"/>
    <w:rsid w:val="00374DD0"/>
    <w:rsid w:val="00375578"/>
    <w:rsid w:val="003755A3"/>
    <w:rsid w:val="00375DC5"/>
    <w:rsid w:val="00375DF4"/>
    <w:rsid w:val="00376313"/>
    <w:rsid w:val="0037640F"/>
    <w:rsid w:val="003765EB"/>
    <w:rsid w:val="00376775"/>
    <w:rsid w:val="003769A9"/>
    <w:rsid w:val="00377732"/>
    <w:rsid w:val="00380318"/>
    <w:rsid w:val="00380623"/>
    <w:rsid w:val="00381194"/>
    <w:rsid w:val="00382593"/>
    <w:rsid w:val="00383004"/>
    <w:rsid w:val="003830CE"/>
    <w:rsid w:val="00383123"/>
    <w:rsid w:val="00384FEA"/>
    <w:rsid w:val="0038503A"/>
    <w:rsid w:val="003855FE"/>
    <w:rsid w:val="003859CB"/>
    <w:rsid w:val="003859DE"/>
    <w:rsid w:val="00385E2D"/>
    <w:rsid w:val="003867BD"/>
    <w:rsid w:val="003870C3"/>
    <w:rsid w:val="00387814"/>
    <w:rsid w:val="00390148"/>
    <w:rsid w:val="0039055D"/>
    <w:rsid w:val="00390A64"/>
    <w:rsid w:val="00390C7D"/>
    <w:rsid w:val="0039262E"/>
    <w:rsid w:val="00392C99"/>
    <w:rsid w:val="003934A2"/>
    <w:rsid w:val="003937F3"/>
    <w:rsid w:val="00393B1E"/>
    <w:rsid w:val="00394CC8"/>
    <w:rsid w:val="003954C6"/>
    <w:rsid w:val="00395AC8"/>
    <w:rsid w:val="00395F0A"/>
    <w:rsid w:val="00395F3E"/>
    <w:rsid w:val="003A0123"/>
    <w:rsid w:val="003A02A1"/>
    <w:rsid w:val="003A0F0B"/>
    <w:rsid w:val="003A0F43"/>
    <w:rsid w:val="003A1064"/>
    <w:rsid w:val="003A15D6"/>
    <w:rsid w:val="003A1E04"/>
    <w:rsid w:val="003A2B67"/>
    <w:rsid w:val="003A2BF3"/>
    <w:rsid w:val="003A30EF"/>
    <w:rsid w:val="003A3B6F"/>
    <w:rsid w:val="003A3DA6"/>
    <w:rsid w:val="003A4B37"/>
    <w:rsid w:val="003A5145"/>
    <w:rsid w:val="003A5291"/>
    <w:rsid w:val="003A5ABF"/>
    <w:rsid w:val="003A5CB3"/>
    <w:rsid w:val="003A5E80"/>
    <w:rsid w:val="003A5FF0"/>
    <w:rsid w:val="003A6376"/>
    <w:rsid w:val="003A6CCE"/>
    <w:rsid w:val="003A7D1B"/>
    <w:rsid w:val="003B06A0"/>
    <w:rsid w:val="003B137F"/>
    <w:rsid w:val="003B164F"/>
    <w:rsid w:val="003B17C9"/>
    <w:rsid w:val="003B2445"/>
    <w:rsid w:val="003B3735"/>
    <w:rsid w:val="003B41F1"/>
    <w:rsid w:val="003B5393"/>
    <w:rsid w:val="003B6185"/>
    <w:rsid w:val="003B67E1"/>
    <w:rsid w:val="003B68CB"/>
    <w:rsid w:val="003B6A5F"/>
    <w:rsid w:val="003B6FB7"/>
    <w:rsid w:val="003B75C4"/>
    <w:rsid w:val="003B7E9A"/>
    <w:rsid w:val="003B7EA6"/>
    <w:rsid w:val="003B7F05"/>
    <w:rsid w:val="003C00B8"/>
    <w:rsid w:val="003C124F"/>
    <w:rsid w:val="003C1B5F"/>
    <w:rsid w:val="003C1BBE"/>
    <w:rsid w:val="003C1D3D"/>
    <w:rsid w:val="003C2B41"/>
    <w:rsid w:val="003C2D2E"/>
    <w:rsid w:val="003C3933"/>
    <w:rsid w:val="003C3A1E"/>
    <w:rsid w:val="003C3C65"/>
    <w:rsid w:val="003C505B"/>
    <w:rsid w:val="003C509E"/>
    <w:rsid w:val="003C52B0"/>
    <w:rsid w:val="003C5CB0"/>
    <w:rsid w:val="003C61BD"/>
    <w:rsid w:val="003C6B11"/>
    <w:rsid w:val="003C6F0F"/>
    <w:rsid w:val="003C71CF"/>
    <w:rsid w:val="003C789D"/>
    <w:rsid w:val="003C79E0"/>
    <w:rsid w:val="003C7D55"/>
    <w:rsid w:val="003D006F"/>
    <w:rsid w:val="003D09D7"/>
    <w:rsid w:val="003D0E67"/>
    <w:rsid w:val="003D0E89"/>
    <w:rsid w:val="003D13AE"/>
    <w:rsid w:val="003D1C0A"/>
    <w:rsid w:val="003D1D1D"/>
    <w:rsid w:val="003D2476"/>
    <w:rsid w:val="003D28CE"/>
    <w:rsid w:val="003D319F"/>
    <w:rsid w:val="003D4436"/>
    <w:rsid w:val="003D4A56"/>
    <w:rsid w:val="003D4A81"/>
    <w:rsid w:val="003D4FE1"/>
    <w:rsid w:val="003D5827"/>
    <w:rsid w:val="003D5D07"/>
    <w:rsid w:val="003D5EA8"/>
    <w:rsid w:val="003D6552"/>
    <w:rsid w:val="003D6956"/>
    <w:rsid w:val="003D72EE"/>
    <w:rsid w:val="003D76B8"/>
    <w:rsid w:val="003D7860"/>
    <w:rsid w:val="003D7B2C"/>
    <w:rsid w:val="003D7D52"/>
    <w:rsid w:val="003D7E5C"/>
    <w:rsid w:val="003E1072"/>
    <w:rsid w:val="003E1282"/>
    <w:rsid w:val="003E1768"/>
    <w:rsid w:val="003E1917"/>
    <w:rsid w:val="003E1ACB"/>
    <w:rsid w:val="003E2515"/>
    <w:rsid w:val="003E2535"/>
    <w:rsid w:val="003E259A"/>
    <w:rsid w:val="003E3294"/>
    <w:rsid w:val="003E32E1"/>
    <w:rsid w:val="003E36ED"/>
    <w:rsid w:val="003E3751"/>
    <w:rsid w:val="003E4908"/>
    <w:rsid w:val="003E491E"/>
    <w:rsid w:val="003E4EB1"/>
    <w:rsid w:val="003E5211"/>
    <w:rsid w:val="003E551E"/>
    <w:rsid w:val="003E5535"/>
    <w:rsid w:val="003E5686"/>
    <w:rsid w:val="003E56D2"/>
    <w:rsid w:val="003E5DA6"/>
    <w:rsid w:val="003E64D0"/>
    <w:rsid w:val="003E6ECF"/>
    <w:rsid w:val="003E711E"/>
    <w:rsid w:val="003E713B"/>
    <w:rsid w:val="003E75FD"/>
    <w:rsid w:val="003F0A14"/>
    <w:rsid w:val="003F1326"/>
    <w:rsid w:val="003F180D"/>
    <w:rsid w:val="003F1FA2"/>
    <w:rsid w:val="003F2852"/>
    <w:rsid w:val="003F2989"/>
    <w:rsid w:val="003F29B4"/>
    <w:rsid w:val="003F31D2"/>
    <w:rsid w:val="003F3716"/>
    <w:rsid w:val="003F377B"/>
    <w:rsid w:val="003F3DC0"/>
    <w:rsid w:val="003F434D"/>
    <w:rsid w:val="003F4845"/>
    <w:rsid w:val="003F4DBE"/>
    <w:rsid w:val="003F557E"/>
    <w:rsid w:val="003F5801"/>
    <w:rsid w:val="003F5CB3"/>
    <w:rsid w:val="003F637F"/>
    <w:rsid w:val="003F6C06"/>
    <w:rsid w:val="003F72BE"/>
    <w:rsid w:val="003F7CC5"/>
    <w:rsid w:val="00400594"/>
    <w:rsid w:val="00400D68"/>
    <w:rsid w:val="00400D6D"/>
    <w:rsid w:val="00400EBC"/>
    <w:rsid w:val="004011B6"/>
    <w:rsid w:val="00401A63"/>
    <w:rsid w:val="00403553"/>
    <w:rsid w:val="004038A6"/>
    <w:rsid w:val="00403939"/>
    <w:rsid w:val="0040484D"/>
    <w:rsid w:val="00404B4C"/>
    <w:rsid w:val="0040545E"/>
    <w:rsid w:val="00405D16"/>
    <w:rsid w:val="004067AD"/>
    <w:rsid w:val="00407E41"/>
    <w:rsid w:val="00407EE0"/>
    <w:rsid w:val="00410533"/>
    <w:rsid w:val="00410B88"/>
    <w:rsid w:val="00410D0F"/>
    <w:rsid w:val="00411E77"/>
    <w:rsid w:val="0041293E"/>
    <w:rsid w:val="00412B72"/>
    <w:rsid w:val="0041301B"/>
    <w:rsid w:val="00413082"/>
    <w:rsid w:val="0041308F"/>
    <w:rsid w:val="0041375B"/>
    <w:rsid w:val="00413FC8"/>
    <w:rsid w:val="0041431B"/>
    <w:rsid w:val="00414806"/>
    <w:rsid w:val="00414CEB"/>
    <w:rsid w:val="00414D3A"/>
    <w:rsid w:val="00415117"/>
    <w:rsid w:val="004153D7"/>
    <w:rsid w:val="0041556D"/>
    <w:rsid w:val="00415601"/>
    <w:rsid w:val="00415AF9"/>
    <w:rsid w:val="00415C37"/>
    <w:rsid w:val="00415E51"/>
    <w:rsid w:val="00416F5B"/>
    <w:rsid w:val="00417828"/>
    <w:rsid w:val="00417C64"/>
    <w:rsid w:val="0042022A"/>
    <w:rsid w:val="00420EF5"/>
    <w:rsid w:val="00421244"/>
    <w:rsid w:val="00421725"/>
    <w:rsid w:val="004217EA"/>
    <w:rsid w:val="0042195D"/>
    <w:rsid w:val="00421C9A"/>
    <w:rsid w:val="00422034"/>
    <w:rsid w:val="004220B3"/>
    <w:rsid w:val="004224E1"/>
    <w:rsid w:val="004229AA"/>
    <w:rsid w:val="004230F9"/>
    <w:rsid w:val="004231B8"/>
    <w:rsid w:val="00423433"/>
    <w:rsid w:val="0042493D"/>
    <w:rsid w:val="00424B78"/>
    <w:rsid w:val="00424F0A"/>
    <w:rsid w:val="004254E4"/>
    <w:rsid w:val="00425528"/>
    <w:rsid w:val="004258BF"/>
    <w:rsid w:val="00425FC2"/>
    <w:rsid w:val="0042621E"/>
    <w:rsid w:val="004264D1"/>
    <w:rsid w:val="00426580"/>
    <w:rsid w:val="00426AC4"/>
    <w:rsid w:val="00426C53"/>
    <w:rsid w:val="004279AA"/>
    <w:rsid w:val="00430513"/>
    <w:rsid w:val="00430B65"/>
    <w:rsid w:val="00430DDF"/>
    <w:rsid w:val="00433538"/>
    <w:rsid w:val="004335E8"/>
    <w:rsid w:val="00433A62"/>
    <w:rsid w:val="00433C0E"/>
    <w:rsid w:val="00434543"/>
    <w:rsid w:val="00434ABA"/>
    <w:rsid w:val="00434BC2"/>
    <w:rsid w:val="00434E5F"/>
    <w:rsid w:val="00435F23"/>
    <w:rsid w:val="004363CD"/>
    <w:rsid w:val="00436735"/>
    <w:rsid w:val="00436A3E"/>
    <w:rsid w:val="00436AD9"/>
    <w:rsid w:val="004376AB"/>
    <w:rsid w:val="00437A54"/>
    <w:rsid w:val="00437A71"/>
    <w:rsid w:val="00440B4D"/>
    <w:rsid w:val="00440D78"/>
    <w:rsid w:val="00441A2A"/>
    <w:rsid w:val="004420F6"/>
    <w:rsid w:val="004421D1"/>
    <w:rsid w:val="00442363"/>
    <w:rsid w:val="004423C2"/>
    <w:rsid w:val="00442853"/>
    <w:rsid w:val="0044359A"/>
    <w:rsid w:val="00443A0B"/>
    <w:rsid w:val="00443C28"/>
    <w:rsid w:val="00443D53"/>
    <w:rsid w:val="00443F58"/>
    <w:rsid w:val="00444272"/>
    <w:rsid w:val="00444620"/>
    <w:rsid w:val="00444F28"/>
    <w:rsid w:val="00444F65"/>
    <w:rsid w:val="00445B0F"/>
    <w:rsid w:val="00446720"/>
    <w:rsid w:val="00447547"/>
    <w:rsid w:val="004476C6"/>
    <w:rsid w:val="00447783"/>
    <w:rsid w:val="00447A40"/>
    <w:rsid w:val="00450B7D"/>
    <w:rsid w:val="00450F77"/>
    <w:rsid w:val="00451254"/>
    <w:rsid w:val="0045130C"/>
    <w:rsid w:val="00451418"/>
    <w:rsid w:val="0045187A"/>
    <w:rsid w:val="004519B0"/>
    <w:rsid w:val="00451AE7"/>
    <w:rsid w:val="00451F73"/>
    <w:rsid w:val="0045219B"/>
    <w:rsid w:val="00452BEB"/>
    <w:rsid w:val="0045300B"/>
    <w:rsid w:val="0045330B"/>
    <w:rsid w:val="0045350D"/>
    <w:rsid w:val="00453578"/>
    <w:rsid w:val="004539DC"/>
    <w:rsid w:val="00453A8E"/>
    <w:rsid w:val="00454A58"/>
    <w:rsid w:val="00454D8C"/>
    <w:rsid w:val="00455214"/>
    <w:rsid w:val="00456136"/>
    <w:rsid w:val="00456D5A"/>
    <w:rsid w:val="0045725B"/>
    <w:rsid w:val="004574D6"/>
    <w:rsid w:val="00460818"/>
    <w:rsid w:val="004608DF"/>
    <w:rsid w:val="0046133D"/>
    <w:rsid w:val="00461820"/>
    <w:rsid w:val="004623F0"/>
    <w:rsid w:val="00463342"/>
    <w:rsid w:val="00463577"/>
    <w:rsid w:val="004642BA"/>
    <w:rsid w:val="00464328"/>
    <w:rsid w:val="004647E2"/>
    <w:rsid w:val="0046495E"/>
    <w:rsid w:val="00465CAC"/>
    <w:rsid w:val="00465F68"/>
    <w:rsid w:val="00465F92"/>
    <w:rsid w:val="00466DCC"/>
    <w:rsid w:val="004673AA"/>
    <w:rsid w:val="004674EB"/>
    <w:rsid w:val="00467EF8"/>
    <w:rsid w:val="004702FC"/>
    <w:rsid w:val="004709E2"/>
    <w:rsid w:val="00471931"/>
    <w:rsid w:val="00472678"/>
    <w:rsid w:val="00472C9B"/>
    <w:rsid w:val="004730B3"/>
    <w:rsid w:val="00473A5E"/>
    <w:rsid w:val="00473DBF"/>
    <w:rsid w:val="0047409A"/>
    <w:rsid w:val="0047471E"/>
    <w:rsid w:val="00474A6C"/>
    <w:rsid w:val="004750AF"/>
    <w:rsid w:val="00475595"/>
    <w:rsid w:val="004758A9"/>
    <w:rsid w:val="00475B7F"/>
    <w:rsid w:val="00475ED2"/>
    <w:rsid w:val="00476085"/>
    <w:rsid w:val="00476273"/>
    <w:rsid w:val="00477399"/>
    <w:rsid w:val="00477A04"/>
    <w:rsid w:val="00477E74"/>
    <w:rsid w:val="00477FE1"/>
    <w:rsid w:val="00480068"/>
    <w:rsid w:val="0048020B"/>
    <w:rsid w:val="004802DE"/>
    <w:rsid w:val="00481061"/>
    <w:rsid w:val="004813DC"/>
    <w:rsid w:val="004814F3"/>
    <w:rsid w:val="00481EA8"/>
    <w:rsid w:val="0048204F"/>
    <w:rsid w:val="004836BB"/>
    <w:rsid w:val="004837E1"/>
    <w:rsid w:val="00483A65"/>
    <w:rsid w:val="00483C13"/>
    <w:rsid w:val="004840C9"/>
    <w:rsid w:val="004844D3"/>
    <w:rsid w:val="00484EF4"/>
    <w:rsid w:val="00485208"/>
    <w:rsid w:val="00485331"/>
    <w:rsid w:val="00485538"/>
    <w:rsid w:val="00485E21"/>
    <w:rsid w:val="00485E68"/>
    <w:rsid w:val="00486353"/>
    <w:rsid w:val="0048643B"/>
    <w:rsid w:val="004864DA"/>
    <w:rsid w:val="00486684"/>
    <w:rsid w:val="00487171"/>
    <w:rsid w:val="0048724C"/>
    <w:rsid w:val="004872BC"/>
    <w:rsid w:val="004874A4"/>
    <w:rsid w:val="004874BE"/>
    <w:rsid w:val="004913AD"/>
    <w:rsid w:val="00491F23"/>
    <w:rsid w:val="0049223B"/>
    <w:rsid w:val="00492C97"/>
    <w:rsid w:val="00493209"/>
    <w:rsid w:val="00494355"/>
    <w:rsid w:val="0049442F"/>
    <w:rsid w:val="00494945"/>
    <w:rsid w:val="00495254"/>
    <w:rsid w:val="0049527E"/>
    <w:rsid w:val="00495396"/>
    <w:rsid w:val="004955D4"/>
    <w:rsid w:val="00495E07"/>
    <w:rsid w:val="004960B6"/>
    <w:rsid w:val="00496462"/>
    <w:rsid w:val="00496683"/>
    <w:rsid w:val="00497289"/>
    <w:rsid w:val="00497D63"/>
    <w:rsid w:val="00497F70"/>
    <w:rsid w:val="004A018C"/>
    <w:rsid w:val="004A03BD"/>
    <w:rsid w:val="004A03E5"/>
    <w:rsid w:val="004A055F"/>
    <w:rsid w:val="004A1AB4"/>
    <w:rsid w:val="004A2047"/>
    <w:rsid w:val="004A2CF9"/>
    <w:rsid w:val="004A3078"/>
    <w:rsid w:val="004A3326"/>
    <w:rsid w:val="004A4B9D"/>
    <w:rsid w:val="004A503D"/>
    <w:rsid w:val="004A5408"/>
    <w:rsid w:val="004A579F"/>
    <w:rsid w:val="004A7EA4"/>
    <w:rsid w:val="004B0052"/>
    <w:rsid w:val="004B141F"/>
    <w:rsid w:val="004B1B93"/>
    <w:rsid w:val="004B26E6"/>
    <w:rsid w:val="004B2BB2"/>
    <w:rsid w:val="004B3023"/>
    <w:rsid w:val="004B3363"/>
    <w:rsid w:val="004B374A"/>
    <w:rsid w:val="004B3E0E"/>
    <w:rsid w:val="004B4148"/>
    <w:rsid w:val="004B41D9"/>
    <w:rsid w:val="004B4498"/>
    <w:rsid w:val="004B48CA"/>
    <w:rsid w:val="004B4A8D"/>
    <w:rsid w:val="004B51BC"/>
    <w:rsid w:val="004B51FD"/>
    <w:rsid w:val="004B59CC"/>
    <w:rsid w:val="004B64C3"/>
    <w:rsid w:val="004B65A4"/>
    <w:rsid w:val="004B7631"/>
    <w:rsid w:val="004C05FE"/>
    <w:rsid w:val="004C0919"/>
    <w:rsid w:val="004C0E28"/>
    <w:rsid w:val="004C0E34"/>
    <w:rsid w:val="004C190E"/>
    <w:rsid w:val="004C193F"/>
    <w:rsid w:val="004C2317"/>
    <w:rsid w:val="004C2401"/>
    <w:rsid w:val="004C25DA"/>
    <w:rsid w:val="004C2ADB"/>
    <w:rsid w:val="004C43E8"/>
    <w:rsid w:val="004C456B"/>
    <w:rsid w:val="004C4680"/>
    <w:rsid w:val="004C4B25"/>
    <w:rsid w:val="004C4D5F"/>
    <w:rsid w:val="004C5A5F"/>
    <w:rsid w:val="004C608D"/>
    <w:rsid w:val="004C688D"/>
    <w:rsid w:val="004C6975"/>
    <w:rsid w:val="004C72EA"/>
    <w:rsid w:val="004C7C50"/>
    <w:rsid w:val="004D11E6"/>
    <w:rsid w:val="004D12E2"/>
    <w:rsid w:val="004D23D4"/>
    <w:rsid w:val="004D351D"/>
    <w:rsid w:val="004D35E8"/>
    <w:rsid w:val="004D3F68"/>
    <w:rsid w:val="004D3F6C"/>
    <w:rsid w:val="004D4796"/>
    <w:rsid w:val="004D4AD1"/>
    <w:rsid w:val="004D4ED2"/>
    <w:rsid w:val="004D521F"/>
    <w:rsid w:val="004D5481"/>
    <w:rsid w:val="004D5889"/>
    <w:rsid w:val="004D5B2C"/>
    <w:rsid w:val="004D614C"/>
    <w:rsid w:val="004D625F"/>
    <w:rsid w:val="004D6AC3"/>
    <w:rsid w:val="004D71C8"/>
    <w:rsid w:val="004E0B25"/>
    <w:rsid w:val="004E164B"/>
    <w:rsid w:val="004E1DAE"/>
    <w:rsid w:val="004E25A6"/>
    <w:rsid w:val="004E2CF2"/>
    <w:rsid w:val="004E42D2"/>
    <w:rsid w:val="004E45E0"/>
    <w:rsid w:val="004E475C"/>
    <w:rsid w:val="004E4A97"/>
    <w:rsid w:val="004E4F04"/>
    <w:rsid w:val="004E67E3"/>
    <w:rsid w:val="004E680F"/>
    <w:rsid w:val="004E6DF1"/>
    <w:rsid w:val="004E70B5"/>
    <w:rsid w:val="004E767C"/>
    <w:rsid w:val="004F0903"/>
    <w:rsid w:val="004F0B0E"/>
    <w:rsid w:val="004F0FAB"/>
    <w:rsid w:val="004F1256"/>
    <w:rsid w:val="004F1398"/>
    <w:rsid w:val="004F18AD"/>
    <w:rsid w:val="004F284A"/>
    <w:rsid w:val="004F2940"/>
    <w:rsid w:val="004F32AC"/>
    <w:rsid w:val="004F48EA"/>
    <w:rsid w:val="004F5759"/>
    <w:rsid w:val="004F6475"/>
    <w:rsid w:val="004F64F5"/>
    <w:rsid w:val="004F7405"/>
    <w:rsid w:val="004F7575"/>
    <w:rsid w:val="004F7E96"/>
    <w:rsid w:val="0050001C"/>
    <w:rsid w:val="00500570"/>
    <w:rsid w:val="00502171"/>
    <w:rsid w:val="00502E16"/>
    <w:rsid w:val="00503D86"/>
    <w:rsid w:val="00504307"/>
    <w:rsid w:val="005047DF"/>
    <w:rsid w:val="0050562B"/>
    <w:rsid w:val="0050733F"/>
    <w:rsid w:val="00507663"/>
    <w:rsid w:val="00507941"/>
    <w:rsid w:val="00507B20"/>
    <w:rsid w:val="005101C5"/>
    <w:rsid w:val="005107C6"/>
    <w:rsid w:val="00511F6F"/>
    <w:rsid w:val="00512435"/>
    <w:rsid w:val="00512885"/>
    <w:rsid w:val="00512E5F"/>
    <w:rsid w:val="005134F8"/>
    <w:rsid w:val="00513E14"/>
    <w:rsid w:val="00513E3F"/>
    <w:rsid w:val="005142A6"/>
    <w:rsid w:val="00514B0F"/>
    <w:rsid w:val="00514CAD"/>
    <w:rsid w:val="005154C1"/>
    <w:rsid w:val="00515AD5"/>
    <w:rsid w:val="005162AB"/>
    <w:rsid w:val="00516659"/>
    <w:rsid w:val="00517851"/>
    <w:rsid w:val="005179B5"/>
    <w:rsid w:val="00520035"/>
    <w:rsid w:val="005200CA"/>
    <w:rsid w:val="00520249"/>
    <w:rsid w:val="005206AB"/>
    <w:rsid w:val="0052074E"/>
    <w:rsid w:val="00521122"/>
    <w:rsid w:val="00521EAA"/>
    <w:rsid w:val="00522176"/>
    <w:rsid w:val="005225E3"/>
    <w:rsid w:val="00522C9F"/>
    <w:rsid w:val="0052351B"/>
    <w:rsid w:val="00524422"/>
    <w:rsid w:val="00524863"/>
    <w:rsid w:val="0052516F"/>
    <w:rsid w:val="005251A1"/>
    <w:rsid w:val="005251D8"/>
    <w:rsid w:val="00525501"/>
    <w:rsid w:val="0052600A"/>
    <w:rsid w:val="00526E51"/>
    <w:rsid w:val="00527233"/>
    <w:rsid w:val="00527501"/>
    <w:rsid w:val="00527572"/>
    <w:rsid w:val="0052793B"/>
    <w:rsid w:val="00527BC6"/>
    <w:rsid w:val="00531519"/>
    <w:rsid w:val="00531C81"/>
    <w:rsid w:val="00531DF0"/>
    <w:rsid w:val="00532E7C"/>
    <w:rsid w:val="00532FB4"/>
    <w:rsid w:val="005331FC"/>
    <w:rsid w:val="00533ECF"/>
    <w:rsid w:val="005346A5"/>
    <w:rsid w:val="0053547C"/>
    <w:rsid w:val="00535ED5"/>
    <w:rsid w:val="0053662B"/>
    <w:rsid w:val="0053672B"/>
    <w:rsid w:val="00536F6A"/>
    <w:rsid w:val="0053709E"/>
    <w:rsid w:val="00537C4A"/>
    <w:rsid w:val="0054035B"/>
    <w:rsid w:val="00541146"/>
    <w:rsid w:val="005415E5"/>
    <w:rsid w:val="00541CE1"/>
    <w:rsid w:val="00542814"/>
    <w:rsid w:val="00542B9E"/>
    <w:rsid w:val="00543AEE"/>
    <w:rsid w:val="00543FCB"/>
    <w:rsid w:val="005444A0"/>
    <w:rsid w:val="005450D2"/>
    <w:rsid w:val="00545567"/>
    <w:rsid w:val="005455EB"/>
    <w:rsid w:val="00545CC2"/>
    <w:rsid w:val="00546238"/>
    <w:rsid w:val="00547D3F"/>
    <w:rsid w:val="005502E2"/>
    <w:rsid w:val="00550456"/>
    <w:rsid w:val="00550CB8"/>
    <w:rsid w:val="00550F82"/>
    <w:rsid w:val="00552271"/>
    <w:rsid w:val="005522CD"/>
    <w:rsid w:val="005523A2"/>
    <w:rsid w:val="00552A11"/>
    <w:rsid w:val="00552FC9"/>
    <w:rsid w:val="00553696"/>
    <w:rsid w:val="005539EE"/>
    <w:rsid w:val="00553C60"/>
    <w:rsid w:val="00554719"/>
    <w:rsid w:val="00554E09"/>
    <w:rsid w:val="0055624E"/>
    <w:rsid w:val="00556481"/>
    <w:rsid w:val="00556E19"/>
    <w:rsid w:val="005570CA"/>
    <w:rsid w:val="005577D9"/>
    <w:rsid w:val="005578BE"/>
    <w:rsid w:val="00560E56"/>
    <w:rsid w:val="00561353"/>
    <w:rsid w:val="0056142E"/>
    <w:rsid w:val="00561DA8"/>
    <w:rsid w:val="005621DA"/>
    <w:rsid w:val="00562A48"/>
    <w:rsid w:val="00562CB2"/>
    <w:rsid w:val="00563207"/>
    <w:rsid w:val="00563B00"/>
    <w:rsid w:val="005640CC"/>
    <w:rsid w:val="005640F4"/>
    <w:rsid w:val="00564600"/>
    <w:rsid w:val="00564E0D"/>
    <w:rsid w:val="00564E9D"/>
    <w:rsid w:val="0056509F"/>
    <w:rsid w:val="005659C3"/>
    <w:rsid w:val="00566645"/>
    <w:rsid w:val="005667A6"/>
    <w:rsid w:val="00566989"/>
    <w:rsid w:val="00566A18"/>
    <w:rsid w:val="005676CD"/>
    <w:rsid w:val="00567984"/>
    <w:rsid w:val="00567EA5"/>
    <w:rsid w:val="00570494"/>
    <w:rsid w:val="005712EA"/>
    <w:rsid w:val="00571585"/>
    <w:rsid w:val="005715EA"/>
    <w:rsid w:val="00571D6D"/>
    <w:rsid w:val="00572393"/>
    <w:rsid w:val="00572703"/>
    <w:rsid w:val="005727C2"/>
    <w:rsid w:val="00572808"/>
    <w:rsid w:val="00572A5D"/>
    <w:rsid w:val="00572CC6"/>
    <w:rsid w:val="00572F12"/>
    <w:rsid w:val="00572F46"/>
    <w:rsid w:val="0057391A"/>
    <w:rsid w:val="00573AB7"/>
    <w:rsid w:val="00574174"/>
    <w:rsid w:val="00574296"/>
    <w:rsid w:val="00574A02"/>
    <w:rsid w:val="0057539E"/>
    <w:rsid w:val="00575F09"/>
    <w:rsid w:val="00576035"/>
    <w:rsid w:val="00576A54"/>
    <w:rsid w:val="00576E13"/>
    <w:rsid w:val="00577AFB"/>
    <w:rsid w:val="00577DC6"/>
    <w:rsid w:val="00580076"/>
    <w:rsid w:val="00580428"/>
    <w:rsid w:val="00581557"/>
    <w:rsid w:val="005816F4"/>
    <w:rsid w:val="00581963"/>
    <w:rsid w:val="00581BDF"/>
    <w:rsid w:val="0058225A"/>
    <w:rsid w:val="005827E8"/>
    <w:rsid w:val="00582CBE"/>
    <w:rsid w:val="00582F43"/>
    <w:rsid w:val="00583257"/>
    <w:rsid w:val="00583460"/>
    <w:rsid w:val="0058413A"/>
    <w:rsid w:val="00584685"/>
    <w:rsid w:val="00584761"/>
    <w:rsid w:val="00585174"/>
    <w:rsid w:val="005851BD"/>
    <w:rsid w:val="005857EC"/>
    <w:rsid w:val="00585D34"/>
    <w:rsid w:val="00585D43"/>
    <w:rsid w:val="00586ECE"/>
    <w:rsid w:val="0058755C"/>
    <w:rsid w:val="00587B48"/>
    <w:rsid w:val="0059038C"/>
    <w:rsid w:val="00590C84"/>
    <w:rsid w:val="00590CCC"/>
    <w:rsid w:val="00591B47"/>
    <w:rsid w:val="005921E2"/>
    <w:rsid w:val="0059269D"/>
    <w:rsid w:val="005926A2"/>
    <w:rsid w:val="00593F16"/>
    <w:rsid w:val="005940CC"/>
    <w:rsid w:val="00594E87"/>
    <w:rsid w:val="00594EBE"/>
    <w:rsid w:val="005950E5"/>
    <w:rsid w:val="005960CD"/>
    <w:rsid w:val="00596559"/>
    <w:rsid w:val="00597309"/>
    <w:rsid w:val="00597397"/>
    <w:rsid w:val="00597A76"/>
    <w:rsid w:val="005A06D6"/>
    <w:rsid w:val="005A0854"/>
    <w:rsid w:val="005A0A7D"/>
    <w:rsid w:val="005A1772"/>
    <w:rsid w:val="005A2422"/>
    <w:rsid w:val="005A2F9D"/>
    <w:rsid w:val="005A38E0"/>
    <w:rsid w:val="005A4263"/>
    <w:rsid w:val="005A43F5"/>
    <w:rsid w:val="005A44BE"/>
    <w:rsid w:val="005A4B29"/>
    <w:rsid w:val="005A4CD3"/>
    <w:rsid w:val="005A6776"/>
    <w:rsid w:val="005A6C69"/>
    <w:rsid w:val="005A6F7C"/>
    <w:rsid w:val="005A6FF3"/>
    <w:rsid w:val="005A7710"/>
    <w:rsid w:val="005B03E8"/>
    <w:rsid w:val="005B05BB"/>
    <w:rsid w:val="005B075D"/>
    <w:rsid w:val="005B0762"/>
    <w:rsid w:val="005B0766"/>
    <w:rsid w:val="005B0D4F"/>
    <w:rsid w:val="005B0ED9"/>
    <w:rsid w:val="005B132F"/>
    <w:rsid w:val="005B1393"/>
    <w:rsid w:val="005B15EB"/>
    <w:rsid w:val="005B1615"/>
    <w:rsid w:val="005B18B2"/>
    <w:rsid w:val="005B3343"/>
    <w:rsid w:val="005B3853"/>
    <w:rsid w:val="005B38E7"/>
    <w:rsid w:val="005B3972"/>
    <w:rsid w:val="005B40A6"/>
    <w:rsid w:val="005B4DC7"/>
    <w:rsid w:val="005B4FA0"/>
    <w:rsid w:val="005B5349"/>
    <w:rsid w:val="005B54B4"/>
    <w:rsid w:val="005B592C"/>
    <w:rsid w:val="005B5992"/>
    <w:rsid w:val="005B63CB"/>
    <w:rsid w:val="005B7403"/>
    <w:rsid w:val="005C0180"/>
    <w:rsid w:val="005C01B7"/>
    <w:rsid w:val="005C0F2B"/>
    <w:rsid w:val="005C1DF7"/>
    <w:rsid w:val="005C2020"/>
    <w:rsid w:val="005C21D9"/>
    <w:rsid w:val="005C317F"/>
    <w:rsid w:val="005C3443"/>
    <w:rsid w:val="005C37A1"/>
    <w:rsid w:val="005C3994"/>
    <w:rsid w:val="005C3F5A"/>
    <w:rsid w:val="005C3FE3"/>
    <w:rsid w:val="005C4672"/>
    <w:rsid w:val="005C4682"/>
    <w:rsid w:val="005C5139"/>
    <w:rsid w:val="005C5C3F"/>
    <w:rsid w:val="005C5CBB"/>
    <w:rsid w:val="005C5F4A"/>
    <w:rsid w:val="005C6277"/>
    <w:rsid w:val="005C7BDA"/>
    <w:rsid w:val="005D0803"/>
    <w:rsid w:val="005D210F"/>
    <w:rsid w:val="005D252D"/>
    <w:rsid w:val="005D25C2"/>
    <w:rsid w:val="005D2797"/>
    <w:rsid w:val="005D2A79"/>
    <w:rsid w:val="005D3004"/>
    <w:rsid w:val="005D37EF"/>
    <w:rsid w:val="005D3C50"/>
    <w:rsid w:val="005D3D39"/>
    <w:rsid w:val="005D502D"/>
    <w:rsid w:val="005D58E1"/>
    <w:rsid w:val="005D6002"/>
    <w:rsid w:val="005D60C9"/>
    <w:rsid w:val="005D61A7"/>
    <w:rsid w:val="005D630F"/>
    <w:rsid w:val="005D68D3"/>
    <w:rsid w:val="005D72DB"/>
    <w:rsid w:val="005D74C4"/>
    <w:rsid w:val="005D787E"/>
    <w:rsid w:val="005D7C39"/>
    <w:rsid w:val="005D7D0C"/>
    <w:rsid w:val="005E01E9"/>
    <w:rsid w:val="005E090D"/>
    <w:rsid w:val="005E09FC"/>
    <w:rsid w:val="005E0D7E"/>
    <w:rsid w:val="005E0DD6"/>
    <w:rsid w:val="005E127A"/>
    <w:rsid w:val="005E13DF"/>
    <w:rsid w:val="005E2A00"/>
    <w:rsid w:val="005E387D"/>
    <w:rsid w:val="005E3B75"/>
    <w:rsid w:val="005E3D15"/>
    <w:rsid w:val="005E3F64"/>
    <w:rsid w:val="005E41FB"/>
    <w:rsid w:val="005E4C55"/>
    <w:rsid w:val="005E4C65"/>
    <w:rsid w:val="005E5C09"/>
    <w:rsid w:val="005E618E"/>
    <w:rsid w:val="005F0CE5"/>
    <w:rsid w:val="005F0E5B"/>
    <w:rsid w:val="005F1279"/>
    <w:rsid w:val="005F23B9"/>
    <w:rsid w:val="005F2946"/>
    <w:rsid w:val="005F2EFE"/>
    <w:rsid w:val="005F3198"/>
    <w:rsid w:val="005F34C6"/>
    <w:rsid w:val="005F42FD"/>
    <w:rsid w:val="005F4318"/>
    <w:rsid w:val="005F45A7"/>
    <w:rsid w:val="005F4D4D"/>
    <w:rsid w:val="005F4D76"/>
    <w:rsid w:val="005F4F8E"/>
    <w:rsid w:val="005F5104"/>
    <w:rsid w:val="005F54A4"/>
    <w:rsid w:val="005F5C73"/>
    <w:rsid w:val="005F5E9E"/>
    <w:rsid w:val="005F6C07"/>
    <w:rsid w:val="005F6FFC"/>
    <w:rsid w:val="005F70BE"/>
    <w:rsid w:val="005F71D1"/>
    <w:rsid w:val="005F76BA"/>
    <w:rsid w:val="00600137"/>
    <w:rsid w:val="0060035F"/>
    <w:rsid w:val="006009DF"/>
    <w:rsid w:val="00600D6A"/>
    <w:rsid w:val="00601386"/>
    <w:rsid w:val="00601967"/>
    <w:rsid w:val="00601D98"/>
    <w:rsid w:val="00602BE8"/>
    <w:rsid w:val="00602D4E"/>
    <w:rsid w:val="00604B48"/>
    <w:rsid w:val="00604CA3"/>
    <w:rsid w:val="00604CC1"/>
    <w:rsid w:val="00605965"/>
    <w:rsid w:val="00605A3F"/>
    <w:rsid w:val="00605D75"/>
    <w:rsid w:val="00606FCC"/>
    <w:rsid w:val="00607205"/>
    <w:rsid w:val="00607395"/>
    <w:rsid w:val="00607439"/>
    <w:rsid w:val="006074E4"/>
    <w:rsid w:val="00607668"/>
    <w:rsid w:val="006077BC"/>
    <w:rsid w:val="00607BD7"/>
    <w:rsid w:val="00607D6A"/>
    <w:rsid w:val="00607D92"/>
    <w:rsid w:val="00610768"/>
    <w:rsid w:val="00610BCD"/>
    <w:rsid w:val="00610EFF"/>
    <w:rsid w:val="006112D1"/>
    <w:rsid w:val="006112FA"/>
    <w:rsid w:val="00611A5F"/>
    <w:rsid w:val="00611C88"/>
    <w:rsid w:val="00612A0C"/>
    <w:rsid w:val="00612E2A"/>
    <w:rsid w:val="00612FE6"/>
    <w:rsid w:val="0061394C"/>
    <w:rsid w:val="0061404D"/>
    <w:rsid w:val="006142CA"/>
    <w:rsid w:val="00614ECE"/>
    <w:rsid w:val="00614EEC"/>
    <w:rsid w:val="006153F3"/>
    <w:rsid w:val="00615F83"/>
    <w:rsid w:val="006177F8"/>
    <w:rsid w:val="00620205"/>
    <w:rsid w:val="006209CA"/>
    <w:rsid w:val="00621DDC"/>
    <w:rsid w:val="00621F2F"/>
    <w:rsid w:val="00622D42"/>
    <w:rsid w:val="00622DE7"/>
    <w:rsid w:val="00622E1F"/>
    <w:rsid w:val="00622F38"/>
    <w:rsid w:val="00622F63"/>
    <w:rsid w:val="00623402"/>
    <w:rsid w:val="00623944"/>
    <w:rsid w:val="00623F4A"/>
    <w:rsid w:val="00624724"/>
    <w:rsid w:val="00624B34"/>
    <w:rsid w:val="00624FE5"/>
    <w:rsid w:val="00625B93"/>
    <w:rsid w:val="00626AD6"/>
    <w:rsid w:val="0062774C"/>
    <w:rsid w:val="00627928"/>
    <w:rsid w:val="006300A9"/>
    <w:rsid w:val="006303B1"/>
    <w:rsid w:val="006308E9"/>
    <w:rsid w:val="00630C54"/>
    <w:rsid w:val="0063137E"/>
    <w:rsid w:val="00631465"/>
    <w:rsid w:val="00631D8F"/>
    <w:rsid w:val="0063202F"/>
    <w:rsid w:val="00632A9F"/>
    <w:rsid w:val="00632E5B"/>
    <w:rsid w:val="00632FEE"/>
    <w:rsid w:val="00633563"/>
    <w:rsid w:val="006335EC"/>
    <w:rsid w:val="006337A2"/>
    <w:rsid w:val="00634DC8"/>
    <w:rsid w:val="00634DEE"/>
    <w:rsid w:val="00636076"/>
    <w:rsid w:val="00636271"/>
    <w:rsid w:val="0063686E"/>
    <w:rsid w:val="00636C3D"/>
    <w:rsid w:val="00637243"/>
    <w:rsid w:val="006373BC"/>
    <w:rsid w:val="006374B3"/>
    <w:rsid w:val="00637CB3"/>
    <w:rsid w:val="00637FEB"/>
    <w:rsid w:val="0064025D"/>
    <w:rsid w:val="00640369"/>
    <w:rsid w:val="00640647"/>
    <w:rsid w:val="00640E17"/>
    <w:rsid w:val="00640F5B"/>
    <w:rsid w:val="0064126A"/>
    <w:rsid w:val="006428FD"/>
    <w:rsid w:val="00642E13"/>
    <w:rsid w:val="006439D9"/>
    <w:rsid w:val="00643C5A"/>
    <w:rsid w:val="00644015"/>
    <w:rsid w:val="00645F71"/>
    <w:rsid w:val="006462E4"/>
    <w:rsid w:val="0064709F"/>
    <w:rsid w:val="006472E1"/>
    <w:rsid w:val="00647873"/>
    <w:rsid w:val="00647E3F"/>
    <w:rsid w:val="006502FA"/>
    <w:rsid w:val="0065045F"/>
    <w:rsid w:val="00651E24"/>
    <w:rsid w:val="00651FE5"/>
    <w:rsid w:val="006521B4"/>
    <w:rsid w:val="00652432"/>
    <w:rsid w:val="0065289D"/>
    <w:rsid w:val="00652C14"/>
    <w:rsid w:val="00653381"/>
    <w:rsid w:val="00653644"/>
    <w:rsid w:val="00653D61"/>
    <w:rsid w:val="00653D8D"/>
    <w:rsid w:val="00654103"/>
    <w:rsid w:val="006543F6"/>
    <w:rsid w:val="00655A79"/>
    <w:rsid w:val="006570D0"/>
    <w:rsid w:val="00660E1C"/>
    <w:rsid w:val="00660F88"/>
    <w:rsid w:val="006614B9"/>
    <w:rsid w:val="00661B00"/>
    <w:rsid w:val="006623E6"/>
    <w:rsid w:val="006625BA"/>
    <w:rsid w:val="00662BC9"/>
    <w:rsid w:val="0066311F"/>
    <w:rsid w:val="0066322A"/>
    <w:rsid w:val="0066339C"/>
    <w:rsid w:val="00663640"/>
    <w:rsid w:val="006639B9"/>
    <w:rsid w:val="00664250"/>
    <w:rsid w:val="00664696"/>
    <w:rsid w:val="00664898"/>
    <w:rsid w:val="0066499B"/>
    <w:rsid w:val="00665B12"/>
    <w:rsid w:val="00666315"/>
    <w:rsid w:val="00666695"/>
    <w:rsid w:val="00666A61"/>
    <w:rsid w:val="00666DB0"/>
    <w:rsid w:val="00667668"/>
    <w:rsid w:val="0066793B"/>
    <w:rsid w:val="00667B22"/>
    <w:rsid w:val="006708F0"/>
    <w:rsid w:val="0067091E"/>
    <w:rsid w:val="006710C1"/>
    <w:rsid w:val="006717EA"/>
    <w:rsid w:val="006722BF"/>
    <w:rsid w:val="00672981"/>
    <w:rsid w:val="006729B2"/>
    <w:rsid w:val="0067304E"/>
    <w:rsid w:val="00673776"/>
    <w:rsid w:val="006739F7"/>
    <w:rsid w:val="00673A44"/>
    <w:rsid w:val="00673C9C"/>
    <w:rsid w:val="00673E33"/>
    <w:rsid w:val="006745E5"/>
    <w:rsid w:val="006749BC"/>
    <w:rsid w:val="00674A20"/>
    <w:rsid w:val="00674E81"/>
    <w:rsid w:val="00675508"/>
    <w:rsid w:val="00676E4A"/>
    <w:rsid w:val="00677775"/>
    <w:rsid w:val="00677A0E"/>
    <w:rsid w:val="00677A26"/>
    <w:rsid w:val="0068006F"/>
    <w:rsid w:val="00681181"/>
    <w:rsid w:val="006816E6"/>
    <w:rsid w:val="0068173F"/>
    <w:rsid w:val="00681B0B"/>
    <w:rsid w:val="00682099"/>
    <w:rsid w:val="00682173"/>
    <w:rsid w:val="006825FB"/>
    <w:rsid w:val="006826F2"/>
    <w:rsid w:val="00682903"/>
    <w:rsid w:val="00682FD5"/>
    <w:rsid w:val="006830BB"/>
    <w:rsid w:val="006832C0"/>
    <w:rsid w:val="006833AC"/>
    <w:rsid w:val="0068349C"/>
    <w:rsid w:val="006838DA"/>
    <w:rsid w:val="00683B94"/>
    <w:rsid w:val="0068457C"/>
    <w:rsid w:val="006849ED"/>
    <w:rsid w:val="00684C13"/>
    <w:rsid w:val="00684EBB"/>
    <w:rsid w:val="00685A22"/>
    <w:rsid w:val="00685D85"/>
    <w:rsid w:val="00686096"/>
    <w:rsid w:val="00686102"/>
    <w:rsid w:val="00686178"/>
    <w:rsid w:val="006862DA"/>
    <w:rsid w:val="00686648"/>
    <w:rsid w:val="006868CE"/>
    <w:rsid w:val="00686B97"/>
    <w:rsid w:val="00687333"/>
    <w:rsid w:val="00687A01"/>
    <w:rsid w:val="00690602"/>
    <w:rsid w:val="0069064E"/>
    <w:rsid w:val="0069105F"/>
    <w:rsid w:val="0069284C"/>
    <w:rsid w:val="00692E4B"/>
    <w:rsid w:val="00693020"/>
    <w:rsid w:val="0069376A"/>
    <w:rsid w:val="00693B89"/>
    <w:rsid w:val="00694982"/>
    <w:rsid w:val="00694A6C"/>
    <w:rsid w:val="00694B12"/>
    <w:rsid w:val="00694F3D"/>
    <w:rsid w:val="006950DD"/>
    <w:rsid w:val="006952BA"/>
    <w:rsid w:val="006953E0"/>
    <w:rsid w:val="00695C5F"/>
    <w:rsid w:val="00695FB8"/>
    <w:rsid w:val="0069611F"/>
    <w:rsid w:val="006975AE"/>
    <w:rsid w:val="0069770B"/>
    <w:rsid w:val="00697AC0"/>
    <w:rsid w:val="006A0464"/>
    <w:rsid w:val="006A0FA3"/>
    <w:rsid w:val="006A18B6"/>
    <w:rsid w:val="006A1EDC"/>
    <w:rsid w:val="006A2E07"/>
    <w:rsid w:val="006A311E"/>
    <w:rsid w:val="006A317C"/>
    <w:rsid w:val="006A37D6"/>
    <w:rsid w:val="006A38DE"/>
    <w:rsid w:val="006A3AFD"/>
    <w:rsid w:val="006A4342"/>
    <w:rsid w:val="006A54DB"/>
    <w:rsid w:val="006A5B0F"/>
    <w:rsid w:val="006A5D7F"/>
    <w:rsid w:val="006A5ED6"/>
    <w:rsid w:val="006A5FF3"/>
    <w:rsid w:val="006A659A"/>
    <w:rsid w:val="006A6A1D"/>
    <w:rsid w:val="006A6EB0"/>
    <w:rsid w:val="006A78A9"/>
    <w:rsid w:val="006A7A4C"/>
    <w:rsid w:val="006A7F3D"/>
    <w:rsid w:val="006B08F1"/>
    <w:rsid w:val="006B0DF7"/>
    <w:rsid w:val="006B144A"/>
    <w:rsid w:val="006B19D2"/>
    <w:rsid w:val="006B20EE"/>
    <w:rsid w:val="006B25CB"/>
    <w:rsid w:val="006B3409"/>
    <w:rsid w:val="006B3F8C"/>
    <w:rsid w:val="006B41EE"/>
    <w:rsid w:val="006B4280"/>
    <w:rsid w:val="006B4826"/>
    <w:rsid w:val="006B4CEA"/>
    <w:rsid w:val="006B53DF"/>
    <w:rsid w:val="006B5B8D"/>
    <w:rsid w:val="006B680B"/>
    <w:rsid w:val="006B688E"/>
    <w:rsid w:val="006B760D"/>
    <w:rsid w:val="006B7B54"/>
    <w:rsid w:val="006C06EA"/>
    <w:rsid w:val="006C0B18"/>
    <w:rsid w:val="006C0F60"/>
    <w:rsid w:val="006C1419"/>
    <w:rsid w:val="006C1614"/>
    <w:rsid w:val="006C1848"/>
    <w:rsid w:val="006C18C8"/>
    <w:rsid w:val="006C1D8C"/>
    <w:rsid w:val="006C31C2"/>
    <w:rsid w:val="006C33D4"/>
    <w:rsid w:val="006C4848"/>
    <w:rsid w:val="006C51D5"/>
    <w:rsid w:val="006C586D"/>
    <w:rsid w:val="006C5B87"/>
    <w:rsid w:val="006C5E09"/>
    <w:rsid w:val="006C67AA"/>
    <w:rsid w:val="006C6C47"/>
    <w:rsid w:val="006C6FA2"/>
    <w:rsid w:val="006C7929"/>
    <w:rsid w:val="006D022E"/>
    <w:rsid w:val="006D1388"/>
    <w:rsid w:val="006D15B8"/>
    <w:rsid w:val="006D15C7"/>
    <w:rsid w:val="006D179C"/>
    <w:rsid w:val="006D1C22"/>
    <w:rsid w:val="006D1E49"/>
    <w:rsid w:val="006D206A"/>
    <w:rsid w:val="006D2553"/>
    <w:rsid w:val="006D3660"/>
    <w:rsid w:val="006D3C1D"/>
    <w:rsid w:val="006D4200"/>
    <w:rsid w:val="006D432E"/>
    <w:rsid w:val="006D44FC"/>
    <w:rsid w:val="006D5945"/>
    <w:rsid w:val="006D5B0E"/>
    <w:rsid w:val="006D5E97"/>
    <w:rsid w:val="006D6147"/>
    <w:rsid w:val="006D6C55"/>
    <w:rsid w:val="006D6DF9"/>
    <w:rsid w:val="006D6EF1"/>
    <w:rsid w:val="006D708E"/>
    <w:rsid w:val="006D720A"/>
    <w:rsid w:val="006D7BA5"/>
    <w:rsid w:val="006D7F68"/>
    <w:rsid w:val="006E0700"/>
    <w:rsid w:val="006E12D6"/>
    <w:rsid w:val="006E141E"/>
    <w:rsid w:val="006E18D9"/>
    <w:rsid w:val="006E1CF4"/>
    <w:rsid w:val="006E2852"/>
    <w:rsid w:val="006E286B"/>
    <w:rsid w:val="006E29F6"/>
    <w:rsid w:val="006E2EF8"/>
    <w:rsid w:val="006E3671"/>
    <w:rsid w:val="006E4894"/>
    <w:rsid w:val="006E6044"/>
    <w:rsid w:val="006E6201"/>
    <w:rsid w:val="006E63EA"/>
    <w:rsid w:val="006E6B53"/>
    <w:rsid w:val="006E7DAE"/>
    <w:rsid w:val="006E7E78"/>
    <w:rsid w:val="006F0AFA"/>
    <w:rsid w:val="006F1A26"/>
    <w:rsid w:val="006F1B52"/>
    <w:rsid w:val="006F27A6"/>
    <w:rsid w:val="006F2889"/>
    <w:rsid w:val="006F28DB"/>
    <w:rsid w:val="006F39A4"/>
    <w:rsid w:val="006F42DE"/>
    <w:rsid w:val="006F4A4B"/>
    <w:rsid w:val="006F59B2"/>
    <w:rsid w:val="006F6446"/>
    <w:rsid w:val="006F6666"/>
    <w:rsid w:val="006F7608"/>
    <w:rsid w:val="006F7F54"/>
    <w:rsid w:val="006F7FE5"/>
    <w:rsid w:val="00700123"/>
    <w:rsid w:val="007001F1"/>
    <w:rsid w:val="00700255"/>
    <w:rsid w:val="00700EAF"/>
    <w:rsid w:val="0070133C"/>
    <w:rsid w:val="0070157A"/>
    <w:rsid w:val="007022CB"/>
    <w:rsid w:val="00702921"/>
    <w:rsid w:val="0070296C"/>
    <w:rsid w:val="007041B0"/>
    <w:rsid w:val="00704B4E"/>
    <w:rsid w:val="00705B33"/>
    <w:rsid w:val="0070615E"/>
    <w:rsid w:val="00706B8D"/>
    <w:rsid w:val="00706C4B"/>
    <w:rsid w:val="007072D3"/>
    <w:rsid w:val="00707612"/>
    <w:rsid w:val="0071005D"/>
    <w:rsid w:val="007104F5"/>
    <w:rsid w:val="00710A58"/>
    <w:rsid w:val="00711119"/>
    <w:rsid w:val="007116AC"/>
    <w:rsid w:val="00711D73"/>
    <w:rsid w:val="007120A7"/>
    <w:rsid w:val="007124A2"/>
    <w:rsid w:val="007125CD"/>
    <w:rsid w:val="0071263B"/>
    <w:rsid w:val="00712DF1"/>
    <w:rsid w:val="0071310B"/>
    <w:rsid w:val="007133ED"/>
    <w:rsid w:val="00713502"/>
    <w:rsid w:val="00713651"/>
    <w:rsid w:val="00714090"/>
    <w:rsid w:val="007158AB"/>
    <w:rsid w:val="00715A75"/>
    <w:rsid w:val="00716627"/>
    <w:rsid w:val="00717288"/>
    <w:rsid w:val="00722D4C"/>
    <w:rsid w:val="00722E2A"/>
    <w:rsid w:val="007230D6"/>
    <w:rsid w:val="007233BE"/>
    <w:rsid w:val="00723E4B"/>
    <w:rsid w:val="0072411B"/>
    <w:rsid w:val="007244E0"/>
    <w:rsid w:val="00724553"/>
    <w:rsid w:val="00724626"/>
    <w:rsid w:val="007254BF"/>
    <w:rsid w:val="0072563F"/>
    <w:rsid w:val="00725D44"/>
    <w:rsid w:val="00725E78"/>
    <w:rsid w:val="007265C5"/>
    <w:rsid w:val="007273A6"/>
    <w:rsid w:val="00727840"/>
    <w:rsid w:val="00727A37"/>
    <w:rsid w:val="00727BD6"/>
    <w:rsid w:val="00731267"/>
    <w:rsid w:val="0073162D"/>
    <w:rsid w:val="00731BFF"/>
    <w:rsid w:val="007324B4"/>
    <w:rsid w:val="00732CFA"/>
    <w:rsid w:val="00732E2C"/>
    <w:rsid w:val="00733048"/>
    <w:rsid w:val="00733398"/>
    <w:rsid w:val="0073346A"/>
    <w:rsid w:val="00733F51"/>
    <w:rsid w:val="007343E2"/>
    <w:rsid w:val="00734468"/>
    <w:rsid w:val="00734832"/>
    <w:rsid w:val="00734838"/>
    <w:rsid w:val="00734A00"/>
    <w:rsid w:val="00735419"/>
    <w:rsid w:val="007354B3"/>
    <w:rsid w:val="00735C79"/>
    <w:rsid w:val="00735DAD"/>
    <w:rsid w:val="00735ECF"/>
    <w:rsid w:val="00736193"/>
    <w:rsid w:val="0073644D"/>
    <w:rsid w:val="007368A2"/>
    <w:rsid w:val="007368DC"/>
    <w:rsid w:val="00736AC8"/>
    <w:rsid w:val="00736DE9"/>
    <w:rsid w:val="007371F1"/>
    <w:rsid w:val="007377C5"/>
    <w:rsid w:val="00740D72"/>
    <w:rsid w:val="007410B3"/>
    <w:rsid w:val="00741421"/>
    <w:rsid w:val="00741AC1"/>
    <w:rsid w:val="00742439"/>
    <w:rsid w:val="00743A10"/>
    <w:rsid w:val="00744B2F"/>
    <w:rsid w:val="00744DB8"/>
    <w:rsid w:val="007454D6"/>
    <w:rsid w:val="007456B0"/>
    <w:rsid w:val="00746036"/>
    <w:rsid w:val="007465A9"/>
    <w:rsid w:val="00746764"/>
    <w:rsid w:val="0074743C"/>
    <w:rsid w:val="00747A45"/>
    <w:rsid w:val="007509C8"/>
    <w:rsid w:val="00750DAD"/>
    <w:rsid w:val="0075116F"/>
    <w:rsid w:val="00751AC3"/>
    <w:rsid w:val="00751C3B"/>
    <w:rsid w:val="00751F6C"/>
    <w:rsid w:val="00751FA0"/>
    <w:rsid w:val="00752A31"/>
    <w:rsid w:val="00752CE8"/>
    <w:rsid w:val="00753317"/>
    <w:rsid w:val="00753792"/>
    <w:rsid w:val="007541FC"/>
    <w:rsid w:val="007547E6"/>
    <w:rsid w:val="00754A0D"/>
    <w:rsid w:val="00754C72"/>
    <w:rsid w:val="007552C1"/>
    <w:rsid w:val="00755429"/>
    <w:rsid w:val="007557CC"/>
    <w:rsid w:val="00755BB1"/>
    <w:rsid w:val="007562E2"/>
    <w:rsid w:val="00756D07"/>
    <w:rsid w:val="007577C2"/>
    <w:rsid w:val="007605E2"/>
    <w:rsid w:val="00760A7D"/>
    <w:rsid w:val="00760C96"/>
    <w:rsid w:val="00761435"/>
    <w:rsid w:val="00761B58"/>
    <w:rsid w:val="0076201D"/>
    <w:rsid w:val="007622D6"/>
    <w:rsid w:val="007624C2"/>
    <w:rsid w:val="007626E9"/>
    <w:rsid w:val="007626FD"/>
    <w:rsid w:val="00762F2B"/>
    <w:rsid w:val="0076328E"/>
    <w:rsid w:val="007633AF"/>
    <w:rsid w:val="00763AB8"/>
    <w:rsid w:val="00763BF0"/>
    <w:rsid w:val="00764AF8"/>
    <w:rsid w:val="00764F9F"/>
    <w:rsid w:val="0076561E"/>
    <w:rsid w:val="007658EE"/>
    <w:rsid w:val="0076598F"/>
    <w:rsid w:val="00765A5A"/>
    <w:rsid w:val="0076608E"/>
    <w:rsid w:val="007661B0"/>
    <w:rsid w:val="0076627B"/>
    <w:rsid w:val="00766F6B"/>
    <w:rsid w:val="00767108"/>
    <w:rsid w:val="007709F5"/>
    <w:rsid w:val="00770A20"/>
    <w:rsid w:val="00770DEF"/>
    <w:rsid w:val="00770E5B"/>
    <w:rsid w:val="0077103D"/>
    <w:rsid w:val="0077133B"/>
    <w:rsid w:val="00771706"/>
    <w:rsid w:val="007720E2"/>
    <w:rsid w:val="00772209"/>
    <w:rsid w:val="007727F8"/>
    <w:rsid w:val="00772C87"/>
    <w:rsid w:val="007732BB"/>
    <w:rsid w:val="00773353"/>
    <w:rsid w:val="00775135"/>
    <w:rsid w:val="007764DF"/>
    <w:rsid w:val="00776B3B"/>
    <w:rsid w:val="00776D8E"/>
    <w:rsid w:val="00776EBB"/>
    <w:rsid w:val="0077719C"/>
    <w:rsid w:val="0078017A"/>
    <w:rsid w:val="0078076A"/>
    <w:rsid w:val="00780A45"/>
    <w:rsid w:val="007814F4"/>
    <w:rsid w:val="007814F8"/>
    <w:rsid w:val="00781F46"/>
    <w:rsid w:val="007823BC"/>
    <w:rsid w:val="0078296B"/>
    <w:rsid w:val="00782D50"/>
    <w:rsid w:val="00782EC9"/>
    <w:rsid w:val="007836D9"/>
    <w:rsid w:val="00783842"/>
    <w:rsid w:val="0078386A"/>
    <w:rsid w:val="00783BDE"/>
    <w:rsid w:val="00784231"/>
    <w:rsid w:val="0078447A"/>
    <w:rsid w:val="00784973"/>
    <w:rsid w:val="00784BF0"/>
    <w:rsid w:val="0078534F"/>
    <w:rsid w:val="00785A3C"/>
    <w:rsid w:val="00786115"/>
    <w:rsid w:val="0078674A"/>
    <w:rsid w:val="00787006"/>
    <w:rsid w:val="00787527"/>
    <w:rsid w:val="00787660"/>
    <w:rsid w:val="007876E3"/>
    <w:rsid w:val="00787B53"/>
    <w:rsid w:val="00787D3A"/>
    <w:rsid w:val="0079014E"/>
    <w:rsid w:val="00790D69"/>
    <w:rsid w:val="0079120D"/>
    <w:rsid w:val="00791CCB"/>
    <w:rsid w:val="00792714"/>
    <w:rsid w:val="007928AD"/>
    <w:rsid w:val="00792AA0"/>
    <w:rsid w:val="00793506"/>
    <w:rsid w:val="00794724"/>
    <w:rsid w:val="007953B6"/>
    <w:rsid w:val="007955A3"/>
    <w:rsid w:val="00796828"/>
    <w:rsid w:val="00797227"/>
    <w:rsid w:val="0079760F"/>
    <w:rsid w:val="00797BCE"/>
    <w:rsid w:val="007A0174"/>
    <w:rsid w:val="007A0AF7"/>
    <w:rsid w:val="007A0BB2"/>
    <w:rsid w:val="007A0F09"/>
    <w:rsid w:val="007A204C"/>
    <w:rsid w:val="007A2742"/>
    <w:rsid w:val="007A2AE7"/>
    <w:rsid w:val="007A32CC"/>
    <w:rsid w:val="007A34AF"/>
    <w:rsid w:val="007A46D2"/>
    <w:rsid w:val="007A4CA6"/>
    <w:rsid w:val="007A5131"/>
    <w:rsid w:val="007A59A9"/>
    <w:rsid w:val="007A65D6"/>
    <w:rsid w:val="007A70B0"/>
    <w:rsid w:val="007A70DE"/>
    <w:rsid w:val="007B0A60"/>
    <w:rsid w:val="007B0B1E"/>
    <w:rsid w:val="007B1CB0"/>
    <w:rsid w:val="007B1F9C"/>
    <w:rsid w:val="007B23E6"/>
    <w:rsid w:val="007B3006"/>
    <w:rsid w:val="007B3876"/>
    <w:rsid w:val="007B3CB4"/>
    <w:rsid w:val="007B3CD4"/>
    <w:rsid w:val="007B3FFF"/>
    <w:rsid w:val="007B4019"/>
    <w:rsid w:val="007B408A"/>
    <w:rsid w:val="007B4299"/>
    <w:rsid w:val="007B42CA"/>
    <w:rsid w:val="007B457C"/>
    <w:rsid w:val="007B4D2C"/>
    <w:rsid w:val="007B4E3A"/>
    <w:rsid w:val="007B4F83"/>
    <w:rsid w:val="007B5274"/>
    <w:rsid w:val="007B5F07"/>
    <w:rsid w:val="007B60AE"/>
    <w:rsid w:val="007B66A0"/>
    <w:rsid w:val="007B687C"/>
    <w:rsid w:val="007B6E4E"/>
    <w:rsid w:val="007B71E9"/>
    <w:rsid w:val="007B72C1"/>
    <w:rsid w:val="007B7774"/>
    <w:rsid w:val="007B7DBB"/>
    <w:rsid w:val="007C0895"/>
    <w:rsid w:val="007C0A8C"/>
    <w:rsid w:val="007C0E3B"/>
    <w:rsid w:val="007C14D6"/>
    <w:rsid w:val="007C1702"/>
    <w:rsid w:val="007C3447"/>
    <w:rsid w:val="007C3A7B"/>
    <w:rsid w:val="007C3BF7"/>
    <w:rsid w:val="007C413B"/>
    <w:rsid w:val="007C41D1"/>
    <w:rsid w:val="007C4497"/>
    <w:rsid w:val="007C48C3"/>
    <w:rsid w:val="007C48C7"/>
    <w:rsid w:val="007C4F0B"/>
    <w:rsid w:val="007C5043"/>
    <w:rsid w:val="007C54E4"/>
    <w:rsid w:val="007C5843"/>
    <w:rsid w:val="007C589E"/>
    <w:rsid w:val="007C5E4F"/>
    <w:rsid w:val="007C6977"/>
    <w:rsid w:val="007C69D6"/>
    <w:rsid w:val="007C77FA"/>
    <w:rsid w:val="007C7829"/>
    <w:rsid w:val="007C7980"/>
    <w:rsid w:val="007D030E"/>
    <w:rsid w:val="007D07EE"/>
    <w:rsid w:val="007D105A"/>
    <w:rsid w:val="007D1338"/>
    <w:rsid w:val="007D21EE"/>
    <w:rsid w:val="007D2CEB"/>
    <w:rsid w:val="007D2DA9"/>
    <w:rsid w:val="007D2FF3"/>
    <w:rsid w:val="007D3458"/>
    <w:rsid w:val="007D3591"/>
    <w:rsid w:val="007D386E"/>
    <w:rsid w:val="007D4798"/>
    <w:rsid w:val="007D5623"/>
    <w:rsid w:val="007D6683"/>
    <w:rsid w:val="007D6C8C"/>
    <w:rsid w:val="007D73FC"/>
    <w:rsid w:val="007D77C7"/>
    <w:rsid w:val="007D7C93"/>
    <w:rsid w:val="007E0337"/>
    <w:rsid w:val="007E037F"/>
    <w:rsid w:val="007E0CCD"/>
    <w:rsid w:val="007E1606"/>
    <w:rsid w:val="007E1B28"/>
    <w:rsid w:val="007E1D40"/>
    <w:rsid w:val="007E2559"/>
    <w:rsid w:val="007E2B19"/>
    <w:rsid w:val="007E3387"/>
    <w:rsid w:val="007E3ACA"/>
    <w:rsid w:val="007E4326"/>
    <w:rsid w:val="007E442D"/>
    <w:rsid w:val="007E4E89"/>
    <w:rsid w:val="007E50C7"/>
    <w:rsid w:val="007E5AED"/>
    <w:rsid w:val="007E5AFC"/>
    <w:rsid w:val="007E6167"/>
    <w:rsid w:val="007E61E4"/>
    <w:rsid w:val="007E62D9"/>
    <w:rsid w:val="007E6759"/>
    <w:rsid w:val="007E71ED"/>
    <w:rsid w:val="007E74C5"/>
    <w:rsid w:val="007F0B84"/>
    <w:rsid w:val="007F0E34"/>
    <w:rsid w:val="007F0EF7"/>
    <w:rsid w:val="007F1229"/>
    <w:rsid w:val="007F14CC"/>
    <w:rsid w:val="007F1BC7"/>
    <w:rsid w:val="007F24B1"/>
    <w:rsid w:val="007F24E0"/>
    <w:rsid w:val="007F32C6"/>
    <w:rsid w:val="007F3DB0"/>
    <w:rsid w:val="007F406C"/>
    <w:rsid w:val="007F44DE"/>
    <w:rsid w:val="007F4900"/>
    <w:rsid w:val="007F4ADB"/>
    <w:rsid w:val="007F51CC"/>
    <w:rsid w:val="007F57BB"/>
    <w:rsid w:val="007F5C8E"/>
    <w:rsid w:val="007F6368"/>
    <w:rsid w:val="007F7164"/>
    <w:rsid w:val="007F7451"/>
    <w:rsid w:val="007F7B7F"/>
    <w:rsid w:val="00801EF2"/>
    <w:rsid w:val="008024AC"/>
    <w:rsid w:val="00803037"/>
    <w:rsid w:val="00803065"/>
    <w:rsid w:val="00803F50"/>
    <w:rsid w:val="008043DE"/>
    <w:rsid w:val="00804972"/>
    <w:rsid w:val="0080498D"/>
    <w:rsid w:val="00804ECA"/>
    <w:rsid w:val="008051B6"/>
    <w:rsid w:val="00805458"/>
    <w:rsid w:val="0080606A"/>
    <w:rsid w:val="00806212"/>
    <w:rsid w:val="008065F0"/>
    <w:rsid w:val="0080690A"/>
    <w:rsid w:val="0080721D"/>
    <w:rsid w:val="00807406"/>
    <w:rsid w:val="00807C2F"/>
    <w:rsid w:val="00807C6B"/>
    <w:rsid w:val="00807CC6"/>
    <w:rsid w:val="00810654"/>
    <w:rsid w:val="00810AD6"/>
    <w:rsid w:val="00810B67"/>
    <w:rsid w:val="00810E77"/>
    <w:rsid w:val="00811194"/>
    <w:rsid w:val="008113C8"/>
    <w:rsid w:val="00811C27"/>
    <w:rsid w:val="008129C6"/>
    <w:rsid w:val="00812B87"/>
    <w:rsid w:val="00812E0A"/>
    <w:rsid w:val="0081352B"/>
    <w:rsid w:val="00814097"/>
    <w:rsid w:val="008140C1"/>
    <w:rsid w:val="00814514"/>
    <w:rsid w:val="008154CE"/>
    <w:rsid w:val="00815C07"/>
    <w:rsid w:val="00815DCC"/>
    <w:rsid w:val="00816FE0"/>
    <w:rsid w:val="00816FE6"/>
    <w:rsid w:val="00817869"/>
    <w:rsid w:val="00817BC8"/>
    <w:rsid w:val="00817DDE"/>
    <w:rsid w:val="00820649"/>
    <w:rsid w:val="00821743"/>
    <w:rsid w:val="00821D46"/>
    <w:rsid w:val="00821DDB"/>
    <w:rsid w:val="00821ECB"/>
    <w:rsid w:val="008223D2"/>
    <w:rsid w:val="008225DD"/>
    <w:rsid w:val="00823151"/>
    <w:rsid w:val="008237E2"/>
    <w:rsid w:val="008239C2"/>
    <w:rsid w:val="008255E4"/>
    <w:rsid w:val="00825647"/>
    <w:rsid w:val="00825AD0"/>
    <w:rsid w:val="008260E9"/>
    <w:rsid w:val="008261A4"/>
    <w:rsid w:val="0082659D"/>
    <w:rsid w:val="00826660"/>
    <w:rsid w:val="0082764E"/>
    <w:rsid w:val="00827BAD"/>
    <w:rsid w:val="00830102"/>
    <w:rsid w:val="008305B0"/>
    <w:rsid w:val="00830639"/>
    <w:rsid w:val="008309C9"/>
    <w:rsid w:val="00830BC7"/>
    <w:rsid w:val="00830FD8"/>
    <w:rsid w:val="008312D9"/>
    <w:rsid w:val="00831705"/>
    <w:rsid w:val="008321EC"/>
    <w:rsid w:val="008323C1"/>
    <w:rsid w:val="00832520"/>
    <w:rsid w:val="00832952"/>
    <w:rsid w:val="008335E3"/>
    <w:rsid w:val="00833C60"/>
    <w:rsid w:val="00834098"/>
    <w:rsid w:val="00834203"/>
    <w:rsid w:val="00834836"/>
    <w:rsid w:val="00834961"/>
    <w:rsid w:val="00834ACD"/>
    <w:rsid w:val="00834DCB"/>
    <w:rsid w:val="008350DB"/>
    <w:rsid w:val="00835584"/>
    <w:rsid w:val="00836550"/>
    <w:rsid w:val="00836673"/>
    <w:rsid w:val="008369C4"/>
    <w:rsid w:val="00836ED2"/>
    <w:rsid w:val="008374E7"/>
    <w:rsid w:val="00837823"/>
    <w:rsid w:val="00840012"/>
    <w:rsid w:val="00840C01"/>
    <w:rsid w:val="00840C42"/>
    <w:rsid w:val="00840F3B"/>
    <w:rsid w:val="0084167C"/>
    <w:rsid w:val="00841B92"/>
    <w:rsid w:val="00841EB9"/>
    <w:rsid w:val="0084245F"/>
    <w:rsid w:val="00842C06"/>
    <w:rsid w:val="00842E7F"/>
    <w:rsid w:val="00843997"/>
    <w:rsid w:val="0084453B"/>
    <w:rsid w:val="00844545"/>
    <w:rsid w:val="00844F10"/>
    <w:rsid w:val="00845186"/>
    <w:rsid w:val="00845477"/>
    <w:rsid w:val="0084569A"/>
    <w:rsid w:val="00845BBC"/>
    <w:rsid w:val="008475EA"/>
    <w:rsid w:val="00847683"/>
    <w:rsid w:val="00847847"/>
    <w:rsid w:val="00847F2B"/>
    <w:rsid w:val="00850048"/>
    <w:rsid w:val="008501DF"/>
    <w:rsid w:val="0085030F"/>
    <w:rsid w:val="008513D8"/>
    <w:rsid w:val="00851455"/>
    <w:rsid w:val="008528D4"/>
    <w:rsid w:val="00852C25"/>
    <w:rsid w:val="00852D1A"/>
    <w:rsid w:val="00853945"/>
    <w:rsid w:val="0085394E"/>
    <w:rsid w:val="00853C8C"/>
    <w:rsid w:val="00853F08"/>
    <w:rsid w:val="00854256"/>
    <w:rsid w:val="008554F9"/>
    <w:rsid w:val="00855D43"/>
    <w:rsid w:val="00855DBE"/>
    <w:rsid w:val="00855EA5"/>
    <w:rsid w:val="00855F76"/>
    <w:rsid w:val="008561D7"/>
    <w:rsid w:val="00856730"/>
    <w:rsid w:val="00856E8C"/>
    <w:rsid w:val="0085710A"/>
    <w:rsid w:val="0085710F"/>
    <w:rsid w:val="008571DC"/>
    <w:rsid w:val="008572BC"/>
    <w:rsid w:val="00857768"/>
    <w:rsid w:val="008607B4"/>
    <w:rsid w:val="00860B22"/>
    <w:rsid w:val="00860D84"/>
    <w:rsid w:val="00861074"/>
    <w:rsid w:val="008610DB"/>
    <w:rsid w:val="00861540"/>
    <w:rsid w:val="008625FC"/>
    <w:rsid w:val="008636FC"/>
    <w:rsid w:val="00863AC3"/>
    <w:rsid w:val="00863DB6"/>
    <w:rsid w:val="00864614"/>
    <w:rsid w:val="00864918"/>
    <w:rsid w:val="008649F8"/>
    <w:rsid w:val="0086563F"/>
    <w:rsid w:val="008656D5"/>
    <w:rsid w:val="0086593C"/>
    <w:rsid w:val="00865996"/>
    <w:rsid w:val="00865AC9"/>
    <w:rsid w:val="00865B86"/>
    <w:rsid w:val="00866210"/>
    <w:rsid w:val="00866952"/>
    <w:rsid w:val="00866B30"/>
    <w:rsid w:val="008670AA"/>
    <w:rsid w:val="00867121"/>
    <w:rsid w:val="00867147"/>
    <w:rsid w:val="0086794B"/>
    <w:rsid w:val="00867BD2"/>
    <w:rsid w:val="0087023C"/>
    <w:rsid w:val="00870368"/>
    <w:rsid w:val="00871164"/>
    <w:rsid w:val="008715F5"/>
    <w:rsid w:val="00871889"/>
    <w:rsid w:val="00871DEE"/>
    <w:rsid w:val="00872616"/>
    <w:rsid w:val="00873536"/>
    <w:rsid w:val="008735A6"/>
    <w:rsid w:val="00873BC6"/>
    <w:rsid w:val="0087452C"/>
    <w:rsid w:val="00874558"/>
    <w:rsid w:val="00874FB1"/>
    <w:rsid w:val="00875158"/>
    <w:rsid w:val="00875D1A"/>
    <w:rsid w:val="00875F99"/>
    <w:rsid w:val="008769D9"/>
    <w:rsid w:val="00876B10"/>
    <w:rsid w:val="00876E9E"/>
    <w:rsid w:val="008771C3"/>
    <w:rsid w:val="008771F4"/>
    <w:rsid w:val="00877851"/>
    <w:rsid w:val="00877995"/>
    <w:rsid w:val="00877CD2"/>
    <w:rsid w:val="00880627"/>
    <w:rsid w:val="0088076F"/>
    <w:rsid w:val="00880902"/>
    <w:rsid w:val="00880E67"/>
    <w:rsid w:val="008815DF"/>
    <w:rsid w:val="008816C7"/>
    <w:rsid w:val="00881E3C"/>
    <w:rsid w:val="008825C1"/>
    <w:rsid w:val="00882A15"/>
    <w:rsid w:val="008830ED"/>
    <w:rsid w:val="00883194"/>
    <w:rsid w:val="008835AC"/>
    <w:rsid w:val="00884F48"/>
    <w:rsid w:val="00885001"/>
    <w:rsid w:val="00885729"/>
    <w:rsid w:val="00885930"/>
    <w:rsid w:val="00886318"/>
    <w:rsid w:val="00886330"/>
    <w:rsid w:val="00887341"/>
    <w:rsid w:val="008873B6"/>
    <w:rsid w:val="0088740E"/>
    <w:rsid w:val="008879E3"/>
    <w:rsid w:val="00887ACF"/>
    <w:rsid w:val="008902CB"/>
    <w:rsid w:val="00890537"/>
    <w:rsid w:val="00890939"/>
    <w:rsid w:val="00890B24"/>
    <w:rsid w:val="00890D35"/>
    <w:rsid w:val="00891045"/>
    <w:rsid w:val="00891329"/>
    <w:rsid w:val="0089249E"/>
    <w:rsid w:val="00892660"/>
    <w:rsid w:val="00892A4E"/>
    <w:rsid w:val="00892EFF"/>
    <w:rsid w:val="00893365"/>
    <w:rsid w:val="0089350A"/>
    <w:rsid w:val="008941E5"/>
    <w:rsid w:val="00894A27"/>
    <w:rsid w:val="00894DB0"/>
    <w:rsid w:val="008955BC"/>
    <w:rsid w:val="008959AB"/>
    <w:rsid w:val="00895ADF"/>
    <w:rsid w:val="00895FFE"/>
    <w:rsid w:val="008960A3"/>
    <w:rsid w:val="008965EC"/>
    <w:rsid w:val="008966C6"/>
    <w:rsid w:val="00896782"/>
    <w:rsid w:val="00896906"/>
    <w:rsid w:val="00896A4C"/>
    <w:rsid w:val="00896EBA"/>
    <w:rsid w:val="00896EC8"/>
    <w:rsid w:val="00897159"/>
    <w:rsid w:val="008972D5"/>
    <w:rsid w:val="0089749F"/>
    <w:rsid w:val="0089777E"/>
    <w:rsid w:val="008978FB"/>
    <w:rsid w:val="0089797F"/>
    <w:rsid w:val="00897F7A"/>
    <w:rsid w:val="008A0578"/>
    <w:rsid w:val="008A066A"/>
    <w:rsid w:val="008A0CD0"/>
    <w:rsid w:val="008A224B"/>
    <w:rsid w:val="008A23C2"/>
    <w:rsid w:val="008A23C9"/>
    <w:rsid w:val="008A2822"/>
    <w:rsid w:val="008A330E"/>
    <w:rsid w:val="008A3425"/>
    <w:rsid w:val="008A3748"/>
    <w:rsid w:val="008A39F8"/>
    <w:rsid w:val="008A3F7F"/>
    <w:rsid w:val="008A4921"/>
    <w:rsid w:val="008A4B6E"/>
    <w:rsid w:val="008A5A33"/>
    <w:rsid w:val="008A67B6"/>
    <w:rsid w:val="008A6FB2"/>
    <w:rsid w:val="008A70A0"/>
    <w:rsid w:val="008A7AA0"/>
    <w:rsid w:val="008A7E68"/>
    <w:rsid w:val="008B0B3A"/>
    <w:rsid w:val="008B0BAA"/>
    <w:rsid w:val="008B0C31"/>
    <w:rsid w:val="008B0FB2"/>
    <w:rsid w:val="008B1015"/>
    <w:rsid w:val="008B2E33"/>
    <w:rsid w:val="008B307A"/>
    <w:rsid w:val="008B316F"/>
    <w:rsid w:val="008B32A9"/>
    <w:rsid w:val="008B37C2"/>
    <w:rsid w:val="008B3B7C"/>
    <w:rsid w:val="008B3D39"/>
    <w:rsid w:val="008B3FBA"/>
    <w:rsid w:val="008B48BC"/>
    <w:rsid w:val="008B5856"/>
    <w:rsid w:val="008B735B"/>
    <w:rsid w:val="008B77E9"/>
    <w:rsid w:val="008B7B45"/>
    <w:rsid w:val="008C0083"/>
    <w:rsid w:val="008C0257"/>
    <w:rsid w:val="008C1130"/>
    <w:rsid w:val="008C138A"/>
    <w:rsid w:val="008C162A"/>
    <w:rsid w:val="008C1889"/>
    <w:rsid w:val="008C1917"/>
    <w:rsid w:val="008C197A"/>
    <w:rsid w:val="008C1A72"/>
    <w:rsid w:val="008C23F6"/>
    <w:rsid w:val="008C24DB"/>
    <w:rsid w:val="008C2993"/>
    <w:rsid w:val="008C2EDB"/>
    <w:rsid w:val="008C3A38"/>
    <w:rsid w:val="008C4503"/>
    <w:rsid w:val="008C477C"/>
    <w:rsid w:val="008C53D1"/>
    <w:rsid w:val="008C55AB"/>
    <w:rsid w:val="008C6C9A"/>
    <w:rsid w:val="008C6E2C"/>
    <w:rsid w:val="008C701E"/>
    <w:rsid w:val="008D076D"/>
    <w:rsid w:val="008D17D8"/>
    <w:rsid w:val="008D1B64"/>
    <w:rsid w:val="008D2214"/>
    <w:rsid w:val="008D26C5"/>
    <w:rsid w:val="008D2A41"/>
    <w:rsid w:val="008D385E"/>
    <w:rsid w:val="008D3A33"/>
    <w:rsid w:val="008D40C1"/>
    <w:rsid w:val="008D4162"/>
    <w:rsid w:val="008D42A6"/>
    <w:rsid w:val="008D44DA"/>
    <w:rsid w:val="008D4AE8"/>
    <w:rsid w:val="008D4E54"/>
    <w:rsid w:val="008D536C"/>
    <w:rsid w:val="008D5A16"/>
    <w:rsid w:val="008D5EA4"/>
    <w:rsid w:val="008D6358"/>
    <w:rsid w:val="008D6601"/>
    <w:rsid w:val="008D6A78"/>
    <w:rsid w:val="008D6CB8"/>
    <w:rsid w:val="008D6DE1"/>
    <w:rsid w:val="008D700A"/>
    <w:rsid w:val="008D7717"/>
    <w:rsid w:val="008D77B5"/>
    <w:rsid w:val="008D786B"/>
    <w:rsid w:val="008D7E2C"/>
    <w:rsid w:val="008D7F19"/>
    <w:rsid w:val="008E015F"/>
    <w:rsid w:val="008E0F6C"/>
    <w:rsid w:val="008E1D93"/>
    <w:rsid w:val="008E30B1"/>
    <w:rsid w:val="008E311A"/>
    <w:rsid w:val="008E3505"/>
    <w:rsid w:val="008E3872"/>
    <w:rsid w:val="008E44DC"/>
    <w:rsid w:val="008E45BF"/>
    <w:rsid w:val="008E4A2E"/>
    <w:rsid w:val="008E4C89"/>
    <w:rsid w:val="008E4CED"/>
    <w:rsid w:val="008E4F12"/>
    <w:rsid w:val="008E51AF"/>
    <w:rsid w:val="008E53DD"/>
    <w:rsid w:val="008E548A"/>
    <w:rsid w:val="008E54D1"/>
    <w:rsid w:val="008E5722"/>
    <w:rsid w:val="008E575D"/>
    <w:rsid w:val="008E66A7"/>
    <w:rsid w:val="008E701C"/>
    <w:rsid w:val="008E74A2"/>
    <w:rsid w:val="008E7A19"/>
    <w:rsid w:val="008E7E1B"/>
    <w:rsid w:val="008E7EA5"/>
    <w:rsid w:val="008F0DBF"/>
    <w:rsid w:val="008F0E91"/>
    <w:rsid w:val="008F1C44"/>
    <w:rsid w:val="008F1F22"/>
    <w:rsid w:val="008F25C6"/>
    <w:rsid w:val="008F2769"/>
    <w:rsid w:val="008F2940"/>
    <w:rsid w:val="008F2AE2"/>
    <w:rsid w:val="008F4026"/>
    <w:rsid w:val="008F4B82"/>
    <w:rsid w:val="008F4D74"/>
    <w:rsid w:val="008F5008"/>
    <w:rsid w:val="008F5830"/>
    <w:rsid w:val="008F627C"/>
    <w:rsid w:val="008F713A"/>
    <w:rsid w:val="008F74C5"/>
    <w:rsid w:val="008F79FA"/>
    <w:rsid w:val="0090062E"/>
    <w:rsid w:val="009006A6"/>
    <w:rsid w:val="00900EE8"/>
    <w:rsid w:val="009013E7"/>
    <w:rsid w:val="009016D7"/>
    <w:rsid w:val="00902A71"/>
    <w:rsid w:val="00903AC3"/>
    <w:rsid w:val="00903AD5"/>
    <w:rsid w:val="0090412E"/>
    <w:rsid w:val="009044A3"/>
    <w:rsid w:val="00904536"/>
    <w:rsid w:val="009046AC"/>
    <w:rsid w:val="0090478A"/>
    <w:rsid w:val="0090544F"/>
    <w:rsid w:val="00905895"/>
    <w:rsid w:val="0090599A"/>
    <w:rsid w:val="009062AA"/>
    <w:rsid w:val="00906495"/>
    <w:rsid w:val="00906A72"/>
    <w:rsid w:val="00906C9B"/>
    <w:rsid w:val="00907223"/>
    <w:rsid w:val="00907858"/>
    <w:rsid w:val="00907A45"/>
    <w:rsid w:val="00907B1D"/>
    <w:rsid w:val="009102A7"/>
    <w:rsid w:val="009108D0"/>
    <w:rsid w:val="00910A43"/>
    <w:rsid w:val="00910EF6"/>
    <w:rsid w:val="00911215"/>
    <w:rsid w:val="00911283"/>
    <w:rsid w:val="00911D86"/>
    <w:rsid w:val="009122F5"/>
    <w:rsid w:val="00912891"/>
    <w:rsid w:val="00913BE5"/>
    <w:rsid w:val="0091436A"/>
    <w:rsid w:val="009144B5"/>
    <w:rsid w:val="009144CC"/>
    <w:rsid w:val="009146F6"/>
    <w:rsid w:val="00915863"/>
    <w:rsid w:val="00915875"/>
    <w:rsid w:val="00915E26"/>
    <w:rsid w:val="00915E4C"/>
    <w:rsid w:val="00916ED7"/>
    <w:rsid w:val="00916F77"/>
    <w:rsid w:val="00917051"/>
    <w:rsid w:val="009174AE"/>
    <w:rsid w:val="009175CC"/>
    <w:rsid w:val="00917D8E"/>
    <w:rsid w:val="0092003F"/>
    <w:rsid w:val="009202A9"/>
    <w:rsid w:val="00920915"/>
    <w:rsid w:val="00921252"/>
    <w:rsid w:val="0092170E"/>
    <w:rsid w:val="009219CD"/>
    <w:rsid w:val="00922E70"/>
    <w:rsid w:val="0092343E"/>
    <w:rsid w:val="0092408A"/>
    <w:rsid w:val="00924231"/>
    <w:rsid w:val="00924667"/>
    <w:rsid w:val="00924BF6"/>
    <w:rsid w:val="00924EA4"/>
    <w:rsid w:val="00925450"/>
    <w:rsid w:val="00925677"/>
    <w:rsid w:val="0092576C"/>
    <w:rsid w:val="00926154"/>
    <w:rsid w:val="0092617D"/>
    <w:rsid w:val="0092638D"/>
    <w:rsid w:val="00926E69"/>
    <w:rsid w:val="0092753B"/>
    <w:rsid w:val="00927A0B"/>
    <w:rsid w:val="00927AF4"/>
    <w:rsid w:val="009306C0"/>
    <w:rsid w:val="00930EF7"/>
    <w:rsid w:val="00931085"/>
    <w:rsid w:val="0093125C"/>
    <w:rsid w:val="009317B8"/>
    <w:rsid w:val="00931A00"/>
    <w:rsid w:val="009328B8"/>
    <w:rsid w:val="00932C46"/>
    <w:rsid w:val="00934FAA"/>
    <w:rsid w:val="0093586A"/>
    <w:rsid w:val="00935B75"/>
    <w:rsid w:val="009360D6"/>
    <w:rsid w:val="00936282"/>
    <w:rsid w:val="00936510"/>
    <w:rsid w:val="00936580"/>
    <w:rsid w:val="00936A19"/>
    <w:rsid w:val="009378B1"/>
    <w:rsid w:val="00937B0C"/>
    <w:rsid w:val="00940F68"/>
    <w:rsid w:val="00941336"/>
    <w:rsid w:val="009415AE"/>
    <w:rsid w:val="009416E1"/>
    <w:rsid w:val="0094182F"/>
    <w:rsid w:val="00941CE9"/>
    <w:rsid w:val="009421B1"/>
    <w:rsid w:val="0094247C"/>
    <w:rsid w:val="009431CC"/>
    <w:rsid w:val="0094388C"/>
    <w:rsid w:val="00944B70"/>
    <w:rsid w:val="00945476"/>
    <w:rsid w:val="0094566A"/>
    <w:rsid w:val="00945BE8"/>
    <w:rsid w:val="00945E92"/>
    <w:rsid w:val="0094656E"/>
    <w:rsid w:val="009466EE"/>
    <w:rsid w:val="00946701"/>
    <w:rsid w:val="0094698E"/>
    <w:rsid w:val="00946B47"/>
    <w:rsid w:val="00946B5A"/>
    <w:rsid w:val="00946EFC"/>
    <w:rsid w:val="00947D65"/>
    <w:rsid w:val="00950100"/>
    <w:rsid w:val="009501C9"/>
    <w:rsid w:val="0095032A"/>
    <w:rsid w:val="00950C3D"/>
    <w:rsid w:val="00950F5C"/>
    <w:rsid w:val="009514F6"/>
    <w:rsid w:val="0095171A"/>
    <w:rsid w:val="00951792"/>
    <w:rsid w:val="00951A2A"/>
    <w:rsid w:val="00952941"/>
    <w:rsid w:val="0095325B"/>
    <w:rsid w:val="009536DC"/>
    <w:rsid w:val="00953A75"/>
    <w:rsid w:val="0095408D"/>
    <w:rsid w:val="009567C9"/>
    <w:rsid w:val="00956827"/>
    <w:rsid w:val="00956883"/>
    <w:rsid w:val="009575E1"/>
    <w:rsid w:val="00957FCB"/>
    <w:rsid w:val="0096003C"/>
    <w:rsid w:val="0096051F"/>
    <w:rsid w:val="009607BB"/>
    <w:rsid w:val="00960BC7"/>
    <w:rsid w:val="009610B0"/>
    <w:rsid w:val="0096143B"/>
    <w:rsid w:val="00962129"/>
    <w:rsid w:val="00962B9A"/>
    <w:rsid w:val="009631D5"/>
    <w:rsid w:val="009632C9"/>
    <w:rsid w:val="009633E9"/>
    <w:rsid w:val="00964625"/>
    <w:rsid w:val="00964A96"/>
    <w:rsid w:val="009652A2"/>
    <w:rsid w:val="009656C4"/>
    <w:rsid w:val="009658FD"/>
    <w:rsid w:val="009667EE"/>
    <w:rsid w:val="0096680B"/>
    <w:rsid w:val="00966C93"/>
    <w:rsid w:val="00966DE3"/>
    <w:rsid w:val="00967363"/>
    <w:rsid w:val="0097117A"/>
    <w:rsid w:val="009712B5"/>
    <w:rsid w:val="00971434"/>
    <w:rsid w:val="009720B6"/>
    <w:rsid w:val="00972156"/>
    <w:rsid w:val="009725DC"/>
    <w:rsid w:val="0097281F"/>
    <w:rsid w:val="00972F46"/>
    <w:rsid w:val="0097316B"/>
    <w:rsid w:val="0097354A"/>
    <w:rsid w:val="00973845"/>
    <w:rsid w:val="00973A5A"/>
    <w:rsid w:val="00973BC0"/>
    <w:rsid w:val="009748F1"/>
    <w:rsid w:val="00974FAA"/>
    <w:rsid w:val="00975561"/>
    <w:rsid w:val="00975EB9"/>
    <w:rsid w:val="00975FD4"/>
    <w:rsid w:val="00977184"/>
    <w:rsid w:val="0097718F"/>
    <w:rsid w:val="009773C6"/>
    <w:rsid w:val="00977D47"/>
    <w:rsid w:val="009802C9"/>
    <w:rsid w:val="00980AEB"/>
    <w:rsid w:val="00982819"/>
    <w:rsid w:val="00982993"/>
    <w:rsid w:val="00982EFF"/>
    <w:rsid w:val="00983186"/>
    <w:rsid w:val="009832B4"/>
    <w:rsid w:val="00983BEF"/>
    <w:rsid w:val="00983F86"/>
    <w:rsid w:val="009841C7"/>
    <w:rsid w:val="00984268"/>
    <w:rsid w:val="00985ABF"/>
    <w:rsid w:val="00985D0F"/>
    <w:rsid w:val="0098694D"/>
    <w:rsid w:val="009869C7"/>
    <w:rsid w:val="00987AC5"/>
    <w:rsid w:val="00987D3B"/>
    <w:rsid w:val="009912BF"/>
    <w:rsid w:val="00991685"/>
    <w:rsid w:val="009923C8"/>
    <w:rsid w:val="0099269C"/>
    <w:rsid w:val="009927FA"/>
    <w:rsid w:val="00992BCB"/>
    <w:rsid w:val="00992F85"/>
    <w:rsid w:val="00992FC0"/>
    <w:rsid w:val="009936DE"/>
    <w:rsid w:val="00994F8C"/>
    <w:rsid w:val="0099501B"/>
    <w:rsid w:val="00995BFE"/>
    <w:rsid w:val="009963CD"/>
    <w:rsid w:val="00996495"/>
    <w:rsid w:val="009967F2"/>
    <w:rsid w:val="00996F86"/>
    <w:rsid w:val="00997590"/>
    <w:rsid w:val="0099761B"/>
    <w:rsid w:val="00997790"/>
    <w:rsid w:val="0099790F"/>
    <w:rsid w:val="009979DB"/>
    <w:rsid w:val="00997EBB"/>
    <w:rsid w:val="009A0287"/>
    <w:rsid w:val="009A0A4F"/>
    <w:rsid w:val="009A11CD"/>
    <w:rsid w:val="009A1C96"/>
    <w:rsid w:val="009A1F73"/>
    <w:rsid w:val="009A2169"/>
    <w:rsid w:val="009A2D83"/>
    <w:rsid w:val="009A3C9A"/>
    <w:rsid w:val="009A3FA4"/>
    <w:rsid w:val="009A41E5"/>
    <w:rsid w:val="009A4462"/>
    <w:rsid w:val="009A46ED"/>
    <w:rsid w:val="009A49E1"/>
    <w:rsid w:val="009A4B9F"/>
    <w:rsid w:val="009A5B7A"/>
    <w:rsid w:val="009A5F5D"/>
    <w:rsid w:val="009A65A4"/>
    <w:rsid w:val="009A66D0"/>
    <w:rsid w:val="009A6B63"/>
    <w:rsid w:val="009A6FA3"/>
    <w:rsid w:val="009B01FC"/>
    <w:rsid w:val="009B0437"/>
    <w:rsid w:val="009B0477"/>
    <w:rsid w:val="009B1BFE"/>
    <w:rsid w:val="009B1C80"/>
    <w:rsid w:val="009B2438"/>
    <w:rsid w:val="009B2A5E"/>
    <w:rsid w:val="009B2E47"/>
    <w:rsid w:val="009B2F99"/>
    <w:rsid w:val="009B3A98"/>
    <w:rsid w:val="009B42A8"/>
    <w:rsid w:val="009B49F5"/>
    <w:rsid w:val="009B4BBA"/>
    <w:rsid w:val="009B57C6"/>
    <w:rsid w:val="009B5908"/>
    <w:rsid w:val="009B5929"/>
    <w:rsid w:val="009B5F91"/>
    <w:rsid w:val="009B6F62"/>
    <w:rsid w:val="009B7198"/>
    <w:rsid w:val="009B7367"/>
    <w:rsid w:val="009B79F5"/>
    <w:rsid w:val="009B7A79"/>
    <w:rsid w:val="009B7BAA"/>
    <w:rsid w:val="009C0138"/>
    <w:rsid w:val="009C0EB7"/>
    <w:rsid w:val="009C1389"/>
    <w:rsid w:val="009C13F4"/>
    <w:rsid w:val="009C1454"/>
    <w:rsid w:val="009C1E11"/>
    <w:rsid w:val="009C2122"/>
    <w:rsid w:val="009C21A9"/>
    <w:rsid w:val="009C2ACC"/>
    <w:rsid w:val="009C3E0C"/>
    <w:rsid w:val="009C5111"/>
    <w:rsid w:val="009C52ED"/>
    <w:rsid w:val="009C7145"/>
    <w:rsid w:val="009C7685"/>
    <w:rsid w:val="009C7960"/>
    <w:rsid w:val="009D08DC"/>
    <w:rsid w:val="009D0F2D"/>
    <w:rsid w:val="009D1723"/>
    <w:rsid w:val="009D22BA"/>
    <w:rsid w:val="009D235E"/>
    <w:rsid w:val="009D3057"/>
    <w:rsid w:val="009D38F4"/>
    <w:rsid w:val="009D3E29"/>
    <w:rsid w:val="009D3F76"/>
    <w:rsid w:val="009D4A60"/>
    <w:rsid w:val="009D5080"/>
    <w:rsid w:val="009D6935"/>
    <w:rsid w:val="009D6E38"/>
    <w:rsid w:val="009E07DC"/>
    <w:rsid w:val="009E0EA2"/>
    <w:rsid w:val="009E1133"/>
    <w:rsid w:val="009E214D"/>
    <w:rsid w:val="009E2489"/>
    <w:rsid w:val="009E27B2"/>
    <w:rsid w:val="009E28EC"/>
    <w:rsid w:val="009E2900"/>
    <w:rsid w:val="009E3100"/>
    <w:rsid w:val="009E315A"/>
    <w:rsid w:val="009E4809"/>
    <w:rsid w:val="009E4841"/>
    <w:rsid w:val="009E5245"/>
    <w:rsid w:val="009E57AD"/>
    <w:rsid w:val="009E5F98"/>
    <w:rsid w:val="009E6115"/>
    <w:rsid w:val="009E659E"/>
    <w:rsid w:val="009E67AB"/>
    <w:rsid w:val="009E68DE"/>
    <w:rsid w:val="009E69D0"/>
    <w:rsid w:val="009E77CF"/>
    <w:rsid w:val="009E78E7"/>
    <w:rsid w:val="009E7983"/>
    <w:rsid w:val="009E798F"/>
    <w:rsid w:val="009E7CCC"/>
    <w:rsid w:val="009F03E3"/>
    <w:rsid w:val="009F0AB6"/>
    <w:rsid w:val="009F155F"/>
    <w:rsid w:val="009F1791"/>
    <w:rsid w:val="009F2E31"/>
    <w:rsid w:val="009F3D71"/>
    <w:rsid w:val="009F3F1F"/>
    <w:rsid w:val="009F4A65"/>
    <w:rsid w:val="009F4AF1"/>
    <w:rsid w:val="009F4E0F"/>
    <w:rsid w:val="009F4FB3"/>
    <w:rsid w:val="009F52C1"/>
    <w:rsid w:val="009F545D"/>
    <w:rsid w:val="009F5FCC"/>
    <w:rsid w:val="009F6876"/>
    <w:rsid w:val="009F68C1"/>
    <w:rsid w:val="009F6DFD"/>
    <w:rsid w:val="009F71D1"/>
    <w:rsid w:val="009F77F2"/>
    <w:rsid w:val="00A00059"/>
    <w:rsid w:val="00A000AE"/>
    <w:rsid w:val="00A001EC"/>
    <w:rsid w:val="00A00DD6"/>
    <w:rsid w:val="00A017BA"/>
    <w:rsid w:val="00A01AE0"/>
    <w:rsid w:val="00A01B2B"/>
    <w:rsid w:val="00A01EFD"/>
    <w:rsid w:val="00A0214F"/>
    <w:rsid w:val="00A026DF"/>
    <w:rsid w:val="00A02BF8"/>
    <w:rsid w:val="00A0337B"/>
    <w:rsid w:val="00A03A5F"/>
    <w:rsid w:val="00A03B8F"/>
    <w:rsid w:val="00A03DBE"/>
    <w:rsid w:val="00A03FC9"/>
    <w:rsid w:val="00A040DF"/>
    <w:rsid w:val="00A04100"/>
    <w:rsid w:val="00A041BC"/>
    <w:rsid w:val="00A04A74"/>
    <w:rsid w:val="00A04C1B"/>
    <w:rsid w:val="00A05F05"/>
    <w:rsid w:val="00A06090"/>
    <w:rsid w:val="00A06583"/>
    <w:rsid w:val="00A066DE"/>
    <w:rsid w:val="00A068FB"/>
    <w:rsid w:val="00A075C8"/>
    <w:rsid w:val="00A0796F"/>
    <w:rsid w:val="00A1044C"/>
    <w:rsid w:val="00A10B65"/>
    <w:rsid w:val="00A10F4C"/>
    <w:rsid w:val="00A110B1"/>
    <w:rsid w:val="00A11E0F"/>
    <w:rsid w:val="00A11E8F"/>
    <w:rsid w:val="00A12134"/>
    <w:rsid w:val="00A123E6"/>
    <w:rsid w:val="00A12401"/>
    <w:rsid w:val="00A12564"/>
    <w:rsid w:val="00A13224"/>
    <w:rsid w:val="00A135D7"/>
    <w:rsid w:val="00A13AB4"/>
    <w:rsid w:val="00A13E48"/>
    <w:rsid w:val="00A13E66"/>
    <w:rsid w:val="00A141E5"/>
    <w:rsid w:val="00A144E5"/>
    <w:rsid w:val="00A148F9"/>
    <w:rsid w:val="00A15581"/>
    <w:rsid w:val="00A1593F"/>
    <w:rsid w:val="00A15B57"/>
    <w:rsid w:val="00A17491"/>
    <w:rsid w:val="00A17F4E"/>
    <w:rsid w:val="00A20146"/>
    <w:rsid w:val="00A202E6"/>
    <w:rsid w:val="00A209E8"/>
    <w:rsid w:val="00A20E10"/>
    <w:rsid w:val="00A21F92"/>
    <w:rsid w:val="00A22015"/>
    <w:rsid w:val="00A22D3C"/>
    <w:rsid w:val="00A23C6C"/>
    <w:rsid w:val="00A24038"/>
    <w:rsid w:val="00A2416F"/>
    <w:rsid w:val="00A24416"/>
    <w:rsid w:val="00A2536F"/>
    <w:rsid w:val="00A258F1"/>
    <w:rsid w:val="00A263F4"/>
    <w:rsid w:val="00A26AE9"/>
    <w:rsid w:val="00A26AF6"/>
    <w:rsid w:val="00A2785B"/>
    <w:rsid w:val="00A278C0"/>
    <w:rsid w:val="00A30AF9"/>
    <w:rsid w:val="00A30DB3"/>
    <w:rsid w:val="00A31243"/>
    <w:rsid w:val="00A31681"/>
    <w:rsid w:val="00A318C6"/>
    <w:rsid w:val="00A333E4"/>
    <w:rsid w:val="00A3388E"/>
    <w:rsid w:val="00A33A06"/>
    <w:rsid w:val="00A33B92"/>
    <w:rsid w:val="00A33C60"/>
    <w:rsid w:val="00A34109"/>
    <w:rsid w:val="00A344A6"/>
    <w:rsid w:val="00A34DF5"/>
    <w:rsid w:val="00A34FA9"/>
    <w:rsid w:val="00A3513F"/>
    <w:rsid w:val="00A35D49"/>
    <w:rsid w:val="00A36CCC"/>
    <w:rsid w:val="00A36DD4"/>
    <w:rsid w:val="00A374A5"/>
    <w:rsid w:val="00A37BC1"/>
    <w:rsid w:val="00A37D65"/>
    <w:rsid w:val="00A4016B"/>
    <w:rsid w:val="00A402F3"/>
    <w:rsid w:val="00A403E9"/>
    <w:rsid w:val="00A406DC"/>
    <w:rsid w:val="00A41119"/>
    <w:rsid w:val="00A41FE3"/>
    <w:rsid w:val="00A422EE"/>
    <w:rsid w:val="00A42384"/>
    <w:rsid w:val="00A42C10"/>
    <w:rsid w:val="00A43006"/>
    <w:rsid w:val="00A43321"/>
    <w:rsid w:val="00A4347E"/>
    <w:rsid w:val="00A4381E"/>
    <w:rsid w:val="00A43DC6"/>
    <w:rsid w:val="00A45819"/>
    <w:rsid w:val="00A4630E"/>
    <w:rsid w:val="00A474D0"/>
    <w:rsid w:val="00A47B36"/>
    <w:rsid w:val="00A47DD6"/>
    <w:rsid w:val="00A47DE3"/>
    <w:rsid w:val="00A506C4"/>
    <w:rsid w:val="00A50821"/>
    <w:rsid w:val="00A5191E"/>
    <w:rsid w:val="00A51E70"/>
    <w:rsid w:val="00A5227A"/>
    <w:rsid w:val="00A52343"/>
    <w:rsid w:val="00A524D5"/>
    <w:rsid w:val="00A52759"/>
    <w:rsid w:val="00A54904"/>
    <w:rsid w:val="00A55247"/>
    <w:rsid w:val="00A55464"/>
    <w:rsid w:val="00A55A52"/>
    <w:rsid w:val="00A55DE0"/>
    <w:rsid w:val="00A56086"/>
    <w:rsid w:val="00A574F8"/>
    <w:rsid w:val="00A577D0"/>
    <w:rsid w:val="00A57897"/>
    <w:rsid w:val="00A57D42"/>
    <w:rsid w:val="00A57E1E"/>
    <w:rsid w:val="00A60752"/>
    <w:rsid w:val="00A60BBB"/>
    <w:rsid w:val="00A60C83"/>
    <w:rsid w:val="00A612CA"/>
    <w:rsid w:val="00A612DD"/>
    <w:rsid w:val="00A61D4C"/>
    <w:rsid w:val="00A6219E"/>
    <w:rsid w:val="00A630D4"/>
    <w:rsid w:val="00A63431"/>
    <w:rsid w:val="00A638D5"/>
    <w:rsid w:val="00A63A99"/>
    <w:rsid w:val="00A6413B"/>
    <w:rsid w:val="00A651D1"/>
    <w:rsid w:val="00A65912"/>
    <w:rsid w:val="00A65EAC"/>
    <w:rsid w:val="00A65F1E"/>
    <w:rsid w:val="00A66042"/>
    <w:rsid w:val="00A663C0"/>
    <w:rsid w:val="00A66A88"/>
    <w:rsid w:val="00A66D8C"/>
    <w:rsid w:val="00A673DB"/>
    <w:rsid w:val="00A67532"/>
    <w:rsid w:val="00A67C19"/>
    <w:rsid w:val="00A67E60"/>
    <w:rsid w:val="00A706CB"/>
    <w:rsid w:val="00A714FC"/>
    <w:rsid w:val="00A7164D"/>
    <w:rsid w:val="00A71892"/>
    <w:rsid w:val="00A727B9"/>
    <w:rsid w:val="00A72A71"/>
    <w:rsid w:val="00A72D16"/>
    <w:rsid w:val="00A72E7D"/>
    <w:rsid w:val="00A739AD"/>
    <w:rsid w:val="00A74F23"/>
    <w:rsid w:val="00A75005"/>
    <w:rsid w:val="00A7534F"/>
    <w:rsid w:val="00A763BF"/>
    <w:rsid w:val="00A774A8"/>
    <w:rsid w:val="00A77706"/>
    <w:rsid w:val="00A77B44"/>
    <w:rsid w:val="00A80964"/>
    <w:rsid w:val="00A810B2"/>
    <w:rsid w:val="00A81D11"/>
    <w:rsid w:val="00A82066"/>
    <w:rsid w:val="00A820D5"/>
    <w:rsid w:val="00A82562"/>
    <w:rsid w:val="00A82CD9"/>
    <w:rsid w:val="00A83111"/>
    <w:rsid w:val="00A8317B"/>
    <w:rsid w:val="00A834F9"/>
    <w:rsid w:val="00A836C8"/>
    <w:rsid w:val="00A839BE"/>
    <w:rsid w:val="00A84047"/>
    <w:rsid w:val="00A843E7"/>
    <w:rsid w:val="00A84853"/>
    <w:rsid w:val="00A8512D"/>
    <w:rsid w:val="00A8555C"/>
    <w:rsid w:val="00A855AA"/>
    <w:rsid w:val="00A85982"/>
    <w:rsid w:val="00A85D9A"/>
    <w:rsid w:val="00A85EAC"/>
    <w:rsid w:val="00A865EA"/>
    <w:rsid w:val="00A86782"/>
    <w:rsid w:val="00A86B66"/>
    <w:rsid w:val="00A86C2F"/>
    <w:rsid w:val="00A86D07"/>
    <w:rsid w:val="00A871F6"/>
    <w:rsid w:val="00A875C5"/>
    <w:rsid w:val="00A87C57"/>
    <w:rsid w:val="00A90123"/>
    <w:rsid w:val="00A90AFF"/>
    <w:rsid w:val="00A90F85"/>
    <w:rsid w:val="00A90F96"/>
    <w:rsid w:val="00A90FD4"/>
    <w:rsid w:val="00A913DF"/>
    <w:rsid w:val="00A915D1"/>
    <w:rsid w:val="00A92119"/>
    <w:rsid w:val="00A928C0"/>
    <w:rsid w:val="00A928C1"/>
    <w:rsid w:val="00A934C1"/>
    <w:rsid w:val="00A937A7"/>
    <w:rsid w:val="00A93A2F"/>
    <w:rsid w:val="00A93A95"/>
    <w:rsid w:val="00A941BB"/>
    <w:rsid w:val="00A94664"/>
    <w:rsid w:val="00A9529A"/>
    <w:rsid w:val="00A9554A"/>
    <w:rsid w:val="00A956E4"/>
    <w:rsid w:val="00A96BD2"/>
    <w:rsid w:val="00A96E17"/>
    <w:rsid w:val="00A97225"/>
    <w:rsid w:val="00A972FF"/>
    <w:rsid w:val="00A9775D"/>
    <w:rsid w:val="00AA0488"/>
    <w:rsid w:val="00AA1544"/>
    <w:rsid w:val="00AA22FC"/>
    <w:rsid w:val="00AA3E3C"/>
    <w:rsid w:val="00AA3EA8"/>
    <w:rsid w:val="00AA4131"/>
    <w:rsid w:val="00AA4CE0"/>
    <w:rsid w:val="00AA6026"/>
    <w:rsid w:val="00AA70B9"/>
    <w:rsid w:val="00AA737F"/>
    <w:rsid w:val="00AA76FB"/>
    <w:rsid w:val="00AB0132"/>
    <w:rsid w:val="00AB03E0"/>
    <w:rsid w:val="00AB057B"/>
    <w:rsid w:val="00AB0683"/>
    <w:rsid w:val="00AB13DF"/>
    <w:rsid w:val="00AB179B"/>
    <w:rsid w:val="00AB1810"/>
    <w:rsid w:val="00AB1840"/>
    <w:rsid w:val="00AB197C"/>
    <w:rsid w:val="00AB199E"/>
    <w:rsid w:val="00AB1B4C"/>
    <w:rsid w:val="00AB248C"/>
    <w:rsid w:val="00AB2A05"/>
    <w:rsid w:val="00AB2AA9"/>
    <w:rsid w:val="00AB2DA9"/>
    <w:rsid w:val="00AB331A"/>
    <w:rsid w:val="00AB3F5A"/>
    <w:rsid w:val="00AB4F4B"/>
    <w:rsid w:val="00AB5052"/>
    <w:rsid w:val="00AB5560"/>
    <w:rsid w:val="00AB5813"/>
    <w:rsid w:val="00AB5F6A"/>
    <w:rsid w:val="00AB6387"/>
    <w:rsid w:val="00AB691D"/>
    <w:rsid w:val="00AB6CD4"/>
    <w:rsid w:val="00AB6E69"/>
    <w:rsid w:val="00AB7137"/>
    <w:rsid w:val="00AB726A"/>
    <w:rsid w:val="00AC0349"/>
    <w:rsid w:val="00AC069D"/>
    <w:rsid w:val="00AC12BE"/>
    <w:rsid w:val="00AC1621"/>
    <w:rsid w:val="00AC1C40"/>
    <w:rsid w:val="00AC2473"/>
    <w:rsid w:val="00AC2582"/>
    <w:rsid w:val="00AC2E8A"/>
    <w:rsid w:val="00AC2EC1"/>
    <w:rsid w:val="00AC2F1A"/>
    <w:rsid w:val="00AC40D4"/>
    <w:rsid w:val="00AC447B"/>
    <w:rsid w:val="00AC4D14"/>
    <w:rsid w:val="00AC57DA"/>
    <w:rsid w:val="00AC58FC"/>
    <w:rsid w:val="00AC6173"/>
    <w:rsid w:val="00AC7410"/>
    <w:rsid w:val="00AC7D76"/>
    <w:rsid w:val="00AD0399"/>
    <w:rsid w:val="00AD0843"/>
    <w:rsid w:val="00AD1236"/>
    <w:rsid w:val="00AD1FB9"/>
    <w:rsid w:val="00AD21DA"/>
    <w:rsid w:val="00AD26A9"/>
    <w:rsid w:val="00AD2B58"/>
    <w:rsid w:val="00AD3487"/>
    <w:rsid w:val="00AD3849"/>
    <w:rsid w:val="00AD44DF"/>
    <w:rsid w:val="00AD48BE"/>
    <w:rsid w:val="00AD5425"/>
    <w:rsid w:val="00AD559E"/>
    <w:rsid w:val="00AD58E6"/>
    <w:rsid w:val="00AD5AD6"/>
    <w:rsid w:val="00AD5DF5"/>
    <w:rsid w:val="00AD5E01"/>
    <w:rsid w:val="00AD5E69"/>
    <w:rsid w:val="00AD6330"/>
    <w:rsid w:val="00AD66E0"/>
    <w:rsid w:val="00AD7660"/>
    <w:rsid w:val="00AD7AA1"/>
    <w:rsid w:val="00AE06AC"/>
    <w:rsid w:val="00AE081A"/>
    <w:rsid w:val="00AE0B06"/>
    <w:rsid w:val="00AE0EEA"/>
    <w:rsid w:val="00AE0FD1"/>
    <w:rsid w:val="00AE1144"/>
    <w:rsid w:val="00AE15BD"/>
    <w:rsid w:val="00AE16EC"/>
    <w:rsid w:val="00AE17A7"/>
    <w:rsid w:val="00AE1A3B"/>
    <w:rsid w:val="00AE2522"/>
    <w:rsid w:val="00AE2619"/>
    <w:rsid w:val="00AE2EA0"/>
    <w:rsid w:val="00AE38DC"/>
    <w:rsid w:val="00AE399C"/>
    <w:rsid w:val="00AE3A34"/>
    <w:rsid w:val="00AE3A75"/>
    <w:rsid w:val="00AE3B63"/>
    <w:rsid w:val="00AE3EBB"/>
    <w:rsid w:val="00AE45DD"/>
    <w:rsid w:val="00AE4847"/>
    <w:rsid w:val="00AE4D62"/>
    <w:rsid w:val="00AE4F06"/>
    <w:rsid w:val="00AE530E"/>
    <w:rsid w:val="00AE54E6"/>
    <w:rsid w:val="00AE5650"/>
    <w:rsid w:val="00AE592D"/>
    <w:rsid w:val="00AE5FE7"/>
    <w:rsid w:val="00AE6393"/>
    <w:rsid w:val="00AE6FC0"/>
    <w:rsid w:val="00AE7B86"/>
    <w:rsid w:val="00AE7E9B"/>
    <w:rsid w:val="00AF029B"/>
    <w:rsid w:val="00AF14E8"/>
    <w:rsid w:val="00AF1875"/>
    <w:rsid w:val="00AF2305"/>
    <w:rsid w:val="00AF29CB"/>
    <w:rsid w:val="00AF2A93"/>
    <w:rsid w:val="00AF3379"/>
    <w:rsid w:val="00AF33EF"/>
    <w:rsid w:val="00AF38F7"/>
    <w:rsid w:val="00AF4309"/>
    <w:rsid w:val="00AF46AA"/>
    <w:rsid w:val="00AF4AAD"/>
    <w:rsid w:val="00AF4E42"/>
    <w:rsid w:val="00AF5677"/>
    <w:rsid w:val="00AF596F"/>
    <w:rsid w:val="00AF5A22"/>
    <w:rsid w:val="00AF5D98"/>
    <w:rsid w:val="00AF61FF"/>
    <w:rsid w:val="00AF63E7"/>
    <w:rsid w:val="00AF66BF"/>
    <w:rsid w:val="00AF6711"/>
    <w:rsid w:val="00AF6A77"/>
    <w:rsid w:val="00AF6AE4"/>
    <w:rsid w:val="00AF7307"/>
    <w:rsid w:val="00B0049E"/>
    <w:rsid w:val="00B00805"/>
    <w:rsid w:val="00B0138E"/>
    <w:rsid w:val="00B014D5"/>
    <w:rsid w:val="00B027D1"/>
    <w:rsid w:val="00B02CB5"/>
    <w:rsid w:val="00B033FD"/>
    <w:rsid w:val="00B03A57"/>
    <w:rsid w:val="00B03B2D"/>
    <w:rsid w:val="00B03E60"/>
    <w:rsid w:val="00B03EBE"/>
    <w:rsid w:val="00B044C6"/>
    <w:rsid w:val="00B04EE5"/>
    <w:rsid w:val="00B05687"/>
    <w:rsid w:val="00B05898"/>
    <w:rsid w:val="00B06CB1"/>
    <w:rsid w:val="00B073C8"/>
    <w:rsid w:val="00B075B7"/>
    <w:rsid w:val="00B10095"/>
    <w:rsid w:val="00B10BDF"/>
    <w:rsid w:val="00B10DDA"/>
    <w:rsid w:val="00B11144"/>
    <w:rsid w:val="00B114A2"/>
    <w:rsid w:val="00B11E47"/>
    <w:rsid w:val="00B11FF2"/>
    <w:rsid w:val="00B12734"/>
    <w:rsid w:val="00B1284C"/>
    <w:rsid w:val="00B12B0E"/>
    <w:rsid w:val="00B12C23"/>
    <w:rsid w:val="00B12D40"/>
    <w:rsid w:val="00B1363E"/>
    <w:rsid w:val="00B1399C"/>
    <w:rsid w:val="00B13ED0"/>
    <w:rsid w:val="00B142C0"/>
    <w:rsid w:val="00B149AF"/>
    <w:rsid w:val="00B151B9"/>
    <w:rsid w:val="00B17381"/>
    <w:rsid w:val="00B178CB"/>
    <w:rsid w:val="00B17A5C"/>
    <w:rsid w:val="00B17E31"/>
    <w:rsid w:val="00B17F6E"/>
    <w:rsid w:val="00B20152"/>
    <w:rsid w:val="00B208B1"/>
    <w:rsid w:val="00B20D3A"/>
    <w:rsid w:val="00B21578"/>
    <w:rsid w:val="00B218B5"/>
    <w:rsid w:val="00B2190B"/>
    <w:rsid w:val="00B2222C"/>
    <w:rsid w:val="00B2279B"/>
    <w:rsid w:val="00B2360C"/>
    <w:rsid w:val="00B23B00"/>
    <w:rsid w:val="00B2485C"/>
    <w:rsid w:val="00B24F85"/>
    <w:rsid w:val="00B2512F"/>
    <w:rsid w:val="00B26221"/>
    <w:rsid w:val="00B2660B"/>
    <w:rsid w:val="00B27051"/>
    <w:rsid w:val="00B27573"/>
    <w:rsid w:val="00B27A34"/>
    <w:rsid w:val="00B30B71"/>
    <w:rsid w:val="00B30EF7"/>
    <w:rsid w:val="00B3106C"/>
    <w:rsid w:val="00B311C6"/>
    <w:rsid w:val="00B317AB"/>
    <w:rsid w:val="00B32485"/>
    <w:rsid w:val="00B3278D"/>
    <w:rsid w:val="00B33A4D"/>
    <w:rsid w:val="00B33AC6"/>
    <w:rsid w:val="00B34120"/>
    <w:rsid w:val="00B345C0"/>
    <w:rsid w:val="00B346F0"/>
    <w:rsid w:val="00B34F63"/>
    <w:rsid w:val="00B3556C"/>
    <w:rsid w:val="00B35670"/>
    <w:rsid w:val="00B367CA"/>
    <w:rsid w:val="00B36AE1"/>
    <w:rsid w:val="00B36B41"/>
    <w:rsid w:val="00B37866"/>
    <w:rsid w:val="00B37AF5"/>
    <w:rsid w:val="00B37CD1"/>
    <w:rsid w:val="00B400F2"/>
    <w:rsid w:val="00B4012B"/>
    <w:rsid w:val="00B40145"/>
    <w:rsid w:val="00B408D5"/>
    <w:rsid w:val="00B40EDB"/>
    <w:rsid w:val="00B41351"/>
    <w:rsid w:val="00B419E3"/>
    <w:rsid w:val="00B41CF3"/>
    <w:rsid w:val="00B42364"/>
    <w:rsid w:val="00B42519"/>
    <w:rsid w:val="00B4261A"/>
    <w:rsid w:val="00B429BE"/>
    <w:rsid w:val="00B42F3E"/>
    <w:rsid w:val="00B43126"/>
    <w:rsid w:val="00B436FB"/>
    <w:rsid w:val="00B43839"/>
    <w:rsid w:val="00B4391E"/>
    <w:rsid w:val="00B447CB"/>
    <w:rsid w:val="00B44B2E"/>
    <w:rsid w:val="00B44B7A"/>
    <w:rsid w:val="00B44E78"/>
    <w:rsid w:val="00B45ABB"/>
    <w:rsid w:val="00B4624E"/>
    <w:rsid w:val="00B46358"/>
    <w:rsid w:val="00B46934"/>
    <w:rsid w:val="00B46D62"/>
    <w:rsid w:val="00B47253"/>
    <w:rsid w:val="00B507B8"/>
    <w:rsid w:val="00B5091E"/>
    <w:rsid w:val="00B5098F"/>
    <w:rsid w:val="00B50B0E"/>
    <w:rsid w:val="00B50E7A"/>
    <w:rsid w:val="00B50EFE"/>
    <w:rsid w:val="00B51018"/>
    <w:rsid w:val="00B510C8"/>
    <w:rsid w:val="00B51176"/>
    <w:rsid w:val="00B51488"/>
    <w:rsid w:val="00B515A9"/>
    <w:rsid w:val="00B518A0"/>
    <w:rsid w:val="00B51E95"/>
    <w:rsid w:val="00B5275C"/>
    <w:rsid w:val="00B52ECD"/>
    <w:rsid w:val="00B53123"/>
    <w:rsid w:val="00B53193"/>
    <w:rsid w:val="00B537AF"/>
    <w:rsid w:val="00B53A21"/>
    <w:rsid w:val="00B53B49"/>
    <w:rsid w:val="00B548FA"/>
    <w:rsid w:val="00B549ED"/>
    <w:rsid w:val="00B54A0A"/>
    <w:rsid w:val="00B553D2"/>
    <w:rsid w:val="00B561F1"/>
    <w:rsid w:val="00B56576"/>
    <w:rsid w:val="00B56ECA"/>
    <w:rsid w:val="00B56FF3"/>
    <w:rsid w:val="00B5787D"/>
    <w:rsid w:val="00B57AFD"/>
    <w:rsid w:val="00B57EA9"/>
    <w:rsid w:val="00B61167"/>
    <w:rsid w:val="00B6135C"/>
    <w:rsid w:val="00B61F7B"/>
    <w:rsid w:val="00B628F7"/>
    <w:rsid w:val="00B6306C"/>
    <w:rsid w:val="00B6338A"/>
    <w:rsid w:val="00B63713"/>
    <w:rsid w:val="00B641F8"/>
    <w:rsid w:val="00B64399"/>
    <w:rsid w:val="00B6474D"/>
    <w:rsid w:val="00B64C8F"/>
    <w:rsid w:val="00B64D07"/>
    <w:rsid w:val="00B64F3D"/>
    <w:rsid w:val="00B65250"/>
    <w:rsid w:val="00B6541C"/>
    <w:rsid w:val="00B65C63"/>
    <w:rsid w:val="00B65CDD"/>
    <w:rsid w:val="00B66BA7"/>
    <w:rsid w:val="00B67003"/>
    <w:rsid w:val="00B67433"/>
    <w:rsid w:val="00B67DC5"/>
    <w:rsid w:val="00B7015B"/>
    <w:rsid w:val="00B706A4"/>
    <w:rsid w:val="00B7110F"/>
    <w:rsid w:val="00B7228A"/>
    <w:rsid w:val="00B72C79"/>
    <w:rsid w:val="00B7361F"/>
    <w:rsid w:val="00B74438"/>
    <w:rsid w:val="00B7517F"/>
    <w:rsid w:val="00B75804"/>
    <w:rsid w:val="00B75AEC"/>
    <w:rsid w:val="00B75CDF"/>
    <w:rsid w:val="00B75F30"/>
    <w:rsid w:val="00B7624D"/>
    <w:rsid w:val="00B7662E"/>
    <w:rsid w:val="00B774B3"/>
    <w:rsid w:val="00B77754"/>
    <w:rsid w:val="00B809C1"/>
    <w:rsid w:val="00B82086"/>
    <w:rsid w:val="00B82395"/>
    <w:rsid w:val="00B826BA"/>
    <w:rsid w:val="00B827BC"/>
    <w:rsid w:val="00B830D7"/>
    <w:rsid w:val="00B83113"/>
    <w:rsid w:val="00B8371B"/>
    <w:rsid w:val="00B8379D"/>
    <w:rsid w:val="00B83919"/>
    <w:rsid w:val="00B83C06"/>
    <w:rsid w:val="00B841A5"/>
    <w:rsid w:val="00B84E8C"/>
    <w:rsid w:val="00B85BFC"/>
    <w:rsid w:val="00B85E02"/>
    <w:rsid w:val="00B86591"/>
    <w:rsid w:val="00B8679D"/>
    <w:rsid w:val="00B87772"/>
    <w:rsid w:val="00B87C01"/>
    <w:rsid w:val="00B9089C"/>
    <w:rsid w:val="00B9098A"/>
    <w:rsid w:val="00B90A89"/>
    <w:rsid w:val="00B91263"/>
    <w:rsid w:val="00B91D5E"/>
    <w:rsid w:val="00B926A6"/>
    <w:rsid w:val="00B927E5"/>
    <w:rsid w:val="00B9346C"/>
    <w:rsid w:val="00B93DB0"/>
    <w:rsid w:val="00B93FAE"/>
    <w:rsid w:val="00B94BCC"/>
    <w:rsid w:val="00B959BC"/>
    <w:rsid w:val="00B95A10"/>
    <w:rsid w:val="00B96268"/>
    <w:rsid w:val="00B9628D"/>
    <w:rsid w:val="00B9716B"/>
    <w:rsid w:val="00B973B0"/>
    <w:rsid w:val="00B975F3"/>
    <w:rsid w:val="00BA0568"/>
    <w:rsid w:val="00BA05EF"/>
    <w:rsid w:val="00BA0B22"/>
    <w:rsid w:val="00BA0FED"/>
    <w:rsid w:val="00BA1931"/>
    <w:rsid w:val="00BA1D40"/>
    <w:rsid w:val="00BA1E11"/>
    <w:rsid w:val="00BA1ECA"/>
    <w:rsid w:val="00BA2603"/>
    <w:rsid w:val="00BA2E0C"/>
    <w:rsid w:val="00BA33C3"/>
    <w:rsid w:val="00BA4049"/>
    <w:rsid w:val="00BA40AE"/>
    <w:rsid w:val="00BA4426"/>
    <w:rsid w:val="00BA4F76"/>
    <w:rsid w:val="00BA55FC"/>
    <w:rsid w:val="00BA5F95"/>
    <w:rsid w:val="00BA6101"/>
    <w:rsid w:val="00BA6971"/>
    <w:rsid w:val="00BA7590"/>
    <w:rsid w:val="00BA7D01"/>
    <w:rsid w:val="00BB0615"/>
    <w:rsid w:val="00BB067D"/>
    <w:rsid w:val="00BB06D5"/>
    <w:rsid w:val="00BB0C16"/>
    <w:rsid w:val="00BB159E"/>
    <w:rsid w:val="00BB1776"/>
    <w:rsid w:val="00BB18C8"/>
    <w:rsid w:val="00BB1978"/>
    <w:rsid w:val="00BB1EA7"/>
    <w:rsid w:val="00BB2D34"/>
    <w:rsid w:val="00BB3B42"/>
    <w:rsid w:val="00BB4195"/>
    <w:rsid w:val="00BB438F"/>
    <w:rsid w:val="00BB4C59"/>
    <w:rsid w:val="00BB4D60"/>
    <w:rsid w:val="00BB66FB"/>
    <w:rsid w:val="00BB69A5"/>
    <w:rsid w:val="00BB6D90"/>
    <w:rsid w:val="00BB6E52"/>
    <w:rsid w:val="00BB72C2"/>
    <w:rsid w:val="00BB795C"/>
    <w:rsid w:val="00BC014A"/>
    <w:rsid w:val="00BC0338"/>
    <w:rsid w:val="00BC07A1"/>
    <w:rsid w:val="00BC09E1"/>
    <w:rsid w:val="00BC0EFB"/>
    <w:rsid w:val="00BC2093"/>
    <w:rsid w:val="00BC21EE"/>
    <w:rsid w:val="00BC2884"/>
    <w:rsid w:val="00BC33A5"/>
    <w:rsid w:val="00BC3BE4"/>
    <w:rsid w:val="00BC3FF1"/>
    <w:rsid w:val="00BC4016"/>
    <w:rsid w:val="00BC4815"/>
    <w:rsid w:val="00BC57A1"/>
    <w:rsid w:val="00BC64D5"/>
    <w:rsid w:val="00BC6519"/>
    <w:rsid w:val="00BC6583"/>
    <w:rsid w:val="00BC65D8"/>
    <w:rsid w:val="00BC6BBB"/>
    <w:rsid w:val="00BC6D5C"/>
    <w:rsid w:val="00BC6D6C"/>
    <w:rsid w:val="00BC77CA"/>
    <w:rsid w:val="00BC7AB6"/>
    <w:rsid w:val="00BD002B"/>
    <w:rsid w:val="00BD0468"/>
    <w:rsid w:val="00BD0575"/>
    <w:rsid w:val="00BD0744"/>
    <w:rsid w:val="00BD0F09"/>
    <w:rsid w:val="00BD11A4"/>
    <w:rsid w:val="00BD1415"/>
    <w:rsid w:val="00BD16B1"/>
    <w:rsid w:val="00BD188B"/>
    <w:rsid w:val="00BD277D"/>
    <w:rsid w:val="00BD2BC2"/>
    <w:rsid w:val="00BD2D86"/>
    <w:rsid w:val="00BD2F5C"/>
    <w:rsid w:val="00BD316B"/>
    <w:rsid w:val="00BD3DA1"/>
    <w:rsid w:val="00BD4653"/>
    <w:rsid w:val="00BD46B2"/>
    <w:rsid w:val="00BD4D3A"/>
    <w:rsid w:val="00BD4D49"/>
    <w:rsid w:val="00BD4F6D"/>
    <w:rsid w:val="00BD560B"/>
    <w:rsid w:val="00BD5F99"/>
    <w:rsid w:val="00BD6475"/>
    <w:rsid w:val="00BD6598"/>
    <w:rsid w:val="00BD7126"/>
    <w:rsid w:val="00BE0017"/>
    <w:rsid w:val="00BE0D2D"/>
    <w:rsid w:val="00BE0EBE"/>
    <w:rsid w:val="00BE1A47"/>
    <w:rsid w:val="00BE1A80"/>
    <w:rsid w:val="00BE2093"/>
    <w:rsid w:val="00BE2499"/>
    <w:rsid w:val="00BE24D1"/>
    <w:rsid w:val="00BE2521"/>
    <w:rsid w:val="00BE2F91"/>
    <w:rsid w:val="00BE33A1"/>
    <w:rsid w:val="00BE37B0"/>
    <w:rsid w:val="00BE3994"/>
    <w:rsid w:val="00BE3B41"/>
    <w:rsid w:val="00BE4099"/>
    <w:rsid w:val="00BE4B68"/>
    <w:rsid w:val="00BE4F5A"/>
    <w:rsid w:val="00BE52B8"/>
    <w:rsid w:val="00BE555A"/>
    <w:rsid w:val="00BE5A02"/>
    <w:rsid w:val="00BE5C95"/>
    <w:rsid w:val="00BE6259"/>
    <w:rsid w:val="00BE65B8"/>
    <w:rsid w:val="00BE6721"/>
    <w:rsid w:val="00BE7B4B"/>
    <w:rsid w:val="00BF00D7"/>
    <w:rsid w:val="00BF0271"/>
    <w:rsid w:val="00BF06DD"/>
    <w:rsid w:val="00BF0748"/>
    <w:rsid w:val="00BF09B3"/>
    <w:rsid w:val="00BF0DB3"/>
    <w:rsid w:val="00BF12C4"/>
    <w:rsid w:val="00BF1675"/>
    <w:rsid w:val="00BF27AA"/>
    <w:rsid w:val="00BF2C0E"/>
    <w:rsid w:val="00BF2D11"/>
    <w:rsid w:val="00BF3908"/>
    <w:rsid w:val="00BF48C4"/>
    <w:rsid w:val="00BF5376"/>
    <w:rsid w:val="00BF5446"/>
    <w:rsid w:val="00BF5CFA"/>
    <w:rsid w:val="00BF5E81"/>
    <w:rsid w:val="00BF65CA"/>
    <w:rsid w:val="00BF7192"/>
    <w:rsid w:val="00C00045"/>
    <w:rsid w:val="00C00701"/>
    <w:rsid w:val="00C01123"/>
    <w:rsid w:val="00C01828"/>
    <w:rsid w:val="00C021E0"/>
    <w:rsid w:val="00C029DC"/>
    <w:rsid w:val="00C0388C"/>
    <w:rsid w:val="00C03A44"/>
    <w:rsid w:val="00C03AF4"/>
    <w:rsid w:val="00C03CDC"/>
    <w:rsid w:val="00C03F66"/>
    <w:rsid w:val="00C046AF"/>
    <w:rsid w:val="00C04CC4"/>
    <w:rsid w:val="00C058F0"/>
    <w:rsid w:val="00C07AAB"/>
    <w:rsid w:val="00C07CB0"/>
    <w:rsid w:val="00C103A4"/>
    <w:rsid w:val="00C10460"/>
    <w:rsid w:val="00C10670"/>
    <w:rsid w:val="00C10915"/>
    <w:rsid w:val="00C10AB0"/>
    <w:rsid w:val="00C10FE9"/>
    <w:rsid w:val="00C11081"/>
    <w:rsid w:val="00C1110D"/>
    <w:rsid w:val="00C11A50"/>
    <w:rsid w:val="00C12561"/>
    <w:rsid w:val="00C125A0"/>
    <w:rsid w:val="00C127B1"/>
    <w:rsid w:val="00C12994"/>
    <w:rsid w:val="00C12CCF"/>
    <w:rsid w:val="00C134B7"/>
    <w:rsid w:val="00C1352D"/>
    <w:rsid w:val="00C13A3E"/>
    <w:rsid w:val="00C13EE1"/>
    <w:rsid w:val="00C14B6B"/>
    <w:rsid w:val="00C1512E"/>
    <w:rsid w:val="00C15155"/>
    <w:rsid w:val="00C1524C"/>
    <w:rsid w:val="00C154C6"/>
    <w:rsid w:val="00C1585C"/>
    <w:rsid w:val="00C159E6"/>
    <w:rsid w:val="00C15E5D"/>
    <w:rsid w:val="00C15E87"/>
    <w:rsid w:val="00C16442"/>
    <w:rsid w:val="00C172AF"/>
    <w:rsid w:val="00C175D0"/>
    <w:rsid w:val="00C17F5A"/>
    <w:rsid w:val="00C206B4"/>
    <w:rsid w:val="00C2096B"/>
    <w:rsid w:val="00C2120C"/>
    <w:rsid w:val="00C2165D"/>
    <w:rsid w:val="00C21A8D"/>
    <w:rsid w:val="00C21C0D"/>
    <w:rsid w:val="00C21E2C"/>
    <w:rsid w:val="00C222F3"/>
    <w:rsid w:val="00C225C2"/>
    <w:rsid w:val="00C22D8B"/>
    <w:rsid w:val="00C22ED0"/>
    <w:rsid w:val="00C24865"/>
    <w:rsid w:val="00C24919"/>
    <w:rsid w:val="00C24C54"/>
    <w:rsid w:val="00C24DB0"/>
    <w:rsid w:val="00C255CE"/>
    <w:rsid w:val="00C2577F"/>
    <w:rsid w:val="00C25F91"/>
    <w:rsid w:val="00C26B1C"/>
    <w:rsid w:val="00C2716F"/>
    <w:rsid w:val="00C274AA"/>
    <w:rsid w:val="00C27868"/>
    <w:rsid w:val="00C27F58"/>
    <w:rsid w:val="00C30414"/>
    <w:rsid w:val="00C30519"/>
    <w:rsid w:val="00C3077C"/>
    <w:rsid w:val="00C31A80"/>
    <w:rsid w:val="00C3235F"/>
    <w:rsid w:val="00C3244B"/>
    <w:rsid w:val="00C32965"/>
    <w:rsid w:val="00C33685"/>
    <w:rsid w:val="00C33CF4"/>
    <w:rsid w:val="00C34222"/>
    <w:rsid w:val="00C3426D"/>
    <w:rsid w:val="00C343AC"/>
    <w:rsid w:val="00C346EA"/>
    <w:rsid w:val="00C34FC1"/>
    <w:rsid w:val="00C350CA"/>
    <w:rsid w:val="00C355B8"/>
    <w:rsid w:val="00C355E4"/>
    <w:rsid w:val="00C35934"/>
    <w:rsid w:val="00C35A95"/>
    <w:rsid w:val="00C3666E"/>
    <w:rsid w:val="00C367B5"/>
    <w:rsid w:val="00C37072"/>
    <w:rsid w:val="00C41841"/>
    <w:rsid w:val="00C41AE2"/>
    <w:rsid w:val="00C42341"/>
    <w:rsid w:val="00C42714"/>
    <w:rsid w:val="00C431C9"/>
    <w:rsid w:val="00C445C5"/>
    <w:rsid w:val="00C44ADA"/>
    <w:rsid w:val="00C44BC8"/>
    <w:rsid w:val="00C44D5E"/>
    <w:rsid w:val="00C4603C"/>
    <w:rsid w:val="00C46060"/>
    <w:rsid w:val="00C467DC"/>
    <w:rsid w:val="00C471FB"/>
    <w:rsid w:val="00C47B95"/>
    <w:rsid w:val="00C47CD5"/>
    <w:rsid w:val="00C50711"/>
    <w:rsid w:val="00C513AA"/>
    <w:rsid w:val="00C517C9"/>
    <w:rsid w:val="00C520A9"/>
    <w:rsid w:val="00C523C6"/>
    <w:rsid w:val="00C52507"/>
    <w:rsid w:val="00C525BA"/>
    <w:rsid w:val="00C52BF5"/>
    <w:rsid w:val="00C53065"/>
    <w:rsid w:val="00C5321F"/>
    <w:rsid w:val="00C533B3"/>
    <w:rsid w:val="00C5399C"/>
    <w:rsid w:val="00C53F66"/>
    <w:rsid w:val="00C54204"/>
    <w:rsid w:val="00C54A42"/>
    <w:rsid w:val="00C550B4"/>
    <w:rsid w:val="00C555F7"/>
    <w:rsid w:val="00C55796"/>
    <w:rsid w:val="00C55EF8"/>
    <w:rsid w:val="00C563F0"/>
    <w:rsid w:val="00C56446"/>
    <w:rsid w:val="00C57077"/>
    <w:rsid w:val="00C571B4"/>
    <w:rsid w:val="00C60186"/>
    <w:rsid w:val="00C60207"/>
    <w:rsid w:val="00C60863"/>
    <w:rsid w:val="00C60AAD"/>
    <w:rsid w:val="00C60BD6"/>
    <w:rsid w:val="00C60ED8"/>
    <w:rsid w:val="00C61094"/>
    <w:rsid w:val="00C613E7"/>
    <w:rsid w:val="00C62033"/>
    <w:rsid w:val="00C6285D"/>
    <w:rsid w:val="00C62B1F"/>
    <w:rsid w:val="00C6332F"/>
    <w:rsid w:val="00C63363"/>
    <w:rsid w:val="00C639E3"/>
    <w:rsid w:val="00C63A0A"/>
    <w:rsid w:val="00C63A53"/>
    <w:rsid w:val="00C63EE4"/>
    <w:rsid w:val="00C640E3"/>
    <w:rsid w:val="00C642D4"/>
    <w:rsid w:val="00C64D5C"/>
    <w:rsid w:val="00C670DF"/>
    <w:rsid w:val="00C671D8"/>
    <w:rsid w:val="00C67B9A"/>
    <w:rsid w:val="00C67C4B"/>
    <w:rsid w:val="00C67EF4"/>
    <w:rsid w:val="00C70462"/>
    <w:rsid w:val="00C70563"/>
    <w:rsid w:val="00C7077E"/>
    <w:rsid w:val="00C70959"/>
    <w:rsid w:val="00C70A7E"/>
    <w:rsid w:val="00C70AB7"/>
    <w:rsid w:val="00C70F94"/>
    <w:rsid w:val="00C71292"/>
    <w:rsid w:val="00C71484"/>
    <w:rsid w:val="00C716CA"/>
    <w:rsid w:val="00C71891"/>
    <w:rsid w:val="00C71AF4"/>
    <w:rsid w:val="00C71F03"/>
    <w:rsid w:val="00C720C2"/>
    <w:rsid w:val="00C72303"/>
    <w:rsid w:val="00C72305"/>
    <w:rsid w:val="00C73092"/>
    <w:rsid w:val="00C735A7"/>
    <w:rsid w:val="00C73809"/>
    <w:rsid w:val="00C7427B"/>
    <w:rsid w:val="00C744A6"/>
    <w:rsid w:val="00C744D5"/>
    <w:rsid w:val="00C746B7"/>
    <w:rsid w:val="00C74839"/>
    <w:rsid w:val="00C74E01"/>
    <w:rsid w:val="00C75031"/>
    <w:rsid w:val="00C754BD"/>
    <w:rsid w:val="00C755F9"/>
    <w:rsid w:val="00C76C5F"/>
    <w:rsid w:val="00C76FAC"/>
    <w:rsid w:val="00C77D01"/>
    <w:rsid w:val="00C80251"/>
    <w:rsid w:val="00C80A83"/>
    <w:rsid w:val="00C80BE0"/>
    <w:rsid w:val="00C811C1"/>
    <w:rsid w:val="00C81288"/>
    <w:rsid w:val="00C812F1"/>
    <w:rsid w:val="00C81CC0"/>
    <w:rsid w:val="00C828DE"/>
    <w:rsid w:val="00C82E6F"/>
    <w:rsid w:val="00C8330B"/>
    <w:rsid w:val="00C8335F"/>
    <w:rsid w:val="00C83CBA"/>
    <w:rsid w:val="00C841B7"/>
    <w:rsid w:val="00C841D3"/>
    <w:rsid w:val="00C845B8"/>
    <w:rsid w:val="00C8566F"/>
    <w:rsid w:val="00C859AE"/>
    <w:rsid w:val="00C85C85"/>
    <w:rsid w:val="00C85E94"/>
    <w:rsid w:val="00C86C20"/>
    <w:rsid w:val="00C8707C"/>
    <w:rsid w:val="00C876E5"/>
    <w:rsid w:val="00C87C43"/>
    <w:rsid w:val="00C87D98"/>
    <w:rsid w:val="00C90524"/>
    <w:rsid w:val="00C90790"/>
    <w:rsid w:val="00C915D8"/>
    <w:rsid w:val="00C920F9"/>
    <w:rsid w:val="00C9228A"/>
    <w:rsid w:val="00C9238A"/>
    <w:rsid w:val="00C92682"/>
    <w:rsid w:val="00C926FE"/>
    <w:rsid w:val="00C93972"/>
    <w:rsid w:val="00C93B0E"/>
    <w:rsid w:val="00C93BD1"/>
    <w:rsid w:val="00C9454D"/>
    <w:rsid w:val="00C9493B"/>
    <w:rsid w:val="00C94D9B"/>
    <w:rsid w:val="00C962F3"/>
    <w:rsid w:val="00C96768"/>
    <w:rsid w:val="00C9710E"/>
    <w:rsid w:val="00C9757C"/>
    <w:rsid w:val="00C979D0"/>
    <w:rsid w:val="00C97AE6"/>
    <w:rsid w:val="00CA0902"/>
    <w:rsid w:val="00CA0D34"/>
    <w:rsid w:val="00CA13CD"/>
    <w:rsid w:val="00CA1A0A"/>
    <w:rsid w:val="00CA1F7F"/>
    <w:rsid w:val="00CA2346"/>
    <w:rsid w:val="00CA24F4"/>
    <w:rsid w:val="00CA29F2"/>
    <w:rsid w:val="00CA3DEF"/>
    <w:rsid w:val="00CA410E"/>
    <w:rsid w:val="00CA447E"/>
    <w:rsid w:val="00CA48A4"/>
    <w:rsid w:val="00CA48CD"/>
    <w:rsid w:val="00CA5992"/>
    <w:rsid w:val="00CA5C08"/>
    <w:rsid w:val="00CA7733"/>
    <w:rsid w:val="00CA7739"/>
    <w:rsid w:val="00CA776F"/>
    <w:rsid w:val="00CA7B01"/>
    <w:rsid w:val="00CB01D0"/>
    <w:rsid w:val="00CB0656"/>
    <w:rsid w:val="00CB0CDF"/>
    <w:rsid w:val="00CB0FE7"/>
    <w:rsid w:val="00CB1475"/>
    <w:rsid w:val="00CB1504"/>
    <w:rsid w:val="00CB1BA7"/>
    <w:rsid w:val="00CB1DDE"/>
    <w:rsid w:val="00CB27FD"/>
    <w:rsid w:val="00CB2932"/>
    <w:rsid w:val="00CB357A"/>
    <w:rsid w:val="00CB3B91"/>
    <w:rsid w:val="00CB4D87"/>
    <w:rsid w:val="00CB5090"/>
    <w:rsid w:val="00CB528D"/>
    <w:rsid w:val="00CB567C"/>
    <w:rsid w:val="00CB5FAA"/>
    <w:rsid w:val="00CB635C"/>
    <w:rsid w:val="00CB67C1"/>
    <w:rsid w:val="00CB6D9D"/>
    <w:rsid w:val="00CB70FE"/>
    <w:rsid w:val="00CB7214"/>
    <w:rsid w:val="00CB7321"/>
    <w:rsid w:val="00CB7E0A"/>
    <w:rsid w:val="00CC15F9"/>
    <w:rsid w:val="00CC185B"/>
    <w:rsid w:val="00CC203E"/>
    <w:rsid w:val="00CC2302"/>
    <w:rsid w:val="00CC29C4"/>
    <w:rsid w:val="00CC2F43"/>
    <w:rsid w:val="00CC3027"/>
    <w:rsid w:val="00CC345F"/>
    <w:rsid w:val="00CC378B"/>
    <w:rsid w:val="00CC4178"/>
    <w:rsid w:val="00CC421B"/>
    <w:rsid w:val="00CC42B7"/>
    <w:rsid w:val="00CC4930"/>
    <w:rsid w:val="00CC5210"/>
    <w:rsid w:val="00CC52CC"/>
    <w:rsid w:val="00CC5D09"/>
    <w:rsid w:val="00CC741B"/>
    <w:rsid w:val="00CC7921"/>
    <w:rsid w:val="00CC7ADF"/>
    <w:rsid w:val="00CD0366"/>
    <w:rsid w:val="00CD04EE"/>
    <w:rsid w:val="00CD07E7"/>
    <w:rsid w:val="00CD0AD4"/>
    <w:rsid w:val="00CD10AE"/>
    <w:rsid w:val="00CD116B"/>
    <w:rsid w:val="00CD1BB4"/>
    <w:rsid w:val="00CD1BC6"/>
    <w:rsid w:val="00CD1EF6"/>
    <w:rsid w:val="00CD24AB"/>
    <w:rsid w:val="00CD27EE"/>
    <w:rsid w:val="00CD32EF"/>
    <w:rsid w:val="00CD344C"/>
    <w:rsid w:val="00CD34AF"/>
    <w:rsid w:val="00CD3535"/>
    <w:rsid w:val="00CD3B46"/>
    <w:rsid w:val="00CD4284"/>
    <w:rsid w:val="00CD4C2D"/>
    <w:rsid w:val="00CD4F6B"/>
    <w:rsid w:val="00CD5650"/>
    <w:rsid w:val="00CD57A7"/>
    <w:rsid w:val="00CD5E6F"/>
    <w:rsid w:val="00CD619F"/>
    <w:rsid w:val="00CD6DD0"/>
    <w:rsid w:val="00CD7445"/>
    <w:rsid w:val="00CD7A10"/>
    <w:rsid w:val="00CD7B58"/>
    <w:rsid w:val="00CD7B8A"/>
    <w:rsid w:val="00CE07CF"/>
    <w:rsid w:val="00CE08AA"/>
    <w:rsid w:val="00CE0C46"/>
    <w:rsid w:val="00CE0EEF"/>
    <w:rsid w:val="00CE10BD"/>
    <w:rsid w:val="00CE18F0"/>
    <w:rsid w:val="00CE1F17"/>
    <w:rsid w:val="00CE21C1"/>
    <w:rsid w:val="00CE26B4"/>
    <w:rsid w:val="00CE2741"/>
    <w:rsid w:val="00CE30B6"/>
    <w:rsid w:val="00CE3857"/>
    <w:rsid w:val="00CE387B"/>
    <w:rsid w:val="00CE39F3"/>
    <w:rsid w:val="00CE3ADE"/>
    <w:rsid w:val="00CE4404"/>
    <w:rsid w:val="00CE4AA1"/>
    <w:rsid w:val="00CE4E9D"/>
    <w:rsid w:val="00CE4FFE"/>
    <w:rsid w:val="00CE5321"/>
    <w:rsid w:val="00CE54CA"/>
    <w:rsid w:val="00CE5C9B"/>
    <w:rsid w:val="00CE7F13"/>
    <w:rsid w:val="00CF0480"/>
    <w:rsid w:val="00CF0570"/>
    <w:rsid w:val="00CF0F8F"/>
    <w:rsid w:val="00CF1887"/>
    <w:rsid w:val="00CF1A5F"/>
    <w:rsid w:val="00CF20F1"/>
    <w:rsid w:val="00CF26BF"/>
    <w:rsid w:val="00CF2E4E"/>
    <w:rsid w:val="00CF3FB2"/>
    <w:rsid w:val="00CF5B40"/>
    <w:rsid w:val="00CF602B"/>
    <w:rsid w:val="00CF66A7"/>
    <w:rsid w:val="00CF6E48"/>
    <w:rsid w:val="00CF775D"/>
    <w:rsid w:val="00CF7A77"/>
    <w:rsid w:val="00D00140"/>
    <w:rsid w:val="00D004BE"/>
    <w:rsid w:val="00D004E2"/>
    <w:rsid w:val="00D00A03"/>
    <w:rsid w:val="00D00CF4"/>
    <w:rsid w:val="00D00DBC"/>
    <w:rsid w:val="00D0135A"/>
    <w:rsid w:val="00D018D1"/>
    <w:rsid w:val="00D01B6D"/>
    <w:rsid w:val="00D0233E"/>
    <w:rsid w:val="00D028D3"/>
    <w:rsid w:val="00D02FEF"/>
    <w:rsid w:val="00D03575"/>
    <w:rsid w:val="00D03586"/>
    <w:rsid w:val="00D03B28"/>
    <w:rsid w:val="00D042DC"/>
    <w:rsid w:val="00D0441F"/>
    <w:rsid w:val="00D04B98"/>
    <w:rsid w:val="00D05726"/>
    <w:rsid w:val="00D06834"/>
    <w:rsid w:val="00D070EB"/>
    <w:rsid w:val="00D075C6"/>
    <w:rsid w:val="00D10CFE"/>
    <w:rsid w:val="00D11711"/>
    <w:rsid w:val="00D11B0B"/>
    <w:rsid w:val="00D13AB7"/>
    <w:rsid w:val="00D1455C"/>
    <w:rsid w:val="00D1476D"/>
    <w:rsid w:val="00D147E2"/>
    <w:rsid w:val="00D148EC"/>
    <w:rsid w:val="00D14FB9"/>
    <w:rsid w:val="00D14FBB"/>
    <w:rsid w:val="00D15057"/>
    <w:rsid w:val="00D169D5"/>
    <w:rsid w:val="00D169DA"/>
    <w:rsid w:val="00D16CF6"/>
    <w:rsid w:val="00D1706A"/>
    <w:rsid w:val="00D170A9"/>
    <w:rsid w:val="00D17231"/>
    <w:rsid w:val="00D17605"/>
    <w:rsid w:val="00D17879"/>
    <w:rsid w:val="00D178B6"/>
    <w:rsid w:val="00D17CD9"/>
    <w:rsid w:val="00D213E9"/>
    <w:rsid w:val="00D2255D"/>
    <w:rsid w:val="00D22650"/>
    <w:rsid w:val="00D22A42"/>
    <w:rsid w:val="00D22C8B"/>
    <w:rsid w:val="00D22E7F"/>
    <w:rsid w:val="00D2398D"/>
    <w:rsid w:val="00D23AB7"/>
    <w:rsid w:val="00D23CFA"/>
    <w:rsid w:val="00D23D5D"/>
    <w:rsid w:val="00D24CDA"/>
    <w:rsid w:val="00D24F8A"/>
    <w:rsid w:val="00D25230"/>
    <w:rsid w:val="00D25656"/>
    <w:rsid w:val="00D25E96"/>
    <w:rsid w:val="00D268C5"/>
    <w:rsid w:val="00D26F18"/>
    <w:rsid w:val="00D26FDC"/>
    <w:rsid w:val="00D27003"/>
    <w:rsid w:val="00D27784"/>
    <w:rsid w:val="00D27DE4"/>
    <w:rsid w:val="00D30E72"/>
    <w:rsid w:val="00D3101D"/>
    <w:rsid w:val="00D31C13"/>
    <w:rsid w:val="00D31F1B"/>
    <w:rsid w:val="00D3263D"/>
    <w:rsid w:val="00D32BBA"/>
    <w:rsid w:val="00D32DA6"/>
    <w:rsid w:val="00D32ECC"/>
    <w:rsid w:val="00D33088"/>
    <w:rsid w:val="00D33B6C"/>
    <w:rsid w:val="00D33E8E"/>
    <w:rsid w:val="00D3454C"/>
    <w:rsid w:val="00D34EE7"/>
    <w:rsid w:val="00D35D9A"/>
    <w:rsid w:val="00D35F89"/>
    <w:rsid w:val="00D36681"/>
    <w:rsid w:val="00D3737A"/>
    <w:rsid w:val="00D37C1B"/>
    <w:rsid w:val="00D37F45"/>
    <w:rsid w:val="00D40184"/>
    <w:rsid w:val="00D40602"/>
    <w:rsid w:val="00D40A9C"/>
    <w:rsid w:val="00D40D8E"/>
    <w:rsid w:val="00D40FCB"/>
    <w:rsid w:val="00D4105E"/>
    <w:rsid w:val="00D412DA"/>
    <w:rsid w:val="00D41DB5"/>
    <w:rsid w:val="00D42CE6"/>
    <w:rsid w:val="00D42E24"/>
    <w:rsid w:val="00D42EE2"/>
    <w:rsid w:val="00D42EE3"/>
    <w:rsid w:val="00D4342C"/>
    <w:rsid w:val="00D43D59"/>
    <w:rsid w:val="00D45470"/>
    <w:rsid w:val="00D455F0"/>
    <w:rsid w:val="00D45E2A"/>
    <w:rsid w:val="00D45F95"/>
    <w:rsid w:val="00D46107"/>
    <w:rsid w:val="00D46367"/>
    <w:rsid w:val="00D464D5"/>
    <w:rsid w:val="00D4665E"/>
    <w:rsid w:val="00D46879"/>
    <w:rsid w:val="00D46A1B"/>
    <w:rsid w:val="00D46CBC"/>
    <w:rsid w:val="00D47014"/>
    <w:rsid w:val="00D47A24"/>
    <w:rsid w:val="00D47F06"/>
    <w:rsid w:val="00D503A6"/>
    <w:rsid w:val="00D50854"/>
    <w:rsid w:val="00D50899"/>
    <w:rsid w:val="00D516BD"/>
    <w:rsid w:val="00D521DB"/>
    <w:rsid w:val="00D52372"/>
    <w:rsid w:val="00D52395"/>
    <w:rsid w:val="00D529DD"/>
    <w:rsid w:val="00D52FF0"/>
    <w:rsid w:val="00D53797"/>
    <w:rsid w:val="00D53997"/>
    <w:rsid w:val="00D54158"/>
    <w:rsid w:val="00D54293"/>
    <w:rsid w:val="00D54638"/>
    <w:rsid w:val="00D5494F"/>
    <w:rsid w:val="00D54FAF"/>
    <w:rsid w:val="00D55AD8"/>
    <w:rsid w:val="00D55D46"/>
    <w:rsid w:val="00D560AE"/>
    <w:rsid w:val="00D565DA"/>
    <w:rsid w:val="00D56725"/>
    <w:rsid w:val="00D56823"/>
    <w:rsid w:val="00D5688B"/>
    <w:rsid w:val="00D56A96"/>
    <w:rsid w:val="00D572B5"/>
    <w:rsid w:val="00D578BD"/>
    <w:rsid w:val="00D57A75"/>
    <w:rsid w:val="00D6007B"/>
    <w:rsid w:val="00D60362"/>
    <w:rsid w:val="00D60DAA"/>
    <w:rsid w:val="00D61710"/>
    <w:rsid w:val="00D619DA"/>
    <w:rsid w:val="00D6295F"/>
    <w:rsid w:val="00D63144"/>
    <w:rsid w:val="00D636C7"/>
    <w:rsid w:val="00D6393C"/>
    <w:rsid w:val="00D63D53"/>
    <w:rsid w:val="00D63D77"/>
    <w:rsid w:val="00D6448E"/>
    <w:rsid w:val="00D6459F"/>
    <w:rsid w:val="00D65272"/>
    <w:rsid w:val="00D659E0"/>
    <w:rsid w:val="00D66050"/>
    <w:rsid w:val="00D66645"/>
    <w:rsid w:val="00D666A2"/>
    <w:rsid w:val="00D668A5"/>
    <w:rsid w:val="00D673EA"/>
    <w:rsid w:val="00D677F6"/>
    <w:rsid w:val="00D67C93"/>
    <w:rsid w:val="00D67CAE"/>
    <w:rsid w:val="00D71C1B"/>
    <w:rsid w:val="00D72181"/>
    <w:rsid w:val="00D7272D"/>
    <w:rsid w:val="00D72B3C"/>
    <w:rsid w:val="00D73566"/>
    <w:rsid w:val="00D73881"/>
    <w:rsid w:val="00D7396F"/>
    <w:rsid w:val="00D73B49"/>
    <w:rsid w:val="00D73DB3"/>
    <w:rsid w:val="00D74559"/>
    <w:rsid w:val="00D7523E"/>
    <w:rsid w:val="00D75B61"/>
    <w:rsid w:val="00D763DF"/>
    <w:rsid w:val="00D768B5"/>
    <w:rsid w:val="00D76A33"/>
    <w:rsid w:val="00D76ACB"/>
    <w:rsid w:val="00D76E16"/>
    <w:rsid w:val="00D774F9"/>
    <w:rsid w:val="00D8003C"/>
    <w:rsid w:val="00D816F6"/>
    <w:rsid w:val="00D818F1"/>
    <w:rsid w:val="00D81AF1"/>
    <w:rsid w:val="00D822EC"/>
    <w:rsid w:val="00D843D7"/>
    <w:rsid w:val="00D845D6"/>
    <w:rsid w:val="00D84755"/>
    <w:rsid w:val="00D84B79"/>
    <w:rsid w:val="00D84C0F"/>
    <w:rsid w:val="00D84E4B"/>
    <w:rsid w:val="00D85134"/>
    <w:rsid w:val="00D859A3"/>
    <w:rsid w:val="00D85C8B"/>
    <w:rsid w:val="00D86C37"/>
    <w:rsid w:val="00D86D4E"/>
    <w:rsid w:val="00D87917"/>
    <w:rsid w:val="00D90343"/>
    <w:rsid w:val="00D90345"/>
    <w:rsid w:val="00D906AD"/>
    <w:rsid w:val="00D906D0"/>
    <w:rsid w:val="00D91527"/>
    <w:rsid w:val="00D917D9"/>
    <w:rsid w:val="00D91A4A"/>
    <w:rsid w:val="00D92A4E"/>
    <w:rsid w:val="00D92C17"/>
    <w:rsid w:val="00D9349A"/>
    <w:rsid w:val="00D9360A"/>
    <w:rsid w:val="00D93E0E"/>
    <w:rsid w:val="00D94EED"/>
    <w:rsid w:val="00D956B9"/>
    <w:rsid w:val="00D95BB2"/>
    <w:rsid w:val="00D95EF3"/>
    <w:rsid w:val="00D964D9"/>
    <w:rsid w:val="00D96CD1"/>
    <w:rsid w:val="00D97035"/>
    <w:rsid w:val="00D9735D"/>
    <w:rsid w:val="00D9781B"/>
    <w:rsid w:val="00D97C4A"/>
    <w:rsid w:val="00D97C51"/>
    <w:rsid w:val="00D97D53"/>
    <w:rsid w:val="00D97D5E"/>
    <w:rsid w:val="00D97D7A"/>
    <w:rsid w:val="00DA0057"/>
    <w:rsid w:val="00DA0666"/>
    <w:rsid w:val="00DA080F"/>
    <w:rsid w:val="00DA11B6"/>
    <w:rsid w:val="00DA1202"/>
    <w:rsid w:val="00DA184F"/>
    <w:rsid w:val="00DA1881"/>
    <w:rsid w:val="00DA2D71"/>
    <w:rsid w:val="00DA3EB5"/>
    <w:rsid w:val="00DA4017"/>
    <w:rsid w:val="00DA45B3"/>
    <w:rsid w:val="00DA46B8"/>
    <w:rsid w:val="00DA4745"/>
    <w:rsid w:val="00DA5B94"/>
    <w:rsid w:val="00DA72DC"/>
    <w:rsid w:val="00DA7398"/>
    <w:rsid w:val="00DA7716"/>
    <w:rsid w:val="00DB0E7D"/>
    <w:rsid w:val="00DB1203"/>
    <w:rsid w:val="00DB15CE"/>
    <w:rsid w:val="00DB16ED"/>
    <w:rsid w:val="00DB1BCC"/>
    <w:rsid w:val="00DB290D"/>
    <w:rsid w:val="00DB329D"/>
    <w:rsid w:val="00DB372F"/>
    <w:rsid w:val="00DB444D"/>
    <w:rsid w:val="00DB4777"/>
    <w:rsid w:val="00DB49C5"/>
    <w:rsid w:val="00DB59D6"/>
    <w:rsid w:val="00DB5C76"/>
    <w:rsid w:val="00DB6394"/>
    <w:rsid w:val="00DB63EC"/>
    <w:rsid w:val="00DB6615"/>
    <w:rsid w:val="00DB6E8E"/>
    <w:rsid w:val="00DC0159"/>
    <w:rsid w:val="00DC0500"/>
    <w:rsid w:val="00DC0C2B"/>
    <w:rsid w:val="00DC1251"/>
    <w:rsid w:val="00DC13E9"/>
    <w:rsid w:val="00DC19F5"/>
    <w:rsid w:val="00DC1F64"/>
    <w:rsid w:val="00DC266B"/>
    <w:rsid w:val="00DC26BD"/>
    <w:rsid w:val="00DC280C"/>
    <w:rsid w:val="00DC289D"/>
    <w:rsid w:val="00DC29CE"/>
    <w:rsid w:val="00DC2A73"/>
    <w:rsid w:val="00DC35AB"/>
    <w:rsid w:val="00DC3DA0"/>
    <w:rsid w:val="00DC4674"/>
    <w:rsid w:val="00DC4972"/>
    <w:rsid w:val="00DC4B38"/>
    <w:rsid w:val="00DC5090"/>
    <w:rsid w:val="00DC534E"/>
    <w:rsid w:val="00DC54F1"/>
    <w:rsid w:val="00DC577E"/>
    <w:rsid w:val="00DC5F3F"/>
    <w:rsid w:val="00DC663D"/>
    <w:rsid w:val="00DC6764"/>
    <w:rsid w:val="00DC6B30"/>
    <w:rsid w:val="00DC70BF"/>
    <w:rsid w:val="00DC70EC"/>
    <w:rsid w:val="00DC71E6"/>
    <w:rsid w:val="00DC73FF"/>
    <w:rsid w:val="00DC7789"/>
    <w:rsid w:val="00DC7B53"/>
    <w:rsid w:val="00DD0320"/>
    <w:rsid w:val="00DD105E"/>
    <w:rsid w:val="00DD14B1"/>
    <w:rsid w:val="00DD1675"/>
    <w:rsid w:val="00DD1854"/>
    <w:rsid w:val="00DD2090"/>
    <w:rsid w:val="00DD2B27"/>
    <w:rsid w:val="00DD2EDB"/>
    <w:rsid w:val="00DD2F32"/>
    <w:rsid w:val="00DD2F6C"/>
    <w:rsid w:val="00DD343E"/>
    <w:rsid w:val="00DD3B17"/>
    <w:rsid w:val="00DD3DF5"/>
    <w:rsid w:val="00DD46EB"/>
    <w:rsid w:val="00DD4DFE"/>
    <w:rsid w:val="00DD59D2"/>
    <w:rsid w:val="00DD5F41"/>
    <w:rsid w:val="00DD6376"/>
    <w:rsid w:val="00DD68C9"/>
    <w:rsid w:val="00DD69DD"/>
    <w:rsid w:val="00DD6C46"/>
    <w:rsid w:val="00DD6D90"/>
    <w:rsid w:val="00DD75A6"/>
    <w:rsid w:val="00DD769D"/>
    <w:rsid w:val="00DD776A"/>
    <w:rsid w:val="00DE001E"/>
    <w:rsid w:val="00DE0242"/>
    <w:rsid w:val="00DE0B2F"/>
    <w:rsid w:val="00DE1F6F"/>
    <w:rsid w:val="00DE24E7"/>
    <w:rsid w:val="00DE261E"/>
    <w:rsid w:val="00DE27FB"/>
    <w:rsid w:val="00DE2AEC"/>
    <w:rsid w:val="00DE3042"/>
    <w:rsid w:val="00DE35DB"/>
    <w:rsid w:val="00DE3654"/>
    <w:rsid w:val="00DE395F"/>
    <w:rsid w:val="00DE4CDF"/>
    <w:rsid w:val="00DE4F43"/>
    <w:rsid w:val="00DE5DF3"/>
    <w:rsid w:val="00DE7144"/>
    <w:rsid w:val="00DE7C82"/>
    <w:rsid w:val="00DF0356"/>
    <w:rsid w:val="00DF114A"/>
    <w:rsid w:val="00DF114D"/>
    <w:rsid w:val="00DF208E"/>
    <w:rsid w:val="00DF23A8"/>
    <w:rsid w:val="00DF2D42"/>
    <w:rsid w:val="00DF3569"/>
    <w:rsid w:val="00DF3DCE"/>
    <w:rsid w:val="00DF4624"/>
    <w:rsid w:val="00DF587E"/>
    <w:rsid w:val="00DF5C26"/>
    <w:rsid w:val="00DF5CC8"/>
    <w:rsid w:val="00DF6063"/>
    <w:rsid w:val="00DF63A1"/>
    <w:rsid w:val="00DF65F7"/>
    <w:rsid w:val="00DF6879"/>
    <w:rsid w:val="00DF755D"/>
    <w:rsid w:val="00DF7755"/>
    <w:rsid w:val="00DF7C1F"/>
    <w:rsid w:val="00E0176F"/>
    <w:rsid w:val="00E02108"/>
    <w:rsid w:val="00E03A3C"/>
    <w:rsid w:val="00E03ADB"/>
    <w:rsid w:val="00E04728"/>
    <w:rsid w:val="00E0478F"/>
    <w:rsid w:val="00E05B0D"/>
    <w:rsid w:val="00E05F34"/>
    <w:rsid w:val="00E070DC"/>
    <w:rsid w:val="00E11367"/>
    <w:rsid w:val="00E11894"/>
    <w:rsid w:val="00E11A26"/>
    <w:rsid w:val="00E11F0B"/>
    <w:rsid w:val="00E12036"/>
    <w:rsid w:val="00E1247C"/>
    <w:rsid w:val="00E127AF"/>
    <w:rsid w:val="00E13E2E"/>
    <w:rsid w:val="00E14107"/>
    <w:rsid w:val="00E1457E"/>
    <w:rsid w:val="00E15503"/>
    <w:rsid w:val="00E16500"/>
    <w:rsid w:val="00E1655A"/>
    <w:rsid w:val="00E1691F"/>
    <w:rsid w:val="00E172F5"/>
    <w:rsid w:val="00E17AF0"/>
    <w:rsid w:val="00E17B7F"/>
    <w:rsid w:val="00E17F27"/>
    <w:rsid w:val="00E20069"/>
    <w:rsid w:val="00E20B23"/>
    <w:rsid w:val="00E216A6"/>
    <w:rsid w:val="00E21B44"/>
    <w:rsid w:val="00E225F7"/>
    <w:rsid w:val="00E22898"/>
    <w:rsid w:val="00E22BA6"/>
    <w:rsid w:val="00E22CDD"/>
    <w:rsid w:val="00E22E03"/>
    <w:rsid w:val="00E235CE"/>
    <w:rsid w:val="00E23743"/>
    <w:rsid w:val="00E238BC"/>
    <w:rsid w:val="00E23A91"/>
    <w:rsid w:val="00E23B80"/>
    <w:rsid w:val="00E24230"/>
    <w:rsid w:val="00E25CE8"/>
    <w:rsid w:val="00E26BB6"/>
    <w:rsid w:val="00E26BBA"/>
    <w:rsid w:val="00E27181"/>
    <w:rsid w:val="00E2749E"/>
    <w:rsid w:val="00E27DD6"/>
    <w:rsid w:val="00E3064A"/>
    <w:rsid w:val="00E309B1"/>
    <w:rsid w:val="00E3100B"/>
    <w:rsid w:val="00E31072"/>
    <w:rsid w:val="00E3160E"/>
    <w:rsid w:val="00E3249C"/>
    <w:rsid w:val="00E32E1B"/>
    <w:rsid w:val="00E332F7"/>
    <w:rsid w:val="00E33383"/>
    <w:rsid w:val="00E34236"/>
    <w:rsid w:val="00E35A01"/>
    <w:rsid w:val="00E35B18"/>
    <w:rsid w:val="00E36691"/>
    <w:rsid w:val="00E36F79"/>
    <w:rsid w:val="00E374E0"/>
    <w:rsid w:val="00E402C8"/>
    <w:rsid w:val="00E40F73"/>
    <w:rsid w:val="00E415F6"/>
    <w:rsid w:val="00E4197A"/>
    <w:rsid w:val="00E41981"/>
    <w:rsid w:val="00E41A6D"/>
    <w:rsid w:val="00E424CE"/>
    <w:rsid w:val="00E42873"/>
    <w:rsid w:val="00E430C7"/>
    <w:rsid w:val="00E43E40"/>
    <w:rsid w:val="00E440DF"/>
    <w:rsid w:val="00E445EF"/>
    <w:rsid w:val="00E448F0"/>
    <w:rsid w:val="00E44EC4"/>
    <w:rsid w:val="00E45079"/>
    <w:rsid w:val="00E45218"/>
    <w:rsid w:val="00E46D58"/>
    <w:rsid w:val="00E47430"/>
    <w:rsid w:val="00E4775F"/>
    <w:rsid w:val="00E478C1"/>
    <w:rsid w:val="00E47DFE"/>
    <w:rsid w:val="00E50207"/>
    <w:rsid w:val="00E502D5"/>
    <w:rsid w:val="00E50484"/>
    <w:rsid w:val="00E51158"/>
    <w:rsid w:val="00E51338"/>
    <w:rsid w:val="00E51447"/>
    <w:rsid w:val="00E51CA9"/>
    <w:rsid w:val="00E521D1"/>
    <w:rsid w:val="00E523F8"/>
    <w:rsid w:val="00E5299C"/>
    <w:rsid w:val="00E5311F"/>
    <w:rsid w:val="00E5350E"/>
    <w:rsid w:val="00E538FA"/>
    <w:rsid w:val="00E53F73"/>
    <w:rsid w:val="00E5401D"/>
    <w:rsid w:val="00E54664"/>
    <w:rsid w:val="00E54A77"/>
    <w:rsid w:val="00E55739"/>
    <w:rsid w:val="00E561D4"/>
    <w:rsid w:val="00E562C7"/>
    <w:rsid w:val="00E56535"/>
    <w:rsid w:val="00E5765E"/>
    <w:rsid w:val="00E5786F"/>
    <w:rsid w:val="00E57906"/>
    <w:rsid w:val="00E60989"/>
    <w:rsid w:val="00E60DD5"/>
    <w:rsid w:val="00E61211"/>
    <w:rsid w:val="00E61312"/>
    <w:rsid w:val="00E6152C"/>
    <w:rsid w:val="00E6233B"/>
    <w:rsid w:val="00E62CDA"/>
    <w:rsid w:val="00E62D81"/>
    <w:rsid w:val="00E62ECF"/>
    <w:rsid w:val="00E63032"/>
    <w:rsid w:val="00E64733"/>
    <w:rsid w:val="00E656A5"/>
    <w:rsid w:val="00E6642A"/>
    <w:rsid w:val="00E6776D"/>
    <w:rsid w:val="00E714E2"/>
    <w:rsid w:val="00E7151B"/>
    <w:rsid w:val="00E725B6"/>
    <w:rsid w:val="00E7295E"/>
    <w:rsid w:val="00E73B3A"/>
    <w:rsid w:val="00E73F3F"/>
    <w:rsid w:val="00E7415A"/>
    <w:rsid w:val="00E74AF8"/>
    <w:rsid w:val="00E74CA1"/>
    <w:rsid w:val="00E74E1A"/>
    <w:rsid w:val="00E74F72"/>
    <w:rsid w:val="00E75B94"/>
    <w:rsid w:val="00E75C67"/>
    <w:rsid w:val="00E769C1"/>
    <w:rsid w:val="00E76A2F"/>
    <w:rsid w:val="00E8084D"/>
    <w:rsid w:val="00E80F89"/>
    <w:rsid w:val="00E8107C"/>
    <w:rsid w:val="00E814AC"/>
    <w:rsid w:val="00E8152D"/>
    <w:rsid w:val="00E81C52"/>
    <w:rsid w:val="00E82086"/>
    <w:rsid w:val="00E82A7A"/>
    <w:rsid w:val="00E83427"/>
    <w:rsid w:val="00E83C3F"/>
    <w:rsid w:val="00E840E5"/>
    <w:rsid w:val="00E846B1"/>
    <w:rsid w:val="00E84ACF"/>
    <w:rsid w:val="00E85040"/>
    <w:rsid w:val="00E852CC"/>
    <w:rsid w:val="00E8621D"/>
    <w:rsid w:val="00E86544"/>
    <w:rsid w:val="00E867B4"/>
    <w:rsid w:val="00E86E64"/>
    <w:rsid w:val="00E86FE5"/>
    <w:rsid w:val="00E87088"/>
    <w:rsid w:val="00E8795C"/>
    <w:rsid w:val="00E87F29"/>
    <w:rsid w:val="00E90633"/>
    <w:rsid w:val="00E9085A"/>
    <w:rsid w:val="00E917E1"/>
    <w:rsid w:val="00E919C8"/>
    <w:rsid w:val="00E919D2"/>
    <w:rsid w:val="00E922E6"/>
    <w:rsid w:val="00E9235B"/>
    <w:rsid w:val="00E9253B"/>
    <w:rsid w:val="00E92B48"/>
    <w:rsid w:val="00E92C22"/>
    <w:rsid w:val="00E92F00"/>
    <w:rsid w:val="00E934B9"/>
    <w:rsid w:val="00E934C1"/>
    <w:rsid w:val="00E93512"/>
    <w:rsid w:val="00E93A02"/>
    <w:rsid w:val="00E93C39"/>
    <w:rsid w:val="00E950E7"/>
    <w:rsid w:val="00E951B5"/>
    <w:rsid w:val="00E960BE"/>
    <w:rsid w:val="00E96538"/>
    <w:rsid w:val="00E96667"/>
    <w:rsid w:val="00E96CEB"/>
    <w:rsid w:val="00E96D09"/>
    <w:rsid w:val="00E9758C"/>
    <w:rsid w:val="00E97592"/>
    <w:rsid w:val="00E97670"/>
    <w:rsid w:val="00E97B1B"/>
    <w:rsid w:val="00E97C9C"/>
    <w:rsid w:val="00E97EAA"/>
    <w:rsid w:val="00E97F4A"/>
    <w:rsid w:val="00EA006C"/>
    <w:rsid w:val="00EA0291"/>
    <w:rsid w:val="00EA0B22"/>
    <w:rsid w:val="00EA22C0"/>
    <w:rsid w:val="00EA252A"/>
    <w:rsid w:val="00EA2A81"/>
    <w:rsid w:val="00EA2AFC"/>
    <w:rsid w:val="00EA2EF3"/>
    <w:rsid w:val="00EA2F4D"/>
    <w:rsid w:val="00EA35D6"/>
    <w:rsid w:val="00EA43AE"/>
    <w:rsid w:val="00EA473B"/>
    <w:rsid w:val="00EA482E"/>
    <w:rsid w:val="00EA595C"/>
    <w:rsid w:val="00EA59E7"/>
    <w:rsid w:val="00EA6541"/>
    <w:rsid w:val="00EA660D"/>
    <w:rsid w:val="00EA6D33"/>
    <w:rsid w:val="00EA7477"/>
    <w:rsid w:val="00EA77EE"/>
    <w:rsid w:val="00EA77F3"/>
    <w:rsid w:val="00EA7892"/>
    <w:rsid w:val="00EA7EAF"/>
    <w:rsid w:val="00EB0B4B"/>
    <w:rsid w:val="00EB0C4F"/>
    <w:rsid w:val="00EB0CED"/>
    <w:rsid w:val="00EB1D2E"/>
    <w:rsid w:val="00EB26BF"/>
    <w:rsid w:val="00EB2BBF"/>
    <w:rsid w:val="00EB2FB4"/>
    <w:rsid w:val="00EB3769"/>
    <w:rsid w:val="00EB48F5"/>
    <w:rsid w:val="00EB4A1A"/>
    <w:rsid w:val="00EB4B51"/>
    <w:rsid w:val="00EB5D6A"/>
    <w:rsid w:val="00EB6332"/>
    <w:rsid w:val="00EB69FF"/>
    <w:rsid w:val="00EB6C15"/>
    <w:rsid w:val="00EB7A14"/>
    <w:rsid w:val="00EB7BB4"/>
    <w:rsid w:val="00EB7DDD"/>
    <w:rsid w:val="00EB7E13"/>
    <w:rsid w:val="00EC051E"/>
    <w:rsid w:val="00EC0884"/>
    <w:rsid w:val="00EC0AB5"/>
    <w:rsid w:val="00EC13E8"/>
    <w:rsid w:val="00EC1E4C"/>
    <w:rsid w:val="00EC225A"/>
    <w:rsid w:val="00EC2B25"/>
    <w:rsid w:val="00EC317D"/>
    <w:rsid w:val="00EC328E"/>
    <w:rsid w:val="00EC32DA"/>
    <w:rsid w:val="00EC3A24"/>
    <w:rsid w:val="00EC3B17"/>
    <w:rsid w:val="00EC3B91"/>
    <w:rsid w:val="00EC3CE7"/>
    <w:rsid w:val="00EC3F55"/>
    <w:rsid w:val="00EC4390"/>
    <w:rsid w:val="00EC47C2"/>
    <w:rsid w:val="00EC497A"/>
    <w:rsid w:val="00EC4EC7"/>
    <w:rsid w:val="00EC53C5"/>
    <w:rsid w:val="00EC5D8C"/>
    <w:rsid w:val="00EC626E"/>
    <w:rsid w:val="00ED0125"/>
    <w:rsid w:val="00ED0ACA"/>
    <w:rsid w:val="00ED0BF2"/>
    <w:rsid w:val="00ED0F22"/>
    <w:rsid w:val="00ED0FB4"/>
    <w:rsid w:val="00ED1074"/>
    <w:rsid w:val="00ED1F38"/>
    <w:rsid w:val="00ED20EB"/>
    <w:rsid w:val="00ED26E6"/>
    <w:rsid w:val="00ED488F"/>
    <w:rsid w:val="00ED50B8"/>
    <w:rsid w:val="00ED5AFB"/>
    <w:rsid w:val="00ED5E40"/>
    <w:rsid w:val="00ED6C4B"/>
    <w:rsid w:val="00ED7D83"/>
    <w:rsid w:val="00EE00AB"/>
    <w:rsid w:val="00EE0317"/>
    <w:rsid w:val="00EE0683"/>
    <w:rsid w:val="00EE0803"/>
    <w:rsid w:val="00EE1115"/>
    <w:rsid w:val="00EE169A"/>
    <w:rsid w:val="00EE1731"/>
    <w:rsid w:val="00EE17DF"/>
    <w:rsid w:val="00EE1E30"/>
    <w:rsid w:val="00EE24E1"/>
    <w:rsid w:val="00EE28A2"/>
    <w:rsid w:val="00EE2AD6"/>
    <w:rsid w:val="00EE32B1"/>
    <w:rsid w:val="00EE3816"/>
    <w:rsid w:val="00EE3B5F"/>
    <w:rsid w:val="00EE4274"/>
    <w:rsid w:val="00EE4A06"/>
    <w:rsid w:val="00EE520C"/>
    <w:rsid w:val="00EE5658"/>
    <w:rsid w:val="00EE5B64"/>
    <w:rsid w:val="00EE5DFB"/>
    <w:rsid w:val="00EE6277"/>
    <w:rsid w:val="00EE6281"/>
    <w:rsid w:val="00EE79C9"/>
    <w:rsid w:val="00EF166E"/>
    <w:rsid w:val="00EF1BDB"/>
    <w:rsid w:val="00EF2488"/>
    <w:rsid w:val="00EF32D5"/>
    <w:rsid w:val="00EF4056"/>
    <w:rsid w:val="00EF4E23"/>
    <w:rsid w:val="00EF4EB3"/>
    <w:rsid w:val="00EF52E2"/>
    <w:rsid w:val="00EF56AA"/>
    <w:rsid w:val="00EF6141"/>
    <w:rsid w:val="00EF64FE"/>
    <w:rsid w:val="00EF6E86"/>
    <w:rsid w:val="00EF72CD"/>
    <w:rsid w:val="00F0000F"/>
    <w:rsid w:val="00F005F3"/>
    <w:rsid w:val="00F00AF7"/>
    <w:rsid w:val="00F00DD0"/>
    <w:rsid w:val="00F01066"/>
    <w:rsid w:val="00F01F47"/>
    <w:rsid w:val="00F0247F"/>
    <w:rsid w:val="00F02820"/>
    <w:rsid w:val="00F03088"/>
    <w:rsid w:val="00F033E6"/>
    <w:rsid w:val="00F037D8"/>
    <w:rsid w:val="00F039AB"/>
    <w:rsid w:val="00F03AA1"/>
    <w:rsid w:val="00F04030"/>
    <w:rsid w:val="00F0405B"/>
    <w:rsid w:val="00F0516B"/>
    <w:rsid w:val="00F05BC7"/>
    <w:rsid w:val="00F05CC8"/>
    <w:rsid w:val="00F05D7F"/>
    <w:rsid w:val="00F05F9A"/>
    <w:rsid w:val="00F06350"/>
    <w:rsid w:val="00F064F2"/>
    <w:rsid w:val="00F06654"/>
    <w:rsid w:val="00F06937"/>
    <w:rsid w:val="00F06EF5"/>
    <w:rsid w:val="00F072A3"/>
    <w:rsid w:val="00F072AC"/>
    <w:rsid w:val="00F07591"/>
    <w:rsid w:val="00F07694"/>
    <w:rsid w:val="00F07BDD"/>
    <w:rsid w:val="00F07F46"/>
    <w:rsid w:val="00F107C3"/>
    <w:rsid w:val="00F114A9"/>
    <w:rsid w:val="00F11A77"/>
    <w:rsid w:val="00F11F79"/>
    <w:rsid w:val="00F12915"/>
    <w:rsid w:val="00F12D19"/>
    <w:rsid w:val="00F12F88"/>
    <w:rsid w:val="00F1380F"/>
    <w:rsid w:val="00F1412A"/>
    <w:rsid w:val="00F14CFE"/>
    <w:rsid w:val="00F14DB3"/>
    <w:rsid w:val="00F14FD6"/>
    <w:rsid w:val="00F154C6"/>
    <w:rsid w:val="00F1577E"/>
    <w:rsid w:val="00F1588F"/>
    <w:rsid w:val="00F15F8A"/>
    <w:rsid w:val="00F160A6"/>
    <w:rsid w:val="00F162A8"/>
    <w:rsid w:val="00F16692"/>
    <w:rsid w:val="00F16A62"/>
    <w:rsid w:val="00F171EE"/>
    <w:rsid w:val="00F174A8"/>
    <w:rsid w:val="00F17656"/>
    <w:rsid w:val="00F1773A"/>
    <w:rsid w:val="00F2092C"/>
    <w:rsid w:val="00F20B3D"/>
    <w:rsid w:val="00F21153"/>
    <w:rsid w:val="00F2193F"/>
    <w:rsid w:val="00F224CE"/>
    <w:rsid w:val="00F242E2"/>
    <w:rsid w:val="00F24381"/>
    <w:rsid w:val="00F24570"/>
    <w:rsid w:val="00F245FF"/>
    <w:rsid w:val="00F24C94"/>
    <w:rsid w:val="00F24D96"/>
    <w:rsid w:val="00F24F47"/>
    <w:rsid w:val="00F25B35"/>
    <w:rsid w:val="00F2608F"/>
    <w:rsid w:val="00F261A8"/>
    <w:rsid w:val="00F2676D"/>
    <w:rsid w:val="00F26B81"/>
    <w:rsid w:val="00F26C19"/>
    <w:rsid w:val="00F26FCC"/>
    <w:rsid w:val="00F304EC"/>
    <w:rsid w:val="00F30B92"/>
    <w:rsid w:val="00F31E32"/>
    <w:rsid w:val="00F32035"/>
    <w:rsid w:val="00F323FA"/>
    <w:rsid w:val="00F32871"/>
    <w:rsid w:val="00F32880"/>
    <w:rsid w:val="00F32B3C"/>
    <w:rsid w:val="00F32F7F"/>
    <w:rsid w:val="00F333F6"/>
    <w:rsid w:val="00F3385A"/>
    <w:rsid w:val="00F343DE"/>
    <w:rsid w:val="00F35208"/>
    <w:rsid w:val="00F355FC"/>
    <w:rsid w:val="00F35941"/>
    <w:rsid w:val="00F3595F"/>
    <w:rsid w:val="00F36207"/>
    <w:rsid w:val="00F36411"/>
    <w:rsid w:val="00F367F0"/>
    <w:rsid w:val="00F36848"/>
    <w:rsid w:val="00F36E4A"/>
    <w:rsid w:val="00F3708F"/>
    <w:rsid w:val="00F37CC5"/>
    <w:rsid w:val="00F37D71"/>
    <w:rsid w:val="00F40842"/>
    <w:rsid w:val="00F41282"/>
    <w:rsid w:val="00F42328"/>
    <w:rsid w:val="00F42389"/>
    <w:rsid w:val="00F424A1"/>
    <w:rsid w:val="00F42671"/>
    <w:rsid w:val="00F42746"/>
    <w:rsid w:val="00F43AD4"/>
    <w:rsid w:val="00F43E29"/>
    <w:rsid w:val="00F43E62"/>
    <w:rsid w:val="00F44328"/>
    <w:rsid w:val="00F44CE7"/>
    <w:rsid w:val="00F45670"/>
    <w:rsid w:val="00F459B9"/>
    <w:rsid w:val="00F46090"/>
    <w:rsid w:val="00F463BE"/>
    <w:rsid w:val="00F469CC"/>
    <w:rsid w:val="00F46E79"/>
    <w:rsid w:val="00F47175"/>
    <w:rsid w:val="00F477E8"/>
    <w:rsid w:val="00F47EC3"/>
    <w:rsid w:val="00F50215"/>
    <w:rsid w:val="00F50CB0"/>
    <w:rsid w:val="00F50E05"/>
    <w:rsid w:val="00F50F97"/>
    <w:rsid w:val="00F512B7"/>
    <w:rsid w:val="00F516E8"/>
    <w:rsid w:val="00F53240"/>
    <w:rsid w:val="00F53316"/>
    <w:rsid w:val="00F53C2C"/>
    <w:rsid w:val="00F53CBC"/>
    <w:rsid w:val="00F53D9A"/>
    <w:rsid w:val="00F53DFF"/>
    <w:rsid w:val="00F53FAF"/>
    <w:rsid w:val="00F545B5"/>
    <w:rsid w:val="00F54657"/>
    <w:rsid w:val="00F554E5"/>
    <w:rsid w:val="00F555A2"/>
    <w:rsid w:val="00F55BCF"/>
    <w:rsid w:val="00F564B4"/>
    <w:rsid w:val="00F568F9"/>
    <w:rsid w:val="00F56A0C"/>
    <w:rsid w:val="00F56DC0"/>
    <w:rsid w:val="00F57475"/>
    <w:rsid w:val="00F57BEF"/>
    <w:rsid w:val="00F6012E"/>
    <w:rsid w:val="00F60452"/>
    <w:rsid w:val="00F60A58"/>
    <w:rsid w:val="00F610EA"/>
    <w:rsid w:val="00F612C8"/>
    <w:rsid w:val="00F61367"/>
    <w:rsid w:val="00F617B0"/>
    <w:rsid w:val="00F61834"/>
    <w:rsid w:val="00F61B0A"/>
    <w:rsid w:val="00F61DE6"/>
    <w:rsid w:val="00F62A80"/>
    <w:rsid w:val="00F63112"/>
    <w:rsid w:val="00F635B7"/>
    <w:rsid w:val="00F63C34"/>
    <w:rsid w:val="00F64299"/>
    <w:rsid w:val="00F65DB7"/>
    <w:rsid w:val="00F66D35"/>
    <w:rsid w:val="00F66FE7"/>
    <w:rsid w:val="00F677B4"/>
    <w:rsid w:val="00F67929"/>
    <w:rsid w:val="00F67E55"/>
    <w:rsid w:val="00F7000C"/>
    <w:rsid w:val="00F703CC"/>
    <w:rsid w:val="00F71008"/>
    <w:rsid w:val="00F712FD"/>
    <w:rsid w:val="00F714F7"/>
    <w:rsid w:val="00F72573"/>
    <w:rsid w:val="00F72AD3"/>
    <w:rsid w:val="00F73058"/>
    <w:rsid w:val="00F739C4"/>
    <w:rsid w:val="00F74568"/>
    <w:rsid w:val="00F7457F"/>
    <w:rsid w:val="00F7487C"/>
    <w:rsid w:val="00F751C2"/>
    <w:rsid w:val="00F7532D"/>
    <w:rsid w:val="00F75823"/>
    <w:rsid w:val="00F76419"/>
    <w:rsid w:val="00F768C3"/>
    <w:rsid w:val="00F76ABF"/>
    <w:rsid w:val="00F77653"/>
    <w:rsid w:val="00F77789"/>
    <w:rsid w:val="00F77DC4"/>
    <w:rsid w:val="00F80DE6"/>
    <w:rsid w:val="00F818F2"/>
    <w:rsid w:val="00F81978"/>
    <w:rsid w:val="00F828E0"/>
    <w:rsid w:val="00F82BD0"/>
    <w:rsid w:val="00F82C8A"/>
    <w:rsid w:val="00F83629"/>
    <w:rsid w:val="00F8379A"/>
    <w:rsid w:val="00F843AE"/>
    <w:rsid w:val="00F84A29"/>
    <w:rsid w:val="00F85DA7"/>
    <w:rsid w:val="00F8609A"/>
    <w:rsid w:val="00F863B8"/>
    <w:rsid w:val="00F86627"/>
    <w:rsid w:val="00F86E5E"/>
    <w:rsid w:val="00F87B05"/>
    <w:rsid w:val="00F87E83"/>
    <w:rsid w:val="00F90C53"/>
    <w:rsid w:val="00F913C1"/>
    <w:rsid w:val="00F91475"/>
    <w:rsid w:val="00F91679"/>
    <w:rsid w:val="00F92633"/>
    <w:rsid w:val="00F9310B"/>
    <w:rsid w:val="00F941A2"/>
    <w:rsid w:val="00F94405"/>
    <w:rsid w:val="00F9463F"/>
    <w:rsid w:val="00F95691"/>
    <w:rsid w:val="00F95BF3"/>
    <w:rsid w:val="00F96454"/>
    <w:rsid w:val="00F967BE"/>
    <w:rsid w:val="00F97731"/>
    <w:rsid w:val="00F97C62"/>
    <w:rsid w:val="00FA02CA"/>
    <w:rsid w:val="00FA0764"/>
    <w:rsid w:val="00FA0EAB"/>
    <w:rsid w:val="00FA10C1"/>
    <w:rsid w:val="00FA191D"/>
    <w:rsid w:val="00FA1CE7"/>
    <w:rsid w:val="00FA1DC3"/>
    <w:rsid w:val="00FA267B"/>
    <w:rsid w:val="00FA2C0A"/>
    <w:rsid w:val="00FA343F"/>
    <w:rsid w:val="00FA5090"/>
    <w:rsid w:val="00FA5129"/>
    <w:rsid w:val="00FA5188"/>
    <w:rsid w:val="00FA5A84"/>
    <w:rsid w:val="00FA5F41"/>
    <w:rsid w:val="00FA650B"/>
    <w:rsid w:val="00FA6D02"/>
    <w:rsid w:val="00FA72A2"/>
    <w:rsid w:val="00FA75B5"/>
    <w:rsid w:val="00FA791A"/>
    <w:rsid w:val="00FA7C13"/>
    <w:rsid w:val="00FA7D39"/>
    <w:rsid w:val="00FB0144"/>
    <w:rsid w:val="00FB0EB7"/>
    <w:rsid w:val="00FB1192"/>
    <w:rsid w:val="00FB11CB"/>
    <w:rsid w:val="00FB1407"/>
    <w:rsid w:val="00FB16F8"/>
    <w:rsid w:val="00FB1C6E"/>
    <w:rsid w:val="00FB1FD3"/>
    <w:rsid w:val="00FB22B6"/>
    <w:rsid w:val="00FB32BA"/>
    <w:rsid w:val="00FB3E57"/>
    <w:rsid w:val="00FB460A"/>
    <w:rsid w:val="00FB46B3"/>
    <w:rsid w:val="00FB48B3"/>
    <w:rsid w:val="00FB48D4"/>
    <w:rsid w:val="00FB4977"/>
    <w:rsid w:val="00FB49DD"/>
    <w:rsid w:val="00FB500B"/>
    <w:rsid w:val="00FB5299"/>
    <w:rsid w:val="00FB5AF5"/>
    <w:rsid w:val="00FB5E92"/>
    <w:rsid w:val="00FB5EAA"/>
    <w:rsid w:val="00FB65C2"/>
    <w:rsid w:val="00FB65C9"/>
    <w:rsid w:val="00FB73C6"/>
    <w:rsid w:val="00FB7C13"/>
    <w:rsid w:val="00FB7D99"/>
    <w:rsid w:val="00FB7F09"/>
    <w:rsid w:val="00FB7F13"/>
    <w:rsid w:val="00FB7F30"/>
    <w:rsid w:val="00FC0367"/>
    <w:rsid w:val="00FC06D8"/>
    <w:rsid w:val="00FC0797"/>
    <w:rsid w:val="00FC0871"/>
    <w:rsid w:val="00FC0EAE"/>
    <w:rsid w:val="00FC0F2D"/>
    <w:rsid w:val="00FC13CF"/>
    <w:rsid w:val="00FC1D2C"/>
    <w:rsid w:val="00FC2012"/>
    <w:rsid w:val="00FC27B2"/>
    <w:rsid w:val="00FC2C59"/>
    <w:rsid w:val="00FC34AF"/>
    <w:rsid w:val="00FC351C"/>
    <w:rsid w:val="00FC3CC5"/>
    <w:rsid w:val="00FC45B9"/>
    <w:rsid w:val="00FC4600"/>
    <w:rsid w:val="00FC4C79"/>
    <w:rsid w:val="00FC5373"/>
    <w:rsid w:val="00FC57E1"/>
    <w:rsid w:val="00FC6811"/>
    <w:rsid w:val="00FC682C"/>
    <w:rsid w:val="00FC6B47"/>
    <w:rsid w:val="00FC7106"/>
    <w:rsid w:val="00FC7915"/>
    <w:rsid w:val="00FC7B03"/>
    <w:rsid w:val="00FC7D45"/>
    <w:rsid w:val="00FD027F"/>
    <w:rsid w:val="00FD08F2"/>
    <w:rsid w:val="00FD0B0D"/>
    <w:rsid w:val="00FD0D90"/>
    <w:rsid w:val="00FD10B7"/>
    <w:rsid w:val="00FD10F8"/>
    <w:rsid w:val="00FD1112"/>
    <w:rsid w:val="00FD1EA6"/>
    <w:rsid w:val="00FD2861"/>
    <w:rsid w:val="00FD2882"/>
    <w:rsid w:val="00FD3740"/>
    <w:rsid w:val="00FD3D3B"/>
    <w:rsid w:val="00FD4046"/>
    <w:rsid w:val="00FD45D8"/>
    <w:rsid w:val="00FD4A33"/>
    <w:rsid w:val="00FD4DA1"/>
    <w:rsid w:val="00FD4DFC"/>
    <w:rsid w:val="00FD5141"/>
    <w:rsid w:val="00FD5562"/>
    <w:rsid w:val="00FD5D9C"/>
    <w:rsid w:val="00FD63A9"/>
    <w:rsid w:val="00FD63D9"/>
    <w:rsid w:val="00FD690E"/>
    <w:rsid w:val="00FD7397"/>
    <w:rsid w:val="00FD77AB"/>
    <w:rsid w:val="00FD7F00"/>
    <w:rsid w:val="00FE04C3"/>
    <w:rsid w:val="00FE07F1"/>
    <w:rsid w:val="00FE0B7D"/>
    <w:rsid w:val="00FE21F4"/>
    <w:rsid w:val="00FE21FB"/>
    <w:rsid w:val="00FE23FB"/>
    <w:rsid w:val="00FE27C7"/>
    <w:rsid w:val="00FE2BAA"/>
    <w:rsid w:val="00FE37C9"/>
    <w:rsid w:val="00FE3886"/>
    <w:rsid w:val="00FE449D"/>
    <w:rsid w:val="00FE519C"/>
    <w:rsid w:val="00FE57C2"/>
    <w:rsid w:val="00FE5C6A"/>
    <w:rsid w:val="00FE63A0"/>
    <w:rsid w:val="00FE6813"/>
    <w:rsid w:val="00FE6EDC"/>
    <w:rsid w:val="00FE7239"/>
    <w:rsid w:val="00FE7F10"/>
    <w:rsid w:val="00FE7F1C"/>
    <w:rsid w:val="00FF00BE"/>
    <w:rsid w:val="00FF0538"/>
    <w:rsid w:val="00FF0A0B"/>
    <w:rsid w:val="00FF0E68"/>
    <w:rsid w:val="00FF2D29"/>
    <w:rsid w:val="00FF32A1"/>
    <w:rsid w:val="00FF338C"/>
    <w:rsid w:val="00FF41BA"/>
    <w:rsid w:val="00FF4389"/>
    <w:rsid w:val="00FF4E89"/>
    <w:rsid w:val="00FF54EC"/>
    <w:rsid w:val="00FF5ACE"/>
    <w:rsid w:val="00FF60E9"/>
    <w:rsid w:val="00FF6732"/>
    <w:rsid w:val="00FF7149"/>
    <w:rsid w:val="00FF735B"/>
    <w:rsid w:val="375F4361"/>
    <w:rsid w:val="50FA85C4"/>
    <w:rsid w:val="63D99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D8E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4A5408"/>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4A5408"/>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4A5408"/>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4A5408"/>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4A5408"/>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4A5408"/>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4A5408"/>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4A5408"/>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4A5408"/>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qFormat/>
    <w:rsid w:val="00C274AA"/>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1,Footnote Text Char Char,Footnote Text Char Char1,fn,Footnote Text MRP,Footnote Text Char3,Footnote Text Char2 Char,ft Char,Footnote Text Char1 Char Char Char1,ft,f,c"/>
    <w:basedOn w:val="Normal"/>
    <w:link w:val="FootnoteTextChar"/>
    <w:uiPriority w:val="99"/>
    <w:unhideWhenUsed/>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styleId="Revision">
    <w:name w:val="Revision"/>
    <w:hidden/>
    <w:uiPriority w:val="99"/>
    <w:semiHidden/>
    <w:rsid w:val="003122B5"/>
    <w:pPr>
      <w:spacing w:after="0" w:line="240" w:lineRule="auto"/>
    </w:pPr>
    <w:rPr>
      <w:rFonts w:ascii="Times New Roman" w:hAnsi="Times New Roman" w:cs="Times New Roman"/>
      <w:sz w:val="26"/>
    </w:rPr>
  </w:style>
  <w:style w:type="paragraph" w:customStyle="1" w:styleId="BlockIndent">
    <w:name w:val="Block Indent"/>
    <w:basedOn w:val="Normal"/>
    <w:next w:val="FERCparanumber"/>
    <w:link w:val="BlockIndentChar"/>
    <w:rsid w:val="00411E77"/>
    <w:pPr>
      <w:widowControl/>
      <w:spacing w:after="240"/>
      <w:ind w:left="1440" w:right="1440"/>
    </w:pPr>
  </w:style>
  <w:style w:type="character" w:customStyle="1" w:styleId="BlockIndentChar">
    <w:name w:val="Block Indent Char"/>
    <w:basedOn w:val="FERCparanumberChar"/>
    <w:link w:val="BlockIndent"/>
    <w:rsid w:val="00411E77"/>
    <w:rPr>
      <w:rFonts w:ascii="Times New Roman" w:hAnsi="Times New Roman" w:cs="Times New Roman"/>
      <w:sz w:val="26"/>
    </w:rPr>
  </w:style>
  <w:style w:type="character" w:customStyle="1" w:styleId="FootnoteTextChar">
    <w:name w:val="Footnote Text Char"/>
    <w:aliases w:val="Footnote Text Char1 Char Char,Footnote Text Char Char Char Char,Footnote Text Char1 Char1,Footnote Text Char Char Char1,Footnote Text Char Char1 Char,fn Char,Footnote Text MRP Char,Footnote Text Char3 Char,ft Char Char,ft Char1,f Char"/>
    <w:basedOn w:val="DefaultParagraphFont"/>
    <w:link w:val="FootnoteText"/>
    <w:uiPriority w:val="99"/>
    <w:rsid w:val="00FE0B7D"/>
    <w:rPr>
      <w:rFonts w:ascii="Times New Roman" w:hAnsi="Times New Roman" w:cs="Times New Roman"/>
      <w:sz w:val="26"/>
      <w:szCs w:val="20"/>
    </w:rPr>
  </w:style>
  <w:style w:type="character" w:styleId="Mention">
    <w:name w:val="Mention"/>
    <w:basedOn w:val="DefaultParagraphFont"/>
    <w:uiPriority w:val="99"/>
    <w:unhideWhenUsed/>
    <w:rsid w:val="00782D5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74a4cd09-5f17-433b-814a-38e7e9115d16"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Props1.xml><?xml version="1.0" encoding="utf-8"?>
<ds:datastoreItem xmlns:ds="http://schemas.openxmlformats.org/officeDocument/2006/customXml" ds:itemID="{A3EFD3FE-DF09-40FB-ADE5-7D2CED4AA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372C2-CB6C-44AB-9434-2001BA52B3CB}">
  <ds:schemaRefs>
    <ds:schemaRef ds:uri="Microsoft.SharePoint.Taxonomy.ContentTypeSync"/>
  </ds:schemaRefs>
</ds:datastoreItem>
</file>

<file path=customXml/itemProps3.xml><?xml version="1.0" encoding="utf-8"?>
<ds:datastoreItem xmlns:ds="http://schemas.openxmlformats.org/officeDocument/2006/customXml" ds:itemID="{B65ACD8B-F00A-4F1C-8C40-8A594B673B5F}">
  <ds:schemaRefs>
    <ds:schemaRef ds:uri="http://schemas.microsoft.com/sharepoint/v3/contenttype/forms"/>
  </ds:schemaRefs>
</ds:datastoreItem>
</file>

<file path=customXml/itemProps4.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5.xml><?xml version="1.0" encoding="utf-8"?>
<ds:datastoreItem xmlns:ds="http://schemas.openxmlformats.org/officeDocument/2006/customXml" ds:itemID="{C756DED9-96DE-46B9-BC51-9C3B00FECF0B}">
  <ds:schemaRefs>
    <ds:schemaRef ds:uri="http://schemas.microsoft.com/office/2006/metadata/properties"/>
    <ds:schemaRef ds:uri="http://schemas.microsoft.com/office/infopath/2007/PartnerControls"/>
    <ds:schemaRef ds:uri="5e8733a2-e908-454b-85cf-c9d17e1d0943"/>
  </ds:schemaRefs>
</ds:datastoreItem>
</file>

<file path=docProps/app.xml><?xml version="1.0" encoding="utf-8"?>
<ap:Properties xmlns:vt="http://schemas.openxmlformats.org/officeDocument/2006/docPropsVTypes" xmlns:ap="http://schemas.openxmlformats.org/officeDocument/2006/extended-properties">
  <ap:TotalTime>0</ap:TotalTime>
  <ap:Pages>21</ap:Pages>
  <ap:Words>6681</ap:Words>
  <ap:Characters>35214</ap:Characters>
  <ap:Application>Microsoft Office Word</ap:Application>
  <ap:DocSecurity>0</ap:DocSecurity>
  <ap:Lines>550</ap:Lines>
  <ap:Paragraphs>90</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41805</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2026-09-24T18:03:00.0000000Z</dcterms:created>
  <dcterms:modified xsi:type="dcterms:W3CDTF">2026-09-24T21:00:00.0000000Z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