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3- ¿Cómo ejecutaremos el código de manera secuencial? ¿ Qué implicaciones tiene que la ejecución de los hilos sea concurrente?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Con el Synchronized, ya que este método hace que no se pueda ejecutar el segundo método hasta que haya acabado el primero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5- ¿Qué quiere decir que estos métodos sean synchronized?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Que las diferentes partes del código están sincronizadas entre sí, un proceso puede abrir otro proceso que también tenga el synchronized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6- ¿ Nombra al menos dos alternativas a los métodos synchronized ¿Cuales son sus ventajas y desventajas?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9- ¿Qué es un diagrama UML? ¿Qué tipos de diagramas UML existen?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Es un estándar para crear esquemas y documentación relativa a los desarrollos de software.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Tiene varios tipos: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Diagrama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de clases. ...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Diagrama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de componentes. ...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Diagrama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de despliegue. ...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Diagrama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de objetos. ...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Diagrama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de paquetes. ...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Diagrama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de perfiles. ...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Diagrama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de estructura compuesta. ...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Diagrama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de actividades.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