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2.3.1 数字处理设计</w:t>
      </w:r>
    </w:p>
    <w:p>
      <w:pPr>
        <w:spacing w:line="300" w:lineRule="auto" w:after="100"/>
        <w:ind w:firstLine="420"/>
      </w:pPr>
      <w:r>
        <w:rPr>
          <w:rFonts w:ascii="宋体" w:hAnsi="宋体" w:eastAsia="宋体"/>
          <w:sz w:val="21"/>
        </w:rPr>
        <w:t>本仪器采用超外差接收结构，将宽频段射频输入变换到固定中频后再进行数字化处理。数字处理部分的核心目标，是把 ADC 采集到的中频采样序列转换为频谱仪可显示的“频率-幅度”数据。为实现这一目标，系统采用数字正交下变频、分辨率带宽滤波、窄带功率检测和幅度换算等步骤，构成完整的数字中频处理链路。该链路既利用了固定中频结构便于数字处理的特点，又通过扫频方式覆盖 1 MHz-1.5 GHz 的输入范围。</w:t>
      </w:r>
    </w:p>
    <w:p>
      <w:pPr>
        <w:spacing w:line="300" w:lineRule="auto" w:after="100"/>
        <w:ind w:firstLine="420"/>
      </w:pPr>
      <w:r>
        <w:rPr>
          <w:rFonts w:ascii="宋体" w:hAnsi="宋体" w:eastAsia="宋体"/>
          <w:sz w:val="21"/>
        </w:rPr>
        <w:t>从频谱仪测量原理看，显示曲线上的每一个频点并不是一个孤立的采样值，而是该频率附近一定带宽内信号能量的测量结果。这个带宽由分辨率带宽 RBW 决定。RBW 越窄，越容易区分相邻频率分量，显示噪声也更低，但需要更长的观测时间；RBW 越宽，扫频速度更快，但频率分辨能力下降。因此，数字处理设计的重点不只是“采样并显示”，而是要围绕 RBW 建立一套可定量、可调节的窄带功率测量流程。总体流程如图 2.3.1-1 所示。</w:t>
      </w:r>
    </w:p>
    <w:p>
      <w:pPr>
        <w:jc w:val="center"/>
      </w:pPr>
      <w:r>
        <w:drawing>
          <wp:inline xmlns:a="http://schemas.openxmlformats.org/drawingml/2006/main" xmlns:pic="http://schemas.openxmlformats.org/drawingml/2006/picture">
            <wp:extent cx="5616000" cy="3304573"/>
            <wp:docPr id="1" name="Picture 1"/>
            <wp:cNvGraphicFramePr>
              <a:graphicFrameLocks noChangeAspect="1"/>
            </wp:cNvGraphicFramePr>
            <a:graphic>
              <a:graphicData uri="http://schemas.openxmlformats.org/drawingml/2006/picture">
                <pic:pic>
                  <pic:nvPicPr>
                    <pic:cNvPr id="0" name="fig_231_1_overall_flow.png"/>
                    <pic:cNvPicPr/>
                  </pic:nvPicPr>
                  <pic:blipFill>
                    <a:blip r:embed="rId9"/>
                    <a:stretch>
                      <a:fillRect/>
                    </a:stretch>
                  </pic:blipFill>
                  <pic:spPr>
                    <a:xfrm>
                      <a:off x="0" y="0"/>
                      <a:ext cx="5616000" cy="3304573"/>
                    </a:xfrm>
                    <a:prstGeom prst="rect"/>
                  </pic:spPr>
                </pic:pic>
              </a:graphicData>
            </a:graphic>
          </wp:inline>
        </w:drawing>
      </w:r>
    </w:p>
    <w:p>
      <w:pPr>
        <w:spacing w:after="160"/>
        <w:jc w:val="center"/>
      </w:pPr>
      <w:r>
        <w:rPr>
          <w:rFonts w:ascii="宋体" w:hAnsi="宋体" w:eastAsia="宋体"/>
          <w:color w:val="4B5563"/>
          <w:sz w:val="18"/>
        </w:rPr>
        <w:t>图 2.3.1-1 数字中频处理总体流程。固定中频信号经采样、正交下变频、RBW滤波、功率检测和幅度换算后形成频谱显示数据。</w:t>
      </w:r>
    </w:p>
    <w:p>
      <w:pPr>
        <w:pStyle w:val="Heading2"/>
      </w:pPr>
      <w:r>
        <w:t>1 数字中频处理总体流程</w:t>
      </w:r>
    </w:p>
    <w:p>
      <w:pPr>
        <w:spacing w:line="300" w:lineRule="auto" w:after="100"/>
        <w:ind w:firstLine="420"/>
      </w:pPr>
      <w:r>
        <w:rPr>
          <w:rFonts w:ascii="宋体" w:hAnsi="宋体" w:eastAsia="宋体"/>
          <w:sz w:val="21"/>
        </w:rPr>
        <w:t>射频前端完成放大、衰减、滤波和两级混频后，将被测信号搬移到固定的第二中频。固定中频的好处在于，后续数字处理不必随输入射频频率改变而重新设计，只需围绕一个固定中频频率进行数字下变频和滤波。ADC 以高速采样率对该中频信号进行离散化，得到实数采样序列 x[n]。随后数字处理链路首先把 x[n] 搬移到零频附近，形成 I/Q 复基带信号，再根据用户选择的 RBW 对基带信号进行窄带滤波。</w:t>
      </w:r>
    </w:p>
    <w:p>
      <w:pPr>
        <w:spacing w:line="300" w:lineRule="auto" w:after="100"/>
        <w:ind w:firstLine="420"/>
      </w:pPr>
      <w:r>
        <w:rPr>
          <w:rFonts w:ascii="宋体" w:hAnsi="宋体" w:eastAsia="宋体"/>
          <w:sz w:val="21"/>
        </w:rPr>
        <w:t>完成 RBW 滤波后，系统对滤波输出的 I/Q 数据进行能量统计，得到当前频点在该分辨率带宽内的平均功率。该功率先以相对 ADC 满量程的形式表示，再结合 ADC 输入参考、前端增益、衰减和频率响应修正，换算成射频输入端功率。最后，扫频过程中得到的一系列频率点和对应幅度值按频率顺序连接，即形成频谱曲线。</w:t>
      </w:r>
    </w:p>
    <w:p>
      <w:pPr>
        <w:pStyle w:val="Heading2"/>
      </w:pPr>
      <w:r>
        <w:t>2 中频采样与数字正交下变频</w:t>
      </w:r>
    </w:p>
    <w:p>
      <w:pPr>
        <w:spacing w:line="300" w:lineRule="auto" w:after="100"/>
        <w:ind w:firstLine="420"/>
      </w:pPr>
      <w:r>
        <w:rPr>
          <w:rFonts w:ascii="宋体" w:hAnsi="宋体" w:eastAsia="宋体"/>
          <w:sz w:val="21"/>
        </w:rPr>
        <w:t>ADC 输出的是实数中频采样序列，其频谱位于正负中频附近。若直接对该实数序列进行窄带测量，滤波器中心频率需要放在中频位置，且正负频谱成分容易相互影响。数字正交下变频通过在数字域中构造与中频同频率的正弦和余弦本振，将中频信号搬移到零频附近，得到同相分量 I[n] 和正交分量 Q[n]。其基本关系可写为：I[n] = x[n]cos(2πfIFn/fs)，Q[n] = -x[n]sin(2πfIFn/fs)。</w:t>
      </w:r>
    </w:p>
    <w:p>
      <w:pPr>
        <w:spacing w:line="300" w:lineRule="auto" w:after="100"/>
        <w:ind w:firstLine="420"/>
      </w:pPr>
      <w:r>
        <w:rPr>
          <w:rFonts w:ascii="宋体" w:hAnsi="宋体" w:eastAsia="宋体"/>
          <w:sz w:val="21"/>
        </w:rPr>
        <w:t>经过正交混频后，原本位于中频处的信号被搬移到基带，后续只需要围绕零频进行低通滤波即可提取目标频点附近的能量。I/Q 表示的另一个优点是保留了信号的复数形式，能够避免实数处理中的镜像混叠问题，并使功率计算可以直接采用 I²+Q² 的形式。图 2.3.1-2 给出了数字正交下变频的基本结构。</w:t>
      </w:r>
    </w:p>
    <w:p>
      <w:pPr>
        <w:jc w:val="center"/>
      </w:pPr>
      <w:r>
        <w:drawing>
          <wp:inline xmlns:a="http://schemas.openxmlformats.org/drawingml/2006/main" xmlns:pic="http://schemas.openxmlformats.org/drawingml/2006/picture">
            <wp:extent cx="5616000" cy="3304573"/>
            <wp:docPr id="2" name="Picture 2"/>
            <wp:cNvGraphicFramePr>
              <a:graphicFrameLocks noChangeAspect="1"/>
            </wp:cNvGraphicFramePr>
            <a:graphic>
              <a:graphicData uri="http://schemas.openxmlformats.org/drawingml/2006/picture">
                <pic:pic>
                  <pic:nvPicPr>
                    <pic:cNvPr id="0" name="fig_231_2_quadrature_ddc.png"/>
                    <pic:cNvPicPr/>
                  </pic:nvPicPr>
                  <pic:blipFill>
                    <a:blip r:embed="rId10"/>
                    <a:stretch>
                      <a:fillRect/>
                    </a:stretch>
                  </pic:blipFill>
                  <pic:spPr>
                    <a:xfrm>
                      <a:off x="0" y="0"/>
                      <a:ext cx="5616000" cy="3304573"/>
                    </a:xfrm>
                    <a:prstGeom prst="rect"/>
                  </pic:spPr>
                </pic:pic>
              </a:graphicData>
            </a:graphic>
          </wp:inline>
        </w:drawing>
      </w:r>
    </w:p>
    <w:p>
      <w:pPr>
        <w:spacing w:after="160"/>
        <w:jc w:val="center"/>
      </w:pPr>
      <w:r>
        <w:rPr>
          <w:rFonts w:ascii="宋体" w:hAnsi="宋体" w:eastAsia="宋体"/>
          <w:color w:val="4B5563"/>
          <w:sz w:val="18"/>
        </w:rPr>
        <w:t>图 2.3.1-2 数字正交下变频原理。采样后的实数中频分别与本地数字正弦、余弦相乘，得到 I/Q 两路基带信号。</w:t>
      </w:r>
    </w:p>
    <w:p>
      <w:pPr>
        <w:pStyle w:val="Heading2"/>
      </w:pPr>
      <w:r>
        <w:t>3 分辨率带宽滤波设计</w:t>
      </w:r>
    </w:p>
    <w:p>
      <w:pPr>
        <w:spacing w:line="300" w:lineRule="auto" w:after="100"/>
        <w:ind w:firstLine="420"/>
      </w:pPr>
      <w:r>
        <w:rPr>
          <w:rFonts w:ascii="宋体" w:hAnsi="宋体" w:eastAsia="宋体"/>
          <w:sz w:val="21"/>
        </w:rPr>
        <w:t>RBW 滤波器相当于频谱仪中的数字中频滤波器，它决定了测量时实际积分的频率范围。对于某一射频频点，经过本振变换和数字下变频后，目标信号落在基带附近；此时用低通滤波器限制通过带宽，就可以得到该频点附近 RBW 范围内的信号分量。滤波器的等效噪声带宽越窄，进入功率检测环节的噪声功率越小，显示噪声底越低，但稳定测量所需时间也越长。</w:t>
      </w:r>
    </w:p>
    <w:p>
      <w:pPr>
        <w:spacing w:line="300" w:lineRule="auto" w:after="100"/>
        <w:ind w:firstLine="420"/>
      </w:pPr>
      <w:r>
        <w:rPr>
          <w:rFonts w:ascii="宋体" w:hAnsi="宋体" w:eastAsia="宋体"/>
          <w:sz w:val="21"/>
        </w:rPr>
        <w:t>为了兼顾计算量和滤波效果，数字处理链路采用“抽取加补偿滤波”的思想。首先使用适合大倍率降采样的抽取滤波结构降低数据率，使后续窄带滤波能够在较低等效采样率下完成；随后使用补偿低通滤波器形成更接近目标 RBW 的通带响应，并削弱抽取滤波带来的通带起伏。由于滤波器在启动时存在瞬态响应，功率统计只应在滤波输出进入稳定区间后进行。图 2.3.1-3 展示了 RBW 滤波与观测窗口之间的关系。</w:t>
      </w:r>
    </w:p>
    <w:p>
      <w:pPr>
        <w:jc w:val="center"/>
      </w:pPr>
      <w:r>
        <w:drawing>
          <wp:inline xmlns:a="http://schemas.openxmlformats.org/drawingml/2006/main" xmlns:pic="http://schemas.openxmlformats.org/drawingml/2006/picture">
            <wp:extent cx="5616000" cy="3230886"/>
            <wp:docPr id="3" name="Picture 3"/>
            <wp:cNvGraphicFramePr>
              <a:graphicFrameLocks noChangeAspect="1"/>
            </wp:cNvGraphicFramePr>
            <a:graphic>
              <a:graphicData uri="http://schemas.openxmlformats.org/drawingml/2006/picture">
                <pic:pic>
                  <pic:nvPicPr>
                    <pic:cNvPr id="0" name="fig_231_3_rbw_filter.png"/>
                    <pic:cNvPicPr/>
                  </pic:nvPicPr>
                  <pic:blipFill>
                    <a:blip r:embed="rId11"/>
                    <a:stretch>
                      <a:fillRect/>
                    </a:stretch>
                  </pic:blipFill>
                  <pic:spPr>
                    <a:xfrm>
                      <a:off x="0" y="0"/>
                      <a:ext cx="5616000" cy="3230886"/>
                    </a:xfrm>
                    <a:prstGeom prst="rect"/>
                  </pic:spPr>
                </pic:pic>
              </a:graphicData>
            </a:graphic>
          </wp:inline>
        </w:drawing>
      </w:r>
    </w:p>
    <w:p>
      <w:pPr>
        <w:spacing w:after="160"/>
        <w:jc w:val="center"/>
      </w:pPr>
      <w:r>
        <w:rPr>
          <w:rFonts w:ascii="宋体" w:hAnsi="宋体" w:eastAsia="宋体"/>
          <w:color w:val="4B5563"/>
          <w:sz w:val="18"/>
        </w:rPr>
        <w:t>图 2.3.1-3 RBW滤波与等效噪声带宽控制。不同分辨率带宽通过抽取和窄带低通滤波实现，在频率分辨率和扫频速度之间折中。</w:t>
      </w:r>
    </w:p>
    <w:p>
      <w:pPr>
        <w:spacing w:line="300" w:lineRule="auto" w:after="100"/>
        <w:ind w:firstLine="420"/>
      </w:pPr>
      <w:r>
        <w:rPr>
          <w:rFonts w:ascii="宋体" w:hAnsi="宋体" w:eastAsia="宋体"/>
          <w:sz w:val="21"/>
        </w:rPr>
        <w:t>本设计设置了从 1 kHz 到 1 MHz 的多档 RBW，以适应不同测量场景。窄 RBW 适合观察相邻很近的窄带信号和弱小杂散，宽 RBW 适合快速寻找信号位置或观察较宽带宽的信号包络。各档 RBW 对应的抽取比、滤波器长度和观测点数见表 2.3.1-1。</w:t>
      </w:r>
    </w:p>
    <w:p>
      <w:pPr>
        <w:pStyle w:val="Heading3"/>
      </w:pPr>
      <w:r>
        <w:t>表 2.3.1-1 RBW 档位参数</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Pr>
          <w:p>
            <w:pPr>
              <w:jc w:val="center"/>
            </w:pPr>
            <w:r>
              <w:rPr>
                <w:b/>
                <w:sz w:val="18"/>
              </w:rPr>
              <w:t>RBW</w:t>
            </w:r>
          </w:p>
        </w:tc>
        <w:tc>
          <w:tcPr>
            <w:tcW w:type="dxa" w:w="1360"/>
            <w:vAlign w:val="center"/>
          </w:tcPr>
          <w:p>
            <w:pPr>
              <w:jc w:val="center"/>
            </w:pPr>
            <w:r>
              <w:rPr>
                <w:b/>
                <w:sz w:val="18"/>
              </w:rPr>
              <w:t>CIC R</w:t>
            </w:r>
          </w:p>
        </w:tc>
        <w:tc>
          <w:tcPr>
            <w:tcW w:type="dxa" w:w="1360"/>
            <w:vAlign w:val="center"/>
          </w:tcPr>
          <w:p>
            <w:pPr>
              <w:jc w:val="center"/>
            </w:pPr>
            <w:r>
              <w:rPr>
                <w:b/>
                <w:sz w:val="18"/>
              </w:rPr>
              <w:t>CIC N</w:t>
            </w:r>
          </w:p>
        </w:tc>
        <w:tc>
          <w:tcPr>
            <w:tcW w:type="dxa" w:w="1360"/>
            <w:vAlign w:val="center"/>
          </w:tcPr>
          <w:p>
            <w:pPr>
              <w:jc w:val="center"/>
            </w:pPr>
            <w:r>
              <w:rPr>
                <w:b/>
                <w:sz w:val="18"/>
              </w:rPr>
              <w:t>FIR taps</w:t>
            </w:r>
          </w:p>
        </w:tc>
        <w:tc>
          <w:tcPr>
            <w:tcW w:type="dxa" w:w="1360"/>
            <w:vAlign w:val="center"/>
          </w:tcPr>
          <w:p>
            <w:pPr>
              <w:jc w:val="center"/>
            </w:pPr>
            <w:r>
              <w:rPr>
                <w:b/>
                <w:sz w:val="18"/>
              </w:rPr>
              <w:t>Observe pts</w:t>
            </w:r>
          </w:p>
        </w:tc>
        <w:tc>
          <w:tcPr>
            <w:tcW w:type="dxa" w:w="1360"/>
            <w:vAlign w:val="center"/>
          </w:tcPr>
          <w:p>
            <w:pPr>
              <w:jc w:val="center"/>
            </w:pPr>
            <w:r>
              <w:rPr>
                <w:b/>
                <w:sz w:val="18"/>
              </w:rPr>
              <w:t>Skip pts</w:t>
            </w:r>
          </w:p>
        </w:tc>
        <w:tc>
          <w:tcPr>
            <w:tcW w:type="dxa" w:w="1360"/>
            <w:vAlign w:val="center"/>
          </w:tcPr>
          <w:p>
            <w:pPr>
              <w:jc w:val="center"/>
            </w:pPr>
            <w:r>
              <w:rPr>
                <w:b/>
                <w:sz w:val="18"/>
              </w:rPr>
              <w:t>Accum target</w:t>
            </w:r>
          </w:p>
        </w:tc>
      </w:tr>
      <w:tr>
        <w:tc>
          <w:tcPr>
            <w:tcW w:type="dxa" w:w="1360"/>
            <w:vAlign w:val="center"/>
          </w:tcPr>
          <w:p>
            <w:pPr>
              <w:jc w:val="center"/>
            </w:pPr>
            <w:r>
              <w:rPr>
                <w:sz w:val="18"/>
              </w:rPr>
              <w:t>1 kHz</w:t>
            </w:r>
          </w:p>
        </w:tc>
        <w:tc>
          <w:tcPr>
            <w:tcW w:type="dxa" w:w="1360"/>
            <w:vAlign w:val="center"/>
          </w:tcPr>
          <w:p>
            <w:pPr>
              <w:jc w:val="center"/>
            </w:pPr>
            <w:r>
              <w:rPr>
                <w:sz w:val="18"/>
              </w:rPr>
              <w:t>13000</w:t>
            </w:r>
          </w:p>
        </w:tc>
        <w:tc>
          <w:tcPr>
            <w:tcW w:type="dxa" w:w="1360"/>
            <w:vAlign w:val="center"/>
          </w:tcPr>
          <w:p>
            <w:pPr>
              <w:jc w:val="center"/>
            </w:pPr>
            <w:r>
              <w:rPr>
                <w:sz w:val="18"/>
              </w:rPr>
              <w:t>5</w:t>
            </w:r>
          </w:p>
        </w:tc>
        <w:tc>
          <w:tcPr>
            <w:tcW w:type="dxa" w:w="1360"/>
            <w:vAlign w:val="center"/>
          </w:tcPr>
          <w:p>
            <w:pPr>
              <w:jc w:val="center"/>
            </w:pPr>
            <w:r>
              <w:rPr>
                <w:sz w:val="18"/>
              </w:rPr>
              <w:t>256</w:t>
            </w:r>
          </w:p>
        </w:tc>
        <w:tc>
          <w:tcPr>
            <w:tcW w:type="dxa" w:w="1360"/>
            <w:vAlign w:val="center"/>
          </w:tcPr>
          <w:p>
            <w:pPr>
              <w:jc w:val="center"/>
            </w:pPr>
            <w:r>
              <w:rPr>
                <w:sz w:val="18"/>
              </w:rPr>
              <w:t>256</w:t>
            </w:r>
          </w:p>
        </w:tc>
        <w:tc>
          <w:tcPr>
            <w:tcW w:type="dxa" w:w="1360"/>
            <w:vAlign w:val="center"/>
          </w:tcPr>
          <w:p>
            <w:pPr>
              <w:jc w:val="center"/>
            </w:pPr>
            <w:r>
              <w:rPr>
                <w:sz w:val="18"/>
              </w:rPr>
              <w:t>128</w:t>
            </w:r>
          </w:p>
        </w:tc>
        <w:tc>
          <w:tcPr>
            <w:tcW w:type="dxa" w:w="1360"/>
            <w:vAlign w:val="center"/>
          </w:tcPr>
          <w:p>
            <w:pPr>
              <w:jc w:val="center"/>
            </w:pPr>
            <w:r>
              <w:rPr>
                <w:sz w:val="18"/>
              </w:rPr>
              <w:t>640</w:t>
            </w:r>
          </w:p>
        </w:tc>
      </w:tr>
      <w:tr>
        <w:tc>
          <w:tcPr>
            <w:tcW w:type="dxa" w:w="1360"/>
            <w:vAlign w:val="center"/>
          </w:tcPr>
          <w:p>
            <w:pPr>
              <w:jc w:val="center"/>
            </w:pPr>
            <w:r>
              <w:rPr>
                <w:sz w:val="18"/>
              </w:rPr>
              <w:t>10 kHz</w:t>
            </w:r>
          </w:p>
        </w:tc>
        <w:tc>
          <w:tcPr>
            <w:tcW w:type="dxa" w:w="1360"/>
            <w:vAlign w:val="center"/>
          </w:tcPr>
          <w:p>
            <w:pPr>
              <w:jc w:val="center"/>
            </w:pPr>
            <w:r>
              <w:rPr>
                <w:sz w:val="18"/>
              </w:rPr>
              <w:t>1300</w:t>
            </w:r>
          </w:p>
        </w:tc>
        <w:tc>
          <w:tcPr>
            <w:tcW w:type="dxa" w:w="1360"/>
            <w:vAlign w:val="center"/>
          </w:tcPr>
          <w:p>
            <w:pPr>
              <w:jc w:val="center"/>
            </w:pPr>
            <w:r>
              <w:rPr>
                <w:sz w:val="18"/>
              </w:rPr>
              <w:t>5</w:t>
            </w:r>
          </w:p>
        </w:tc>
        <w:tc>
          <w:tcPr>
            <w:tcW w:type="dxa" w:w="1360"/>
            <w:vAlign w:val="center"/>
          </w:tcPr>
          <w:p>
            <w:pPr>
              <w:jc w:val="center"/>
            </w:pPr>
            <w:r>
              <w:rPr>
                <w:sz w:val="18"/>
              </w:rPr>
              <w:t>256</w:t>
            </w:r>
          </w:p>
        </w:tc>
        <w:tc>
          <w:tcPr>
            <w:tcW w:type="dxa" w:w="1360"/>
            <w:vAlign w:val="center"/>
          </w:tcPr>
          <w:p>
            <w:pPr>
              <w:jc w:val="center"/>
            </w:pPr>
            <w:r>
              <w:rPr>
                <w:sz w:val="18"/>
              </w:rPr>
              <w:t>256</w:t>
            </w:r>
          </w:p>
        </w:tc>
        <w:tc>
          <w:tcPr>
            <w:tcW w:type="dxa" w:w="1360"/>
            <w:vAlign w:val="center"/>
          </w:tcPr>
          <w:p>
            <w:pPr>
              <w:jc w:val="center"/>
            </w:pPr>
            <w:r>
              <w:rPr>
                <w:sz w:val="18"/>
              </w:rPr>
              <w:t>128</w:t>
            </w:r>
          </w:p>
        </w:tc>
        <w:tc>
          <w:tcPr>
            <w:tcW w:type="dxa" w:w="1360"/>
            <w:vAlign w:val="center"/>
          </w:tcPr>
          <w:p>
            <w:pPr>
              <w:jc w:val="center"/>
            </w:pPr>
            <w:r>
              <w:rPr>
                <w:sz w:val="18"/>
              </w:rPr>
              <w:t>640</w:t>
            </w:r>
          </w:p>
        </w:tc>
      </w:tr>
      <w:tr>
        <w:tc>
          <w:tcPr>
            <w:tcW w:type="dxa" w:w="1360"/>
            <w:vAlign w:val="center"/>
          </w:tcPr>
          <w:p>
            <w:pPr>
              <w:jc w:val="center"/>
            </w:pPr>
            <w:r>
              <w:rPr>
                <w:sz w:val="18"/>
              </w:rPr>
              <w:t>30 kHz</w:t>
            </w:r>
          </w:p>
        </w:tc>
        <w:tc>
          <w:tcPr>
            <w:tcW w:type="dxa" w:w="1360"/>
            <w:vAlign w:val="center"/>
          </w:tcPr>
          <w:p>
            <w:pPr>
              <w:jc w:val="center"/>
            </w:pPr>
            <w:r>
              <w:rPr>
                <w:sz w:val="18"/>
              </w:rPr>
              <w:t>433</w:t>
            </w:r>
          </w:p>
        </w:tc>
        <w:tc>
          <w:tcPr>
            <w:tcW w:type="dxa" w:w="1360"/>
            <w:vAlign w:val="center"/>
          </w:tcPr>
          <w:p>
            <w:pPr>
              <w:jc w:val="center"/>
            </w:pPr>
            <w:r>
              <w:rPr>
                <w:sz w:val="18"/>
              </w:rPr>
              <w:t>5</w:t>
            </w:r>
          </w:p>
        </w:tc>
        <w:tc>
          <w:tcPr>
            <w:tcW w:type="dxa" w:w="1360"/>
            <w:vAlign w:val="center"/>
          </w:tcPr>
          <w:p>
            <w:pPr>
              <w:jc w:val="center"/>
            </w:pPr>
            <w:r>
              <w:rPr>
                <w:sz w:val="18"/>
              </w:rPr>
              <w:t>256</w:t>
            </w:r>
          </w:p>
        </w:tc>
        <w:tc>
          <w:tcPr>
            <w:tcW w:type="dxa" w:w="1360"/>
            <w:vAlign w:val="center"/>
          </w:tcPr>
          <w:p>
            <w:pPr>
              <w:jc w:val="center"/>
            </w:pPr>
            <w:r>
              <w:rPr>
                <w:sz w:val="18"/>
              </w:rPr>
              <w:t>256</w:t>
            </w:r>
          </w:p>
        </w:tc>
        <w:tc>
          <w:tcPr>
            <w:tcW w:type="dxa" w:w="1360"/>
            <w:vAlign w:val="center"/>
          </w:tcPr>
          <w:p>
            <w:pPr>
              <w:jc w:val="center"/>
            </w:pPr>
            <w:r>
              <w:rPr>
                <w:sz w:val="18"/>
              </w:rPr>
              <w:t>128</w:t>
            </w:r>
          </w:p>
        </w:tc>
        <w:tc>
          <w:tcPr>
            <w:tcW w:type="dxa" w:w="1360"/>
            <w:vAlign w:val="center"/>
          </w:tcPr>
          <w:p>
            <w:pPr>
              <w:jc w:val="center"/>
            </w:pPr>
            <w:r>
              <w:rPr>
                <w:sz w:val="18"/>
              </w:rPr>
              <w:t>640</w:t>
            </w:r>
          </w:p>
        </w:tc>
      </w:tr>
      <w:tr>
        <w:tc>
          <w:tcPr>
            <w:tcW w:type="dxa" w:w="1360"/>
            <w:vAlign w:val="center"/>
          </w:tcPr>
          <w:p>
            <w:pPr>
              <w:jc w:val="center"/>
            </w:pPr>
            <w:r>
              <w:rPr>
                <w:sz w:val="18"/>
              </w:rPr>
              <w:t>100 kHz</w:t>
            </w:r>
          </w:p>
        </w:tc>
        <w:tc>
          <w:tcPr>
            <w:tcW w:type="dxa" w:w="1360"/>
            <w:vAlign w:val="center"/>
          </w:tcPr>
          <w:p>
            <w:pPr>
              <w:jc w:val="center"/>
            </w:pPr>
            <w:r>
              <w:rPr>
                <w:sz w:val="18"/>
              </w:rPr>
              <w:t>130</w:t>
            </w:r>
          </w:p>
        </w:tc>
        <w:tc>
          <w:tcPr>
            <w:tcW w:type="dxa" w:w="1360"/>
            <w:vAlign w:val="center"/>
          </w:tcPr>
          <w:p>
            <w:pPr>
              <w:jc w:val="center"/>
            </w:pPr>
            <w:r>
              <w:rPr>
                <w:sz w:val="18"/>
              </w:rPr>
              <w:t>5</w:t>
            </w:r>
          </w:p>
        </w:tc>
        <w:tc>
          <w:tcPr>
            <w:tcW w:type="dxa" w:w="1360"/>
            <w:vAlign w:val="center"/>
          </w:tcPr>
          <w:p>
            <w:pPr>
              <w:jc w:val="center"/>
            </w:pPr>
            <w:r>
              <w:rPr>
                <w:sz w:val="18"/>
              </w:rPr>
              <w:t>128</w:t>
            </w:r>
          </w:p>
        </w:tc>
        <w:tc>
          <w:tcPr>
            <w:tcW w:type="dxa" w:w="1360"/>
            <w:vAlign w:val="center"/>
          </w:tcPr>
          <w:p>
            <w:pPr>
              <w:jc w:val="center"/>
            </w:pPr>
            <w:r>
              <w:rPr>
                <w:sz w:val="18"/>
              </w:rPr>
              <w:t>384</w:t>
            </w:r>
          </w:p>
        </w:tc>
        <w:tc>
          <w:tcPr>
            <w:tcW w:type="dxa" w:w="1360"/>
            <w:vAlign w:val="center"/>
          </w:tcPr>
          <w:p>
            <w:pPr>
              <w:jc w:val="center"/>
            </w:pPr>
            <w:r>
              <w:rPr>
                <w:sz w:val="18"/>
              </w:rPr>
              <w:t>64</w:t>
            </w:r>
          </w:p>
        </w:tc>
        <w:tc>
          <w:tcPr>
            <w:tcW w:type="dxa" w:w="1360"/>
            <w:vAlign w:val="center"/>
          </w:tcPr>
          <w:p>
            <w:pPr>
              <w:jc w:val="center"/>
            </w:pPr>
            <w:r>
              <w:rPr>
                <w:sz w:val="18"/>
              </w:rPr>
              <w:t>576</w:t>
            </w:r>
          </w:p>
        </w:tc>
      </w:tr>
      <w:tr>
        <w:tc>
          <w:tcPr>
            <w:tcW w:type="dxa" w:w="1360"/>
            <w:vAlign w:val="center"/>
          </w:tcPr>
          <w:p>
            <w:pPr>
              <w:jc w:val="center"/>
            </w:pPr>
            <w:r>
              <w:rPr>
                <w:sz w:val="18"/>
              </w:rPr>
              <w:t>300 kHz</w:t>
            </w:r>
          </w:p>
        </w:tc>
        <w:tc>
          <w:tcPr>
            <w:tcW w:type="dxa" w:w="1360"/>
            <w:vAlign w:val="center"/>
          </w:tcPr>
          <w:p>
            <w:pPr>
              <w:jc w:val="center"/>
            </w:pPr>
            <w:r>
              <w:rPr>
                <w:sz w:val="18"/>
              </w:rPr>
              <w:t>43</w:t>
            </w:r>
          </w:p>
        </w:tc>
        <w:tc>
          <w:tcPr>
            <w:tcW w:type="dxa" w:w="1360"/>
            <w:vAlign w:val="center"/>
          </w:tcPr>
          <w:p>
            <w:pPr>
              <w:jc w:val="center"/>
            </w:pPr>
            <w:r>
              <w:rPr>
                <w:sz w:val="18"/>
              </w:rPr>
              <w:t>4</w:t>
            </w:r>
          </w:p>
        </w:tc>
        <w:tc>
          <w:tcPr>
            <w:tcW w:type="dxa" w:w="1360"/>
            <w:vAlign w:val="center"/>
          </w:tcPr>
          <w:p>
            <w:pPr>
              <w:jc w:val="center"/>
            </w:pPr>
            <w:r>
              <w:rPr>
                <w:sz w:val="18"/>
              </w:rPr>
              <w:t>128</w:t>
            </w:r>
          </w:p>
        </w:tc>
        <w:tc>
          <w:tcPr>
            <w:tcW w:type="dxa" w:w="1360"/>
            <w:vAlign w:val="center"/>
          </w:tcPr>
          <w:p>
            <w:pPr>
              <w:jc w:val="center"/>
            </w:pPr>
            <w:r>
              <w:rPr>
                <w:sz w:val="18"/>
              </w:rPr>
              <w:t>384</w:t>
            </w:r>
          </w:p>
        </w:tc>
        <w:tc>
          <w:tcPr>
            <w:tcW w:type="dxa" w:w="1360"/>
            <w:vAlign w:val="center"/>
          </w:tcPr>
          <w:p>
            <w:pPr>
              <w:jc w:val="center"/>
            </w:pPr>
            <w:r>
              <w:rPr>
                <w:sz w:val="18"/>
              </w:rPr>
              <w:t>64</w:t>
            </w:r>
          </w:p>
        </w:tc>
        <w:tc>
          <w:tcPr>
            <w:tcW w:type="dxa" w:w="1360"/>
            <w:vAlign w:val="center"/>
          </w:tcPr>
          <w:p>
            <w:pPr>
              <w:jc w:val="center"/>
            </w:pPr>
            <w:r>
              <w:rPr>
                <w:sz w:val="18"/>
              </w:rPr>
              <w:t>576</w:t>
            </w:r>
          </w:p>
        </w:tc>
      </w:tr>
      <w:tr>
        <w:tc>
          <w:tcPr>
            <w:tcW w:type="dxa" w:w="1360"/>
            <w:vAlign w:val="center"/>
          </w:tcPr>
          <w:p>
            <w:pPr>
              <w:jc w:val="center"/>
            </w:pPr>
            <w:r>
              <w:rPr>
                <w:sz w:val="18"/>
              </w:rPr>
              <w:t>1 MHz</w:t>
            </w:r>
          </w:p>
        </w:tc>
        <w:tc>
          <w:tcPr>
            <w:tcW w:type="dxa" w:w="1360"/>
            <w:vAlign w:val="center"/>
          </w:tcPr>
          <w:p>
            <w:pPr>
              <w:jc w:val="center"/>
            </w:pPr>
            <w:r>
              <w:rPr>
                <w:sz w:val="18"/>
              </w:rPr>
              <w:t>13</w:t>
            </w:r>
          </w:p>
        </w:tc>
        <w:tc>
          <w:tcPr>
            <w:tcW w:type="dxa" w:w="1360"/>
            <w:vAlign w:val="center"/>
          </w:tcPr>
          <w:p>
            <w:pPr>
              <w:jc w:val="center"/>
            </w:pPr>
            <w:r>
              <w:rPr>
                <w:sz w:val="18"/>
              </w:rPr>
              <w:t>4</w:t>
            </w:r>
          </w:p>
        </w:tc>
        <w:tc>
          <w:tcPr>
            <w:tcW w:type="dxa" w:w="1360"/>
            <w:vAlign w:val="center"/>
          </w:tcPr>
          <w:p>
            <w:pPr>
              <w:jc w:val="center"/>
            </w:pPr>
            <w:r>
              <w:rPr>
                <w:sz w:val="18"/>
              </w:rPr>
              <w:t>64</w:t>
            </w:r>
          </w:p>
        </w:tc>
        <w:tc>
          <w:tcPr>
            <w:tcW w:type="dxa" w:w="1360"/>
            <w:vAlign w:val="center"/>
          </w:tcPr>
          <w:p>
            <w:pPr>
              <w:jc w:val="center"/>
            </w:pPr>
            <w:r>
              <w:rPr>
                <w:sz w:val="18"/>
              </w:rPr>
              <w:t>384</w:t>
            </w:r>
          </w:p>
        </w:tc>
        <w:tc>
          <w:tcPr>
            <w:tcW w:type="dxa" w:w="1360"/>
            <w:vAlign w:val="center"/>
          </w:tcPr>
          <w:p>
            <w:pPr>
              <w:jc w:val="center"/>
            </w:pPr>
            <w:r>
              <w:rPr>
                <w:sz w:val="18"/>
              </w:rPr>
              <w:t>32</w:t>
            </w:r>
          </w:p>
        </w:tc>
        <w:tc>
          <w:tcPr>
            <w:tcW w:type="dxa" w:w="1360"/>
            <w:vAlign w:val="center"/>
          </w:tcPr>
          <w:p>
            <w:pPr>
              <w:jc w:val="center"/>
            </w:pPr>
            <w:r>
              <w:rPr>
                <w:sz w:val="18"/>
              </w:rPr>
              <w:t>480</w:t>
            </w:r>
          </w:p>
        </w:tc>
      </w:tr>
    </w:tbl>
    <w:p>
      <w:pPr>
        <w:spacing w:after="160"/>
        <w:jc w:val="center"/>
      </w:pPr>
      <w:r>
        <w:rPr>
          <w:rFonts w:ascii="宋体" w:hAnsi="宋体" w:eastAsia="宋体"/>
          <w:color w:val="4B5563"/>
          <w:sz w:val="18"/>
        </w:rPr>
        <w:t>表 2.3.1-1 RBW 档位参数。不同档位通过抽取比、滤波器长度和观测点数的组合实现不同分辨率带宽。</w:t>
      </w:r>
    </w:p>
    <w:p>
      <w:pPr>
        <w:pStyle w:val="Heading2"/>
      </w:pPr>
      <w:r>
        <w:t>4 扫频成谱与逐点功率检测</w:t>
      </w:r>
    </w:p>
    <w:p>
      <w:pPr>
        <w:spacing w:line="300" w:lineRule="auto" w:after="100"/>
        <w:ind w:firstLine="420"/>
      </w:pPr>
      <w:r>
        <w:rPr>
          <w:rFonts w:ascii="宋体" w:hAnsi="宋体" w:eastAsia="宋体"/>
          <w:sz w:val="21"/>
        </w:rPr>
        <w:t>本仪器采用扫频式频谱测量方式。对某一个待测频点，射频前端通过调节本振频率使该频点变换到固定中频；数字处理链路再对这个固定中频进行下变频、RBW 滤波和功率检测，得到该频点的幅度值。随后本振切换到下一个频点，重复同样的测量过程。这样得到的一组 P(f1)、P(f2)、...、P(fN) 按频率顺序排列后，就构成了完整频谱。</w:t>
      </w:r>
    </w:p>
    <w:p>
      <w:pPr>
        <w:spacing w:line="300" w:lineRule="auto" w:after="100"/>
        <w:ind w:firstLine="420"/>
      </w:pPr>
      <w:r>
        <w:rPr>
          <w:rFonts w:ascii="宋体" w:hAnsi="宋体" w:eastAsia="宋体"/>
          <w:sz w:val="21"/>
        </w:rPr>
        <w:t>扫频步进需要与 RBW 相匹配。若步进远大于 RBW，窄带信号可能落在两个测量点之间而被漏检；若步进过小，虽然曲线更细密，但扫频时间会明显增加。因此通常使扫频步进与 RBW 保持同量级，并在分辨率和速度之间折中。对于窄 RBW 测量，应使用较小步进以保证窄峰不被跳过；对于宽 RBW 快速扫描，则可以使用较大步进以提高刷新速度。图 2.3.1-4 给出了扫频成谱的基本原理。</w:t>
      </w:r>
    </w:p>
    <w:p>
      <w:pPr>
        <w:jc w:val="center"/>
      </w:pPr>
      <w:r>
        <w:drawing>
          <wp:inline xmlns:a="http://schemas.openxmlformats.org/drawingml/2006/main" xmlns:pic="http://schemas.openxmlformats.org/drawingml/2006/picture">
            <wp:extent cx="5616000" cy="3304573"/>
            <wp:docPr id="4" name="Picture 4"/>
            <wp:cNvGraphicFramePr>
              <a:graphicFrameLocks noChangeAspect="1"/>
            </wp:cNvGraphicFramePr>
            <a:graphic>
              <a:graphicData uri="http://schemas.openxmlformats.org/drawingml/2006/picture">
                <pic:pic>
                  <pic:nvPicPr>
                    <pic:cNvPr id="0" name="fig_231_4_sweep_spectrum.png"/>
                    <pic:cNvPicPr/>
                  </pic:nvPicPr>
                  <pic:blipFill>
                    <a:blip r:embed="rId12"/>
                    <a:stretch>
                      <a:fillRect/>
                    </a:stretch>
                  </pic:blipFill>
                  <pic:spPr>
                    <a:xfrm>
                      <a:off x="0" y="0"/>
                      <a:ext cx="5616000" cy="3304573"/>
                    </a:xfrm>
                    <a:prstGeom prst="rect"/>
                  </pic:spPr>
                </pic:pic>
              </a:graphicData>
            </a:graphic>
          </wp:inline>
        </w:drawing>
      </w:r>
    </w:p>
    <w:p>
      <w:pPr>
        <w:spacing w:after="160"/>
        <w:jc w:val="center"/>
      </w:pPr>
      <w:r>
        <w:rPr>
          <w:rFonts w:ascii="宋体" w:hAnsi="宋体" w:eastAsia="宋体"/>
          <w:color w:val="4B5563"/>
          <w:sz w:val="18"/>
        </w:rPr>
        <w:t>图 2.3.1-4 扫频成谱原理。通过改变本振频率依次测量不同射频频点的窄带功率，最终拼接得到完整频谱曲线。</w:t>
      </w:r>
    </w:p>
    <w:p>
      <w:pPr>
        <w:pStyle w:val="Heading2"/>
      </w:pPr>
      <w:r>
        <w:t>5 功率计算与幅度换算</w:t>
      </w:r>
    </w:p>
    <w:p>
      <w:pPr>
        <w:spacing w:line="300" w:lineRule="auto" w:after="100"/>
        <w:ind w:firstLine="420"/>
      </w:pPr>
      <w:r>
        <w:rPr>
          <w:rFonts w:ascii="宋体" w:hAnsi="宋体" w:eastAsia="宋体"/>
          <w:sz w:val="21"/>
        </w:rPr>
        <w:t>经过 RBW 滤波后，I/Q 基带数据表示的是当前频点附近分辨率带宽内的复信号。其瞬时功率与 I²+Q² 成正比，因此可在有效观测窗口内求均值得到该频点的平均功率：P = mean(I²+Q²)。为了便于与 ADC 满量程和实际输入功率对应，首先将该平均功率换算为 dBFS，即相对于 ADC 满量程的分贝值；再根据 ADC 输入满量程对应功率换算为 ADC 输入端 dBm。</w:t>
      </w:r>
    </w:p>
    <w:p>
      <w:pPr>
        <w:spacing w:line="300" w:lineRule="auto" w:after="100"/>
        <w:ind w:firstLine="420"/>
      </w:pPr>
      <w:r>
        <w:rPr>
          <w:rFonts w:ascii="宋体" w:hAnsi="宋体" w:eastAsia="宋体"/>
          <w:sz w:val="21"/>
        </w:rPr>
        <w:t>实际射频输入端功率还需要考虑前端链路的增益和损耗。输入信号经过低噪声放大器、衰减器、混频器、滤波器和可变增益放大器后才进入 ADC，因此 ADC 端测得的功率并不等于被测端口功率。幅度换算时需要把已知的前端增益、衰减、通道损耗和不同频段的频响误差纳入校正，最终得到射频输入端功率。图 2.3.1-5 展示了从 I/Q 样本功率到输入端幅度的换算关系。</w:t>
      </w:r>
    </w:p>
    <w:p>
      <w:pPr>
        <w:jc w:val="center"/>
      </w:pPr>
      <w:r>
        <w:drawing>
          <wp:inline xmlns:a="http://schemas.openxmlformats.org/drawingml/2006/main" xmlns:pic="http://schemas.openxmlformats.org/drawingml/2006/picture">
            <wp:extent cx="5616000" cy="3304573"/>
            <wp:docPr id="5" name="Picture 5"/>
            <wp:cNvGraphicFramePr>
              <a:graphicFrameLocks noChangeAspect="1"/>
            </wp:cNvGraphicFramePr>
            <a:graphic>
              <a:graphicData uri="http://schemas.openxmlformats.org/drawingml/2006/picture">
                <pic:pic>
                  <pic:nvPicPr>
                    <pic:cNvPr id="0" name="fig_231_5_power_calibration.png"/>
                    <pic:cNvPicPr/>
                  </pic:nvPicPr>
                  <pic:blipFill>
                    <a:blip r:embed="rId13"/>
                    <a:stretch>
                      <a:fillRect/>
                    </a:stretch>
                  </pic:blipFill>
                  <pic:spPr>
                    <a:xfrm>
                      <a:off x="0" y="0"/>
                      <a:ext cx="5616000" cy="3304573"/>
                    </a:xfrm>
                    <a:prstGeom prst="rect"/>
                  </pic:spPr>
                </pic:pic>
              </a:graphicData>
            </a:graphic>
          </wp:inline>
        </w:drawing>
      </w:r>
    </w:p>
    <w:p>
      <w:pPr>
        <w:spacing w:after="160"/>
        <w:jc w:val="center"/>
      </w:pPr>
      <w:r>
        <w:rPr>
          <w:rFonts w:ascii="宋体" w:hAnsi="宋体" w:eastAsia="宋体"/>
          <w:color w:val="4B5563"/>
          <w:sz w:val="18"/>
        </w:rPr>
        <w:t>图 2.3.1-5 功率检测与幅度换算。RBW带宽内的 I/Q 均方功率先换算为 ADC 输入功率，再结合前端增益和损耗修正为射频输入端幅度。</w:t>
      </w:r>
    </w:p>
    <w:p>
      <w:pPr>
        <w:pStyle w:val="Heading2"/>
      </w:pPr>
      <w:r>
        <w:t>6 本设计的特点</w:t>
      </w:r>
    </w:p>
    <w:p>
      <w:pPr>
        <w:spacing w:line="300" w:lineRule="auto" w:after="100"/>
        <w:ind w:firstLine="420"/>
      </w:pPr>
      <w:r>
        <w:rPr>
          <w:rFonts w:ascii="宋体" w:hAnsi="宋体" w:eastAsia="宋体"/>
          <w:sz w:val="21"/>
        </w:rPr>
        <w:t>综上，数字处理链路围绕固定中频和扫频测量两条主线展开。固定中频使数字正交下变频和 RBW 滤波器设计更稳定，扫频方式使仪器能够在较宽射频范围内逐点获得窄带功率。RBW 滤波则把“频谱显示”转化为严格的带宽受限功率测量，使不同档位下的分辨率、噪声底和扫速具有明确物理意义。</w:t>
      </w:r>
    </w:p>
    <w:p>
      <w:pPr>
        <w:spacing w:line="300" w:lineRule="auto" w:after="100"/>
        <w:ind w:firstLine="420"/>
      </w:pPr>
      <w:r>
        <w:rPr>
          <w:rFonts w:ascii="宋体" w:hAnsi="宋体" w:eastAsia="宋体"/>
          <w:sz w:val="21"/>
        </w:rPr>
        <w:t>与直接显示宽带采样频谱相比，该方案更接近传统频谱仪的测量方式，能够在有限采样率和有限处理资源下实现较宽频段覆盖。通过调节本振频率选择待测 RF 频点，通过数字正交下变频把测量集中到基带，通过 RBW 滤波控制分辨率带宽，通过平均功率检测提高幅度稳定性，再通过幅度校正得到可读的输入端功率。这样的处理链路兼顾了低成本实现、测量可解释性和后续标定扩展能力。</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