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i/>
          <w:iCs/>
          <w:color w:val="666666"/>
          <w:sz w:val="20"/>
          <w:szCs w:val="20"/>
        </w:rPr>
        <w:t xml:space="preserve">CONFIDENTIAL – Alpha Holdings - UAE Strategic Partnership (“Ed71”) - 11.30.2025</w:t>
      </w:r>
    </w:p>
    <w:p>
      <w:pPr>
        <w:pStyle w:val="Heading1"/>
        <w:spacing w:after="200" w:before="240"/>
      </w:pPr>
      <w:r>
        <w:rPr>
          <w:rFonts w:ascii="Arial" w:cs="Arial" w:eastAsia="Arial" w:hAnsi="Arial"/>
          <w:b/>
          <w:bCs/>
          <w:sz w:val="32"/>
          <w:szCs w:val="32"/>
        </w:rPr>
        <w:t xml:space="preserve">Overview</w:t>
      </w:r>
    </w:p>
    <w:p>
      <w:pPr>
        <w:spacing w:after="120"/>
      </w:pPr>
      <w:r>
        <w:rPr>
          <w:rFonts w:ascii="Arial" w:cs="Arial" w:eastAsia="Arial" w:hAnsi="Arial"/>
          <w:sz w:val="22"/>
          <w:szCs w:val="22"/>
        </w:rPr>
        <w:t xml:space="preserve">The AI world that is coming requires us to reinvent the educational system if we want to prepare our children &amp; society to thrive. Alpha is the only one in the world building a national scale system to enable the reinvention of education, built around a life-skills program that develops identity, character, and capability in every child. Alpha Holdings is the only organization that has built the complete infrastructure to deploy this transformation at national scale.</w:t>
      </w:r>
    </w:p>
    <w:p>
      <w:pPr>
        <w:spacing w:after="120"/>
      </w:pPr>
      <w:r>
        <w:rPr>
          <w:rFonts w:ascii="Arial" w:cs="Arial" w:eastAsia="Arial" w:hAnsi="Arial"/>
          <w:sz w:val="22"/>
          <w:szCs w:val="22"/>
        </w:rPr>
        <w:t xml:space="preserve">The same way that Alpha has become known as the “Stanford of K-12”, via our partnership, we are dedicated to making “Educated in the Emirates” the most valuable credential for the next generation of global leaders. This requires reinventing public education from first principles for the AI age, not tweaking the existing system.</w:t>
      </w:r>
    </w:p>
    <w:p>
      <w:pPr>
        <w:spacing w:after="120"/>
      </w:pPr>
      <w:r>
        <w:rPr>
          <w:rFonts w:ascii="Arial" w:cs="Arial" w:eastAsia="Arial" w:hAnsi="Arial"/>
          <w:sz w:val="22"/>
          <w:szCs w:val="22"/>
        </w:rPr>
        <w:t xml:space="preserve">Ed71 is a multi-billion-dollar partnership between the UAE and Alpha Holdings to build the world’s first AI-native K–12 system at national scale. Our promise is clear and proven: students will love school more than vacation, master academics in 2 hours per day, and graduate with AI-age life skills and capabilities no traditional system can deliver. Alpha’s proven end-to-end design is licensed, adapted, and embedded into Ed71 and combined with new, bespoke Emirati assets.</w:t>
      </w:r>
    </w:p>
    <w:p>
      <w:pPr>
        <w:spacing w:after="120"/>
      </w:pPr>
      <w:r>
        <w:rPr>
          <w:rFonts w:ascii="Arial" w:cs="Arial" w:eastAsia="Arial" w:hAnsi="Arial"/>
          <w:sz w:val="22"/>
          <w:szCs w:val="22"/>
        </w:rPr>
        <w:t xml:space="preserve">Together we will design AsasCore, the life-skills engine that ensures every Emirati student loves school and thrives in the AI age. AsasCore is intended to be the UAE’s most valuable education asset, embedding national identity and ensuring every Emirati child has the agency, character, and cultural values to shape UAE’s future.</w:t>
      </w:r>
    </w:p>
    <w:p>
      <w:pPr>
        <w:spacing w:after="120"/>
      </w:pPr>
      <w:r>
        <w:rPr>
          <w:rFonts w:ascii="Arial" w:cs="Arial" w:eastAsia="Arial" w:hAnsi="Arial"/>
          <w:sz w:val="22"/>
          <w:szCs w:val="22"/>
        </w:rPr>
        <w:t xml:space="preserve">The Ed71 architecture is implemented through a national network of privately-operated, government-funded schools on the Alpha education system, with Alpha as exclusive initial operating partner. These schools are designed to be accessible to all Emirati students.</w:t>
      </w:r>
    </w:p>
    <w:p>
      <w:pPr>
        <w:spacing w:after="120"/>
      </w:pPr>
      <w:r>
        <w:rPr>
          <w:rFonts w:ascii="Arial" w:cs="Arial" w:eastAsia="Arial" w:hAnsi="Arial"/>
          <w:sz w:val="22"/>
          <w:szCs w:val="22"/>
        </w:rPr>
        <w:t xml:space="preserve">Ed71 launches immediately. Superior outcomes create unstoppable parent demand, and the UAE inherits a proven model for national transformation.</w:t>
      </w:r>
    </w:p>
    <w:p>
      <w:pPr>
        <w:spacing w:after="120"/>
      </w:pPr>
      <w:r>
        <w:rPr>
          <w:rFonts w:ascii="Arial" w:cs="Arial" w:eastAsia="Arial" w:hAnsi="Arial"/>
          <w:sz w:val="22"/>
          <w:szCs w:val="22"/>
        </w:rPr>
        <w:t xml:space="preserve">By building Ed71 on top of Alpha’s complete infrastructure, the UAE becomes the first nation to control its educational sovereignty in the AI era and establish the global standard. Ed71 is operated by Alpha in close partnership with ADEK and the Ministry of Education as a national platform to remake the public school system for Emirati students. Regional expansion and private-pay expatriate offerings are preserved as follow-on opportunities.</w:t>
      </w:r>
    </w:p>
    <w:p>
      <w:pPr>
        <w:pStyle w:val="Heading1"/>
        <w:spacing w:after="200" w:before="240"/>
      </w:pPr>
      <w:r>
        <w:rPr>
          <w:rFonts w:ascii="Arial" w:cs="Arial" w:eastAsia="Arial" w:hAnsi="Arial"/>
          <w:b/>
          <w:bCs/>
          <w:sz w:val="32"/>
          <w:szCs w:val="32"/>
        </w:rPr>
        <w:t xml:space="preserve">Transformation Steps and Alpha’s Proven Capabilities</w:t>
      </w:r>
    </w:p>
    <w:p>
      <w:pPr>
        <w:spacing w:after="120"/>
      </w:pPr>
      <w:r>
        <w:rPr>
          <w:rFonts w:ascii="Arial" w:cs="Arial" w:eastAsia="Arial" w:hAnsi="Arial"/>
          <w:sz w:val="22"/>
          <w:szCs w:val="22"/>
        </w:rPr>
        <w:t xml:space="preserve">Education transformation starts with three core truths: (i) kids should love school more than going on vacation, (ii) kids can crush academics in 2 hours per day and (iii) the key to your child’s happiness is high standards.</w:t>
      </w:r>
    </w:p>
    <w:p>
      <w:pPr>
        <w:spacing w:after="120"/>
      </w:pPr>
      <w:r>
        <w:rPr>
          <w:rFonts w:ascii="Arial" w:cs="Arial" w:eastAsia="Arial" w:hAnsi="Arial"/>
          <w:sz w:val="22"/>
          <w:szCs w:val="22"/>
        </w:rPr>
        <w:t xml:space="preserve">Timeback, the AI and learning-science platform, compresses academic work into efficient mastery-based sessions tailored to each student, and gives each the rest of their day back. That time is then invested in structured and fun life-skills work and projects. Instead of sitting through low-yield lectures, students spend most of their day building concrete skills: leadership and teamwork, relationship-building and socialization, entrepreneurship and financial literacy, storytelling and public speaking, grit and hard work. These life skills workshops are the key to cause children to love school more than going on vacation.</w:t>
      </w:r>
    </w:p>
    <w:p>
      <w:pPr>
        <w:spacing w:after="120"/>
      </w:pPr>
      <w:r>
        <w:rPr>
          <w:rFonts w:ascii="Arial" w:cs="Arial" w:eastAsia="Arial" w:hAnsi="Arial"/>
          <w:sz w:val="22"/>
          <w:szCs w:val="22"/>
        </w:rPr>
        <w:t xml:space="preserve">Alpha brings a complete, already-operating capability stack that Ed71 can license and adapt rather than inventing from scratch.</w:t>
      </w:r>
    </w:p>
    <w:p>
      <w:pPr>
        <w:pStyle w:val="ListParagraph"/>
        <w:numPr>
          <w:ilvl w:val="0"/>
          <w:numId w:val="2"/>
        </w:numPr>
        <w:spacing w:after="80"/>
      </w:pPr>
      <w:r>
        <w:rPr>
          <w:rFonts w:ascii="Arial" w:cs="Arial" w:eastAsia="Arial" w:hAnsi="Arial"/>
          <w:b/>
          <w:bCs/>
          <w:sz w:val="22"/>
          <w:szCs w:val="22"/>
        </w:rPr>
        <w:t xml:space="preserve">Reinvented school day: </w:t>
      </w:r>
      <w:r>
        <w:rPr>
          <w:rFonts w:ascii="Arial" w:cs="Arial" w:eastAsia="Arial" w:hAnsi="Arial"/>
          <w:sz w:val="22"/>
          <w:szCs w:val="22"/>
        </w:rPr>
        <w:t xml:space="preserve">from 6 hours of classes to 2 hours of academic mastery and 4 hours of project-based life skills development.</w:t>
      </w:r>
    </w:p>
    <w:p>
      <w:pPr>
        <w:pStyle w:val="ListParagraph"/>
        <w:numPr>
          <w:ilvl w:val="0"/>
          <w:numId w:val="2"/>
        </w:numPr>
        <w:spacing w:after="80"/>
      </w:pPr>
      <w:r>
        <w:rPr>
          <w:rFonts w:ascii="Arial" w:cs="Arial" w:eastAsia="Arial" w:hAnsi="Arial"/>
          <w:b/>
          <w:bCs/>
          <w:sz w:val="22"/>
          <w:szCs w:val="22"/>
        </w:rPr>
        <w:t xml:space="preserve">Timeback: </w:t>
      </w:r>
      <w:r>
        <w:rPr>
          <w:rFonts w:ascii="Arial" w:cs="Arial" w:eastAsia="Arial" w:hAnsi="Arial"/>
          <w:sz w:val="22"/>
          <w:szCs w:val="22"/>
        </w:rPr>
        <w:t xml:space="preserve">the AI and learning-science platform that delivers academic mastery 10x faster than conventional classrooms.</w:t>
      </w:r>
    </w:p>
    <w:p>
      <w:pPr>
        <w:pStyle w:val="ListParagraph"/>
        <w:numPr>
          <w:ilvl w:val="0"/>
          <w:numId w:val="2"/>
        </w:numPr>
        <w:spacing w:after="80"/>
      </w:pPr>
      <w:r>
        <w:rPr>
          <w:rFonts w:ascii="Arial" w:cs="Arial" w:eastAsia="Arial" w:hAnsi="Arial"/>
          <w:b/>
          <w:bCs/>
          <w:sz w:val="22"/>
          <w:szCs w:val="22"/>
        </w:rPr>
        <w:t xml:space="preserve">AlphaCore: </w:t>
      </w:r>
      <w:r>
        <w:rPr>
          <w:rFonts w:ascii="Arial" w:cs="Arial" w:eastAsia="Arial" w:hAnsi="Arial"/>
          <w:sz w:val="22"/>
          <w:szCs w:val="22"/>
        </w:rPr>
        <w:t xml:space="preserve">an AI-age life-skills curriculum that structures how students practice leadership, teamwork, communication, resilience, and other non-academic capabilities that matter in adult life. Alpha gets the world’s best outcomes because AlphaCore is the strongest life-skills program in K-12.</w:t>
      </w:r>
    </w:p>
    <w:p>
      <w:pPr>
        <w:pStyle w:val="ListParagraph"/>
        <w:numPr>
          <w:ilvl w:val="0"/>
          <w:numId w:val="2"/>
        </w:numPr>
        <w:spacing w:after="80"/>
      </w:pPr>
      <w:r>
        <w:rPr>
          <w:rFonts w:ascii="Arial" w:cs="Arial" w:eastAsia="Arial" w:hAnsi="Arial"/>
          <w:b/>
          <w:bCs/>
          <w:sz w:val="22"/>
          <w:szCs w:val="22"/>
        </w:rPr>
        <w:t xml:space="preserve">Guides: </w:t>
      </w:r>
      <w:r>
        <w:rPr>
          <w:rFonts w:ascii="Arial" w:cs="Arial" w:eastAsia="Arial" w:hAnsi="Arial"/>
          <w:sz w:val="22"/>
          <w:szCs w:val="22"/>
        </w:rPr>
        <w:t xml:space="preserve">complete redefinition of the teachers’ role, as a guide, coach, and mentor</w:t>
      </w:r>
    </w:p>
    <w:p>
      <w:pPr>
        <w:pStyle w:val="ListParagraph"/>
        <w:numPr>
          <w:ilvl w:val="0"/>
          <w:numId w:val="2"/>
        </w:numPr>
        <w:spacing w:after="80"/>
      </w:pPr>
      <w:r>
        <w:rPr>
          <w:rFonts w:ascii="Arial" w:cs="Arial" w:eastAsia="Arial" w:hAnsi="Arial"/>
          <w:b/>
          <w:bCs/>
          <w:sz w:val="22"/>
          <w:szCs w:val="22"/>
        </w:rPr>
        <w:t xml:space="preserve">Guide School: </w:t>
      </w:r>
      <w:r>
        <w:rPr>
          <w:rFonts w:ascii="Arial" w:cs="Arial" w:eastAsia="Arial" w:hAnsi="Arial"/>
          <w:sz w:val="22"/>
          <w:szCs w:val="22"/>
        </w:rPr>
        <w:t xml:space="preserve">the talent academy for training guides that mentor and motivate students while holding them to high standards.</w:t>
      </w:r>
    </w:p>
    <w:p>
      <w:pPr>
        <w:pStyle w:val="ListParagraph"/>
        <w:numPr>
          <w:ilvl w:val="0"/>
          <w:numId w:val="2"/>
        </w:numPr>
        <w:spacing w:after="80"/>
      </w:pPr>
      <w:r>
        <w:rPr>
          <w:rFonts w:ascii="Arial" w:cs="Arial" w:eastAsia="Arial" w:hAnsi="Arial"/>
          <w:b/>
          <w:bCs/>
          <w:sz w:val="22"/>
          <w:szCs w:val="22"/>
        </w:rPr>
        <w:t xml:space="preserve">Incept eduLLM: </w:t>
      </w:r>
      <w:r>
        <w:rPr>
          <w:rFonts w:ascii="Arial" w:cs="Arial" w:eastAsia="Arial" w:hAnsi="Arial"/>
          <w:sz w:val="22"/>
          <w:szCs w:val="22"/>
        </w:rPr>
        <w:t xml:space="preserve">the base learning-science large language model from Incept Labs, is the only LLM that has been specifically trained with Alpha’s learning science, and is able to create an unending stream of content specialized for every student who uses Timeback.</w:t>
      </w:r>
    </w:p>
    <w:p>
      <w:pPr>
        <w:pStyle w:val="ListParagraph"/>
        <w:numPr>
          <w:ilvl w:val="0"/>
          <w:numId w:val="2"/>
        </w:numPr>
        <w:spacing w:after="80"/>
      </w:pPr>
      <w:r>
        <w:rPr>
          <w:rFonts w:ascii="Arial" w:cs="Arial" w:eastAsia="Arial" w:hAnsi="Arial"/>
          <w:b/>
          <w:bCs/>
          <w:sz w:val="22"/>
          <w:szCs w:val="22"/>
        </w:rPr>
        <w:t xml:space="preserve">Marketing: </w:t>
      </w:r>
      <w:r>
        <w:rPr>
          <w:rFonts w:ascii="Arial" w:cs="Arial" w:eastAsia="Arial" w:hAnsi="Arial"/>
          <w:sz w:val="22"/>
          <w:szCs w:val="22"/>
        </w:rPr>
        <w:t xml:space="preserve">A parent education and marketing engine, built on the belief that transformation fails if parents do not understand and demand the outcomes available for their children.</w:t>
      </w:r>
    </w:p>
    <w:p>
      <w:pPr>
        <w:spacing w:after="120"/>
      </w:pPr>
      <w:r>
        <w:rPr>
          <w:rFonts w:ascii="Arial" w:cs="Arial" w:eastAsia="Arial" w:hAnsi="Arial"/>
          <w:sz w:val="22"/>
          <w:szCs w:val="22"/>
        </w:rPr>
        <w:t xml:space="preserve">Alpha has deployed this stack across multiple physical school models, including Sports academies, gt.school for gifted and talented students, wilderness training school, and eSports. Across these formats, Alpha has demonstrated a single operating system that can scale from micro schools to 1,000-plus student flagships while maintaining quality.</w:t>
      </w:r>
    </w:p>
    <w:p>
      <w:pPr>
        <w:spacing w:after="120"/>
      </w:pPr>
      <w:r>
        <w:rPr>
          <w:rFonts w:ascii="Arial" w:cs="Arial" w:eastAsia="Arial" w:hAnsi="Arial"/>
          <w:sz w:val="22"/>
          <w:szCs w:val="22"/>
        </w:rPr>
        <w:t xml:space="preserve">Illustrative “cost to educate” for Ed71 school vs. traditional school at $25k annual budget highlights the extreme leverage of a Timeback-based school (presented on a per-student basis, traditional budget based on US private school norms). A traditional school spends about 50-60% of tuition on their “costs to educate”, driven by teachers teaching 6 hours per day; in contrast, a Timeback-based school only spends about 30% of tuition on “cost to educate” (at a mastery level in 2 hours), freeing budget and time for life skills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r>
              <w:rPr>
                <w:rFonts w:ascii="Arial" w:cs="Arial" w:eastAsia="Arial" w:hAnsi="Arial"/>
                <w:b/>
                <w:bCs/>
                <w:sz w:val="20"/>
                <w:szCs w:val="20"/>
              </w:rPr>
              <w:t xml:space="preserve">Description</w:t>
            </w:r>
          </w:p>
        </w:tc>
        <w:tc>
          <w:tcPr>
            <w:tcW w:type="dxa" w:w="234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r>
              <w:rPr>
                <w:rFonts w:ascii="Arial" w:cs="Arial" w:eastAsia="Arial" w:hAnsi="Arial"/>
                <w:b/>
                <w:bCs/>
                <w:sz w:val="20"/>
                <w:szCs w:val="20"/>
              </w:rPr>
              <w:t xml:space="preserve">Traditional $25k School</w:t>
            </w:r>
          </w:p>
        </w:tc>
        <w:tc>
          <w:tcPr>
            <w:tcW w:type="dxa" w:w="234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r>
              <w:rPr>
                <w:rFonts w:ascii="Arial" w:cs="Arial" w:eastAsia="Arial" w:hAnsi="Arial"/>
                <w:b/>
                <w:bCs/>
                <w:sz w:val="20"/>
                <w:szCs w:val="20"/>
              </w:rPr>
              <w:t xml:space="preserve">Timeback + Teachers</w:t>
            </w:r>
          </w:p>
        </w:tc>
        <w:tc>
          <w:tcPr>
            <w:tcW w:type="dxa" w:w="234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r>
              <w:rPr>
                <w:rFonts w:ascii="Arial" w:cs="Arial" w:eastAsia="Arial" w:hAnsi="Arial"/>
                <w:b/>
                <w:bCs/>
                <w:sz w:val="20"/>
                <w:szCs w:val="20"/>
              </w:rPr>
              <w:t xml:space="preserve">Timeback + Life Skills</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Budget</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$25,000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$25,000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$25,000</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Personnel</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$13,750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$2,500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$4,500</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Timeback / Software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$5,000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$5,000</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Workshops and Motivation</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$4,250</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2"/>
                <w:szCs w:val="22"/>
              </w:rPr>
              <w:t xml:space="preserve">Cost to educate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2"/>
                <w:szCs w:val="22"/>
              </w:rPr>
              <w:t xml:space="preserve">$13,750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2"/>
                <w:szCs w:val="22"/>
              </w:rPr>
              <w:t xml:space="preserve">$7,500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2"/>
                <w:szCs w:val="22"/>
              </w:rPr>
              <w:t xml:space="preserve">$13,750</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2"/>
                <w:szCs w:val="22"/>
              </w:rPr>
              <w:t xml:space="preserve">Education Outcomes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i/>
                <w:iCs/>
                <w:sz w:val="22"/>
                <w:szCs w:val="22"/>
              </w:rPr>
              <w:t xml:space="preserve">Current Baseline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i/>
                <w:iCs/>
                <w:sz w:val="22"/>
                <w:szCs w:val="22"/>
              </w:rPr>
              <w:t xml:space="preserve">As Good or Better</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i/>
                <w:iCs/>
                <w:sz w:val="22"/>
                <w:szCs w:val="22"/>
              </w:rPr>
              <w:t xml:space="preserve">World Class</w:t>
            </w:r>
          </w:p>
        </w:tc>
      </w:tr>
    </w:tbl>
    <w:p>
      <w:pPr>
        <w:spacing w:after="120"/>
      </w:pPr>
    </w:p>
    <w:p>
      <w:pPr>
        <w:spacing w:after="120"/>
      </w:pPr>
      <w:r>
        <w:rPr>
          <w:rFonts w:ascii="Arial" w:cs="Arial" w:eastAsia="Arial" w:hAnsi="Arial"/>
          <w:sz w:val="22"/>
          <w:szCs w:val="22"/>
        </w:rPr>
        <w:t xml:space="preserve">This complete infrastructure is what Ed71 licenses, adapts, and embeds into an Emirati-owned system.</w:t>
      </w:r>
    </w:p>
    <w:p>
      <w:pPr>
        <w:pStyle w:val="Heading1"/>
        <w:spacing w:after="200" w:before="240"/>
      </w:pPr>
      <w:r>
        <w:rPr>
          <w:rFonts w:ascii="Arial" w:cs="Arial" w:eastAsia="Arial" w:hAnsi="Arial"/>
          <w:b/>
          <w:bCs/>
          <w:sz w:val="32"/>
          <w:szCs w:val="32"/>
        </w:rPr>
        <w:t xml:space="preserve">The Newly Created AsasCore Program and UAE Education Assets</w:t>
      </w:r>
    </w:p>
    <w:p>
      <w:pPr>
        <w:spacing w:after="120"/>
      </w:pPr>
      <w:r>
        <w:rPr>
          <w:rFonts w:ascii="Arial" w:cs="Arial" w:eastAsia="Arial" w:hAnsi="Arial"/>
          <w:sz w:val="22"/>
          <w:szCs w:val="22"/>
        </w:rPr>
        <w:t xml:space="preserve">A country’s most valuable educational asset is its K–12 life-skills program; whoever designs it is effectively writing the operating system for the next generation of leaders.</w:t>
      </w:r>
    </w:p>
    <w:p>
      <w:pPr>
        <w:spacing w:after="120"/>
      </w:pPr>
      <w:r>
        <w:rPr>
          <w:rFonts w:ascii="Arial" w:cs="Arial" w:eastAsia="Arial" w:hAnsi="Arial"/>
          <w:sz w:val="22"/>
          <w:szCs w:val="22"/>
        </w:rPr>
        <w:t xml:space="preserve">Through Ed71, we will create AsasCore, the Emirati parallel to AlphaCore: the core national identity and life-skills program to transform every Emirati student’s childhood. AsasCore is intended to be the UAE’s most valuable education asset, embedding national identity and the key characteristics that will be inherent in every Emirati child.</w:t>
      </w:r>
    </w:p>
    <w:p>
      <w:pPr>
        <w:spacing w:after="120"/>
      </w:pPr>
      <w:r>
        <w:rPr>
          <w:rFonts w:ascii="Arial" w:cs="Arial" w:eastAsia="Arial" w:hAnsi="Arial"/>
          <w:sz w:val="22"/>
          <w:szCs w:val="22"/>
        </w:rPr>
        <w:t xml:space="preserve">Within Ed71, the Emirati layer sits on top of Alpha’s global technology and IP stack and is owned in the UAE. The key components of this Emirati layer are:</w:t>
      </w:r>
    </w:p>
    <w:p>
      <w:pPr>
        <w:pStyle w:val="ListParagraph"/>
        <w:numPr>
          <w:ilvl w:val="0"/>
          <w:numId w:val="3"/>
        </w:numPr>
        <w:spacing w:after="80"/>
      </w:pPr>
      <w:r>
        <w:rPr>
          <w:rFonts w:ascii="Arial" w:cs="Arial" w:eastAsia="Arial" w:hAnsi="Arial"/>
          <w:b/>
          <w:bCs/>
          <w:sz w:val="22"/>
          <w:szCs w:val="22"/>
        </w:rPr>
        <w:t xml:space="preserve">AsasCore design: </w:t>
      </w:r>
      <w:r>
        <w:rPr>
          <w:rFonts w:ascii="Arial" w:cs="Arial" w:eastAsia="Arial" w:hAnsi="Arial"/>
          <w:sz w:val="22"/>
          <w:szCs w:val="22"/>
        </w:rPr>
        <w:t xml:space="preserve">We start from the AlphaCore base and co-create AsasCore, the Emirati life-skills system just as powerful and fully under Emirati control to encode Emirati values, habits, and aspirations in all Ed71 schools.</w:t>
      </w:r>
    </w:p>
    <w:p>
      <w:pPr>
        <w:pStyle w:val="ListParagraph"/>
        <w:numPr>
          <w:ilvl w:val="0"/>
          <w:numId w:val="3"/>
        </w:numPr>
        <w:spacing w:after="80"/>
      </w:pPr>
      <w:r>
        <w:rPr>
          <w:rFonts w:ascii="Arial" w:cs="Arial" w:eastAsia="Arial" w:hAnsi="Arial"/>
          <w:b/>
          <w:bCs/>
          <w:sz w:val="22"/>
          <w:szCs w:val="22"/>
        </w:rPr>
        <w:t xml:space="preserve">UAE-specific EdTech applications </w:t>
      </w:r>
      <w:r>
        <w:rPr>
          <w:rFonts w:ascii="Arial" w:cs="Arial" w:eastAsia="Arial" w:hAnsi="Arial"/>
          <w:sz w:val="22"/>
          <w:szCs w:val="22"/>
        </w:rPr>
        <w:t xml:space="preserve">that integrate into Timeback, including Arabic, Islamic Studies, Social Studies, and ESL for Arabic speakers.</w:t>
      </w:r>
    </w:p>
    <w:p>
      <w:pPr>
        <w:pStyle w:val="ListParagraph"/>
        <w:numPr>
          <w:ilvl w:val="0"/>
          <w:numId w:val="3"/>
        </w:numPr>
        <w:spacing w:after="80"/>
      </w:pPr>
      <w:r>
        <w:rPr>
          <w:rFonts w:ascii="Arial" w:cs="Arial" w:eastAsia="Arial" w:hAnsi="Arial"/>
          <w:b/>
          <w:bCs/>
          <w:sz w:val="22"/>
          <w:szCs w:val="22"/>
        </w:rPr>
        <w:t xml:space="preserve">A specialized UAE eduLLM configuration, </w:t>
      </w:r>
      <w:r>
        <w:rPr>
          <w:rFonts w:ascii="Arial" w:cs="Arial" w:eastAsia="Arial" w:hAnsi="Arial"/>
          <w:sz w:val="22"/>
          <w:szCs w:val="22"/>
        </w:rPr>
        <w:t xml:space="preserve">trained on UAE language, laws, customs, culture, and values, built on top of Incept’s base eduLLM.</w:t>
      </w:r>
    </w:p>
    <w:p>
      <w:pPr>
        <w:spacing w:after="120"/>
      </w:pPr>
      <w:r>
        <w:rPr>
          <w:rFonts w:ascii="Arial" w:cs="Arial" w:eastAsia="Arial" w:hAnsi="Arial"/>
          <w:sz w:val="22"/>
          <w:szCs w:val="22"/>
        </w:rPr>
        <w:t xml:space="preserve">The base eduLLM from Incept Labs provides the learning-science engine and the ability to generate an unending stream of personalized content for every student using Timeback. The UAE-specialized eduLLM configuration, together with AsasCore and UAE apps, makes that engine sovereign, aligning explanations, practice, and feedback with Emirati identity and long-term national goals. All resulting Emirati-specific IP, training weights, and localized content are wholly owned in the UAE through Ed71.</w:t>
      </w:r>
    </w:p>
    <w:p>
      <w:pPr>
        <w:spacing w:after="120"/>
      </w:pPr>
      <w:r>
        <w:rPr>
          <w:rFonts w:ascii="Arial" w:cs="Arial" w:eastAsia="Arial" w:hAnsi="Arial"/>
          <w:sz w:val="22"/>
          <w:szCs w:val="22"/>
        </w:rPr>
        <w:t xml:space="preserve">With AsasCore, UAE apps, and the UAE-specialized eduLLM layered on top, the UAE gains true educational sovereignty over what students learn and what information is put into their heads.</w:t>
      </w:r>
    </w:p>
    <w:p>
      <w:pPr>
        <w:pStyle w:val="Heading1"/>
        <w:spacing w:after="200" w:before="240"/>
      </w:pPr>
      <w:r>
        <w:rPr>
          <w:rFonts w:ascii="Arial" w:cs="Arial" w:eastAsia="Arial" w:hAnsi="Arial"/>
          <w:b/>
          <w:bCs/>
          <w:sz w:val="32"/>
          <w:szCs w:val="32"/>
        </w:rPr>
        <w:t xml:space="preserve">Ed71 School Network</w:t>
      </w:r>
    </w:p>
    <w:p>
      <w:pPr>
        <w:spacing w:after="120"/>
      </w:pPr>
      <w:r>
        <w:rPr>
          <w:rFonts w:ascii="Arial" w:cs="Arial" w:eastAsia="Arial" w:hAnsi="Arial"/>
          <w:sz w:val="22"/>
          <w:szCs w:val="22"/>
        </w:rPr>
        <w:t xml:space="preserve">Ed71 is a UAE-owned national education platform (structure TBD), with Alpha Holdings as the exclusive operating partner under a long-term management and IP license agreement. Ed71 licenses the global Alpha stack (Timeback, base eduLLM, AlphaCore, school design, guide training, parent systems, operating playbooks, etc.) and owns the Emirati IP described above.</w:t>
      </w:r>
    </w:p>
    <w:p>
      <w:pPr>
        <w:spacing w:after="120"/>
      </w:pPr>
      <w:r>
        <w:rPr>
          <w:rFonts w:ascii="Arial" w:cs="Arial" w:eastAsia="Arial" w:hAnsi="Arial"/>
          <w:sz w:val="22"/>
          <w:szCs w:val="22"/>
        </w:rPr>
        <w:t xml:space="preserve">Ed71 and Alpha will jointly design and open a family of Ed71 school formats across the country designed to be accessible to all Emirati students. Every Ed71 school runs on Alpha’s Timeback with AsasCore, configured for its specific focus and community. We will co-develop the Ed71 Talent Academy, a specialized institute to train the new national educator workforce, shifting the educator role from lecturer to coach and mentor.</w:t>
      </w:r>
    </w:p>
    <w:p>
      <w:pPr>
        <w:spacing w:after="120"/>
      </w:pPr>
      <w:r>
        <w:rPr>
          <w:rFonts w:ascii="Arial" w:cs="Arial" w:eastAsia="Arial" w:hAnsi="Arial"/>
          <w:sz w:val="22"/>
          <w:szCs w:val="22"/>
        </w:rPr>
        <w:t xml:space="preserve">Ed71 will invest in school development and launch activities, including national consumer marketing and enrollment infrastructure, so that each new school type opens with strong parent demand. A rolling thunder rollout approach is used so that outcomes and parent endorsement are in place at each wave of expansion.</w:t>
      </w:r>
    </w:p>
    <w:p>
      <w:pPr>
        <w:spacing w:after="120"/>
      </w:pPr>
      <w:r>
        <w:rPr>
          <w:rFonts w:ascii="Arial" w:cs="Arial" w:eastAsia="Arial" w:hAnsi="Arial"/>
          <w:sz w:val="22"/>
          <w:szCs w:val="22"/>
        </w:rPr>
        <w:t xml:space="preserve">Ed71 schools target a $25,000 per student annual budget, equivalent to an incremental spend of approximately $10,000 per student relative to current public expenditure, with an indicative annual budget increase of roughly $1 billion per 100,000 students (term and mechanism TBD with ADEK and the Ministry of Education). Ed71 is designed to be fully UAE-owned at the operating school level, with Emirati ownership and control of the underlying IP and operating model.</w:t>
      </w:r>
    </w:p>
    <w:p>
      <w:pPr>
        <w:spacing w:after="120"/>
      </w:pPr>
      <w:r>
        <w:rPr>
          <w:rFonts w:ascii="Arial" w:cs="Arial" w:eastAsia="Arial" w:hAnsi="Arial"/>
          <w:sz w:val="22"/>
          <w:szCs w:val="22"/>
        </w:rPr>
        <w:t xml:space="preserve">Ed71 is designed to launch immediately once the framework is agreed. Superior outcomes create parent demand and a strong political tailwind for Ministry-led adoption.</w:t>
      </w:r>
    </w:p>
    <w:p>
      <w:pPr>
        <w:spacing w:after="120"/>
      </w:pPr>
      <w:r>
        <w:rPr>
          <w:rFonts w:ascii="Arial" w:cs="Arial" w:eastAsia="Arial" w:hAnsi="Arial"/>
          <w:sz w:val="22"/>
          <w:szCs w:val="22"/>
        </w:rPr>
        <w:t xml:space="preserve">A staged scaling plan targets 200,000 Emirati students by Year 5, with a broader market opportunity of 300,000+ students:</w:t>
      </w:r>
    </w:p>
    <w:p>
      <w:pPr>
        <w:pStyle w:val="ListParagraph"/>
        <w:numPr>
          <w:ilvl w:val="0"/>
          <w:numId w:val="4"/>
        </w:numPr>
        <w:spacing w:after="80"/>
      </w:pPr>
      <w:r>
        <w:rPr>
          <w:rFonts w:ascii="Arial" w:cs="Arial" w:eastAsia="Arial" w:hAnsi="Arial"/>
          <w:sz w:val="22"/>
          <w:szCs w:val="22"/>
        </w:rPr>
        <w:t xml:space="preserve">SY26-27: 2 schools in Abu Dhabi (1,000 - 2,000 students) - prove outcomes</w:t>
      </w:r>
    </w:p>
    <w:p>
      <w:pPr>
        <w:pStyle w:val="ListParagraph"/>
        <w:numPr>
          <w:ilvl w:val="0"/>
          <w:numId w:val="4"/>
        </w:numPr>
        <w:spacing w:after="80"/>
      </w:pPr>
      <w:r>
        <w:rPr>
          <w:rFonts w:ascii="Arial" w:cs="Arial" w:eastAsia="Arial" w:hAnsi="Arial"/>
          <w:sz w:val="22"/>
          <w:szCs w:val="22"/>
        </w:rPr>
        <w:t xml:space="preserve">SY27-28: 5x growth (10,000 students) - parent and student enthusiasm for Ed71</w:t>
      </w:r>
    </w:p>
    <w:p>
      <w:pPr>
        <w:pStyle w:val="ListParagraph"/>
        <w:numPr>
          <w:ilvl w:val="0"/>
          <w:numId w:val="4"/>
        </w:numPr>
        <w:spacing w:after="80"/>
      </w:pPr>
      <w:r>
        <w:rPr>
          <w:rFonts w:ascii="Arial" w:cs="Arial" w:eastAsia="Arial" w:hAnsi="Arial"/>
          <w:sz w:val="22"/>
          <w:szCs w:val="22"/>
        </w:rPr>
        <w:t xml:space="preserve">SY28-29: 5x growth (50,000 students) - acceleration, open in Dubai</w:t>
      </w:r>
    </w:p>
    <w:p>
      <w:pPr>
        <w:pStyle w:val="ListParagraph"/>
        <w:numPr>
          <w:ilvl w:val="0"/>
          <w:numId w:val="4"/>
        </w:numPr>
        <w:spacing w:after="80"/>
      </w:pPr>
      <w:r>
        <w:rPr>
          <w:rFonts w:ascii="Arial" w:cs="Arial" w:eastAsia="Arial" w:hAnsi="Arial"/>
          <w:sz w:val="22"/>
          <w:szCs w:val="22"/>
        </w:rPr>
        <w:t xml:space="preserve">SY29-30: Scale to 100,000 students</w:t>
      </w:r>
    </w:p>
    <w:p>
      <w:pPr>
        <w:pStyle w:val="ListParagraph"/>
        <w:numPr>
          <w:ilvl w:val="0"/>
          <w:numId w:val="4"/>
        </w:numPr>
        <w:spacing w:after="80"/>
      </w:pPr>
      <w:r>
        <w:rPr>
          <w:rFonts w:ascii="Arial" w:cs="Arial" w:eastAsia="Arial" w:hAnsi="Arial"/>
          <w:sz w:val="22"/>
          <w:szCs w:val="22"/>
        </w:rPr>
        <w:t xml:space="preserve">SY30-31: 200,000 students and beyond</w:t>
      </w:r>
    </w:p>
    <w:p>
      <w:pPr>
        <w:pStyle w:val="Heading1"/>
        <w:spacing w:after="200" w:before="240"/>
      </w:pPr>
      <w:r>
        <w:rPr>
          <w:rFonts w:ascii="Arial" w:cs="Arial" w:eastAsia="Arial" w:hAnsi="Arial"/>
          <w:b/>
          <w:bCs/>
          <w:sz w:val="32"/>
          <w:szCs w:val="32"/>
        </w:rPr>
        <w:t xml:space="preserve">Future Alpha and Regional Opportunities</w:t>
      </w:r>
    </w:p>
    <w:p>
      <w:pPr>
        <w:spacing w:after="120"/>
      </w:pPr>
      <w:r>
        <w:rPr>
          <w:rFonts w:ascii="Arial" w:cs="Arial" w:eastAsia="Arial" w:hAnsi="Arial"/>
          <w:sz w:val="22"/>
          <w:szCs w:val="22"/>
        </w:rPr>
        <w:t xml:space="preserve">Alpha-branded private schools in the UAE, regional GCC expansion, and private-pay expatriate offerings are intentionally treated as follow-on opportunities. They can be structured as separate arrangements, licensed on the same AI-native platform and AsasCore sovereign layer, once the Ed71 public-system transformation is underway and the Ministry of Education and ADEK have begun integrating the model into the broader public school system.</w:t>
      </w:r>
    </w:p>
    <w:p>
      <w:pPr>
        <w:pStyle w:val="Heading1"/>
        <w:spacing w:after="200" w:before="240"/>
      </w:pPr>
      <w:r>
        <w:rPr>
          <w:rFonts w:ascii="Arial" w:cs="Arial" w:eastAsia="Arial" w:hAnsi="Arial"/>
          <w:b/>
          <w:bCs/>
          <w:sz w:val="32"/>
          <w:szCs w:val="32"/>
        </w:rPr>
        <w:t xml:space="preserve">High-level Sequencing Plan</w:t>
      </w:r>
    </w:p>
    <w:p>
      <w:pPr>
        <w:pStyle w:val="ListParagraph"/>
        <w:numPr>
          <w:ilvl w:val="0"/>
          <w:numId w:val="5"/>
        </w:numPr>
        <w:spacing w:after="80"/>
      </w:pPr>
      <w:r>
        <w:rPr>
          <w:rFonts w:ascii="Arial" w:cs="Arial" w:eastAsia="Arial" w:hAnsi="Arial"/>
          <w:b/>
          <w:bCs/>
          <w:sz w:val="22"/>
          <w:szCs w:val="22"/>
        </w:rPr>
        <w:t xml:space="preserve">Phase 0 (Months 1–12): </w:t>
      </w:r>
      <w:r>
        <w:rPr>
          <w:rFonts w:ascii="Arial" w:cs="Arial" w:eastAsia="Arial" w:hAnsi="Arial"/>
          <w:sz w:val="22"/>
          <w:szCs w:val="22"/>
        </w:rPr>
        <w:t xml:space="preserve">IP Transfer, AsasCore design, and eduLLM model training.</w:t>
      </w:r>
    </w:p>
    <w:p>
      <w:pPr>
        <w:pStyle w:val="ListParagraph"/>
        <w:numPr>
          <w:ilvl w:val="0"/>
          <w:numId w:val="5"/>
        </w:numPr>
        <w:spacing w:after="80"/>
      </w:pPr>
      <w:r>
        <w:rPr>
          <w:rFonts w:ascii="Arial" w:cs="Arial" w:eastAsia="Arial" w:hAnsi="Arial"/>
          <w:b/>
          <w:bCs/>
          <w:sz w:val="22"/>
          <w:szCs w:val="22"/>
        </w:rPr>
        <w:t xml:space="preserve">Phase 1 (Months 9–18): </w:t>
      </w:r>
      <w:r>
        <w:rPr>
          <w:rFonts w:ascii="Arial" w:cs="Arial" w:eastAsia="Arial" w:hAnsi="Arial"/>
          <w:sz w:val="22"/>
          <w:szCs w:val="22"/>
        </w:rPr>
        <w:t xml:space="preserve">Launch of 1-2 Ed71 schools in Abu Dhabi in SY26–27 under ADEK / Ministry frameworks by taking over existing Model Schools</w:t>
      </w:r>
    </w:p>
    <w:p>
      <w:pPr>
        <w:pStyle w:val="ListParagraph"/>
        <w:numPr>
          <w:ilvl w:val="0"/>
          <w:numId w:val="5"/>
        </w:numPr>
        <w:spacing w:after="80"/>
      </w:pPr>
      <w:r>
        <w:rPr>
          <w:rFonts w:ascii="Arial" w:cs="Arial" w:eastAsia="Arial" w:hAnsi="Arial"/>
          <w:b/>
          <w:bCs/>
          <w:sz w:val="22"/>
          <w:szCs w:val="22"/>
        </w:rPr>
        <w:t xml:space="preserve">Phase 2 (Months 12–36): </w:t>
      </w:r>
      <w:r>
        <w:rPr>
          <w:rFonts w:ascii="Arial" w:cs="Arial" w:eastAsia="Arial" w:hAnsi="Arial"/>
          <w:sz w:val="22"/>
          <w:szCs w:val="22"/>
        </w:rPr>
        <w:t xml:space="preserve">National rollout of the Ed71 school network to 10,000, then 50,000, then 100,000+ students</w:t>
      </w:r>
    </w:p>
    <w:p>
      <w:pPr>
        <w:pStyle w:val="ListParagraph"/>
        <w:numPr>
          <w:ilvl w:val="0"/>
          <w:numId w:val="5"/>
        </w:numPr>
        <w:spacing w:after="80"/>
      </w:pPr>
      <w:r>
        <w:rPr>
          <w:rFonts w:ascii="Arial" w:cs="Arial" w:eastAsia="Arial" w:hAnsi="Arial"/>
          <w:b/>
          <w:bCs/>
          <w:sz w:val="22"/>
          <w:szCs w:val="22"/>
        </w:rPr>
        <w:t xml:space="preserve">Phase 3 (Year 3+): </w:t>
      </w:r>
      <w:r>
        <w:rPr>
          <w:rFonts w:ascii="Arial" w:cs="Arial" w:eastAsia="Arial" w:hAnsi="Arial"/>
          <w:sz w:val="22"/>
          <w:szCs w:val="22"/>
        </w:rPr>
        <w:t xml:space="preserve">Continued scaling, with optional follow-on regional and private-pay expatriate expansions.</w:t>
      </w:r>
    </w:p>
    <w:p>
      <w:pPr>
        <w:pStyle w:val="Heading1"/>
        <w:spacing w:after="200" w:before="240"/>
      </w:pPr>
      <w:r>
        <w:rPr>
          <w:rFonts w:ascii="Arial" w:cs="Arial" w:eastAsia="Arial" w:hAnsi="Arial"/>
          <w:b/>
          <w:bCs/>
          <w:sz w:val="32"/>
          <w:szCs w:val="32"/>
        </w:rPr>
        <w:t xml:space="preserve">Funding, Investment, and Real Estate</w:t>
      </w:r>
    </w:p>
    <w:p>
      <w:pPr>
        <w:spacing w:after="120"/>
      </w:pPr>
      <w:r>
        <w:rPr>
          <w:rFonts w:ascii="Arial" w:cs="Arial" w:eastAsia="Arial" w:hAnsi="Arial"/>
          <w:sz w:val="22"/>
          <w:szCs w:val="22"/>
        </w:rPr>
        <w:t xml:space="preserve">We are flexible on structure and will work to adapt the commercial framework to align with the UAE’s preferred ownership, governance, and funding model.</w:t>
      </w:r>
    </w:p>
    <w:p>
      <w:pPr>
        <w:spacing w:after="120"/>
      </w:pPr>
      <w:r>
        <w:rPr>
          <w:rFonts w:ascii="Arial" w:cs="Arial" w:eastAsia="Arial" w:hAnsi="Arial"/>
          <w:sz w:val="22"/>
          <w:szCs w:val="22"/>
        </w:rPr>
        <w:t xml:space="preserve">Ed71 will require $750 million of capital to fund construction of the national Ed71 education asset in collaboration with Alpha Holdings. Ownership of all resulting UAE-specific IP will reside with Ed71. Indicatively:</w:t>
      </w:r>
    </w:p>
    <w:p>
      <w:pPr>
        <w:pStyle w:val="ListParagraph"/>
        <w:numPr>
          <w:ilvl w:val="0"/>
          <w:numId w:val="6"/>
        </w:numPr>
        <w:spacing w:after="80"/>
      </w:pPr>
      <w:r>
        <w:rPr>
          <w:rFonts w:ascii="Arial" w:cs="Arial" w:eastAsia="Arial" w:hAnsi="Arial"/>
          <w:sz w:val="22"/>
          <w:szCs w:val="22"/>
        </w:rPr>
        <w:t xml:space="preserve">$250 million to license existing AlphaCore life-skills and intangible school IP for use in the UAE.</w:t>
      </w:r>
    </w:p>
    <w:p>
      <w:pPr>
        <w:pStyle w:val="ListParagraph"/>
        <w:numPr>
          <w:ilvl w:val="0"/>
          <w:numId w:val="6"/>
        </w:numPr>
        <w:spacing w:after="80"/>
      </w:pPr>
      <w:r>
        <w:rPr>
          <w:rFonts w:ascii="Arial" w:cs="Arial" w:eastAsia="Arial" w:hAnsi="Arial"/>
          <w:sz w:val="22"/>
          <w:szCs w:val="22"/>
        </w:rPr>
        <w:t xml:space="preserve">$250 million to co-design and build AsasCore and the initial Ed71 school model.</w:t>
      </w:r>
    </w:p>
    <w:p>
      <w:pPr>
        <w:pStyle w:val="ListParagraph"/>
        <w:numPr>
          <w:ilvl w:val="0"/>
          <w:numId w:val="6"/>
        </w:numPr>
        <w:spacing w:after="80"/>
      </w:pPr>
      <w:r>
        <w:rPr>
          <w:rFonts w:ascii="Arial" w:cs="Arial" w:eastAsia="Arial" w:hAnsi="Arial"/>
          <w:sz w:val="22"/>
          <w:szCs w:val="22"/>
        </w:rPr>
        <w:t xml:space="preserve">$250 million of R&amp;D capital for building UAE-specific EdTech applications on Timeback (Arabic, Islamic Studies, Social Studies, ESL for Arabic speakers).</w:t>
      </w:r>
    </w:p>
    <w:p>
      <w:pPr>
        <w:spacing w:after="120"/>
      </w:pPr>
      <w:r>
        <w:rPr>
          <w:rFonts w:ascii="Arial" w:cs="Arial" w:eastAsia="Arial" w:hAnsi="Arial"/>
          <w:sz w:val="22"/>
          <w:szCs w:val="22"/>
        </w:rPr>
        <w:t xml:space="preserve">There is a simple, scalable commercial structure between Alpha Holdings and Ed71.</w:t>
      </w:r>
    </w:p>
    <w:p>
      <w:pPr>
        <w:pStyle w:val="ListParagraph"/>
        <w:numPr>
          <w:ilvl w:val="0"/>
          <w:numId w:val="7"/>
        </w:numPr>
        <w:spacing w:after="80"/>
      </w:pPr>
      <w:r>
        <w:rPr>
          <w:rFonts w:ascii="Arial" w:cs="Arial" w:eastAsia="Arial" w:hAnsi="Arial"/>
          <w:b/>
          <w:bCs/>
          <w:sz w:val="22"/>
          <w:szCs w:val="22"/>
        </w:rPr>
        <w:t xml:space="preserve">Management fee: </w:t>
      </w:r>
      <w:r>
        <w:rPr>
          <w:rFonts w:ascii="Arial" w:cs="Arial" w:eastAsia="Arial" w:hAnsi="Arial"/>
          <w:sz w:val="22"/>
          <w:szCs w:val="22"/>
        </w:rPr>
        <w:t xml:space="preserve">10 percent of revenue (or operating expenses if for a public school), with a $2,500 per-student annual minimum (below NYU Abu Dhabi’s annual research grant and management fee on a per student basis). For each 100,000 students at $25,000 tuition, this equates to approximately $250 million per year.</w:t>
      </w:r>
    </w:p>
    <w:p>
      <w:pPr>
        <w:pStyle w:val="ListParagraph"/>
        <w:numPr>
          <w:ilvl w:val="0"/>
          <w:numId w:val="7"/>
        </w:numPr>
        <w:spacing w:after="80"/>
      </w:pPr>
      <w:r>
        <w:rPr>
          <w:rFonts w:ascii="Arial" w:cs="Arial" w:eastAsia="Arial" w:hAnsi="Arial"/>
          <w:b/>
          <w:bCs/>
          <w:sz w:val="22"/>
          <w:szCs w:val="22"/>
        </w:rPr>
        <w:t xml:space="preserve">Timeback fee: </w:t>
      </w:r>
      <w:r>
        <w:rPr>
          <w:rFonts w:ascii="Arial" w:cs="Arial" w:eastAsia="Arial" w:hAnsi="Arial"/>
          <w:sz w:val="22"/>
          <w:szCs w:val="22"/>
        </w:rPr>
        <w:t xml:space="preserve">20 percent of revenue or budget, with a $5,000 per-student annual minimum (same pricing as for existing Alpha schools globally). For each 100,000 students at $25,000 tuition, this equates to approximately $500 million per year.</w:t>
      </w:r>
    </w:p>
    <w:p>
      <w:pPr>
        <w:pStyle w:val="ListParagraph"/>
        <w:numPr>
          <w:ilvl w:val="0"/>
          <w:numId w:val="7"/>
        </w:numPr>
        <w:spacing w:after="80"/>
      </w:pPr>
      <w:r>
        <w:rPr>
          <w:rFonts w:ascii="Arial" w:cs="Arial" w:eastAsia="Arial" w:hAnsi="Arial"/>
          <w:sz w:val="22"/>
          <w:szCs w:val="22"/>
        </w:rPr>
        <w:t xml:space="preserve">Alpha Holdings will receive up-front payments covering the first 100,000 student-years, via pre-paid management and Timeback fees (total $750 million).</w:t>
      </w:r>
    </w:p>
    <w:p>
      <w:pPr>
        <w:spacing w:after="120"/>
      </w:pPr>
      <w:r>
        <w:rPr>
          <w:rFonts w:ascii="Arial" w:cs="Arial" w:eastAsia="Arial" w:hAnsi="Arial"/>
          <w:sz w:val="22"/>
          <w:szCs w:val="22"/>
        </w:rPr>
        <w:t xml:space="preserve">Initial capitalization and fee prepayments amount to roughly $1.5 billion in upfront capital requirements for Ed71.</w:t>
      </w:r>
    </w:p>
    <w:p>
      <w:pPr>
        <w:spacing w:after="120"/>
      </w:pPr>
      <w:r>
        <w:rPr>
          <w:rFonts w:ascii="Arial" w:cs="Arial" w:eastAsia="Arial" w:hAnsi="Arial"/>
          <w:sz w:val="22"/>
          <w:szCs w:val="22"/>
        </w:rPr>
        <w:t xml:space="preserve">To ensure schools open at quality and scale rather than as small pilots, the framework includes launch funding, scholarships, and guarantees. This scholarship and guarantee structure de-risks enrollment, signals national sponsorship, and accelerates adoption of the joint Ed71 model.</w:t>
      </w:r>
    </w:p>
    <w:p>
      <w:pPr>
        <w:pStyle w:val="ListParagraph"/>
        <w:numPr>
          <w:ilvl w:val="0"/>
          <w:numId w:val="8"/>
        </w:numPr>
        <w:spacing w:after="80"/>
      </w:pPr>
      <w:r>
        <w:rPr>
          <w:rFonts w:ascii="Arial" w:cs="Arial" w:eastAsia="Arial" w:hAnsi="Arial"/>
          <w:sz w:val="22"/>
          <w:szCs w:val="22"/>
        </w:rPr>
        <w:t xml:space="preserve">Ed71 provides school launch activities, including parent education, marketing, and enrollment and guide recruiting infrastructure, expected to be on the order of $25–50 million per year during the initial rollout, consistent with the Ed71 financial summary.</w:t>
      </w:r>
    </w:p>
    <w:p>
      <w:pPr>
        <w:pStyle w:val="ListParagraph"/>
        <w:numPr>
          <w:ilvl w:val="0"/>
          <w:numId w:val="8"/>
        </w:numPr>
        <w:spacing w:after="80"/>
      </w:pPr>
      <w:r>
        <w:rPr>
          <w:rFonts w:ascii="Arial" w:cs="Arial" w:eastAsia="Arial" w:hAnsi="Arial"/>
          <w:sz w:val="22"/>
          <w:szCs w:val="22"/>
        </w:rPr>
        <w:t xml:space="preserve">UAE government and/or designated entities will fund the shortfall between Ed71 school’s anticipated $25,000 per student annual budget and current public school per-student spend ensuring Emirati students can attend Ed71 schools, with an indicative increase of approximately $1 billion annually for each 100,000 Emirati students (amounts, mechanisms, and term TBD).</w:t>
      </w:r>
    </w:p>
    <w:p>
      <w:pPr>
        <w:pStyle w:val="ListParagraph"/>
        <w:numPr>
          <w:ilvl w:val="0"/>
          <w:numId w:val="8"/>
        </w:numPr>
        <w:spacing w:after="80"/>
      </w:pPr>
      <w:r>
        <w:rPr>
          <w:rFonts w:ascii="Arial" w:cs="Arial" w:eastAsia="Arial" w:hAnsi="Arial"/>
          <w:sz w:val="22"/>
          <w:szCs w:val="22"/>
        </w:rPr>
        <w:t xml:space="preserve">School funding will be allocated across schools as they open, creating a stable demand base from day one and enabling each campus to open at full quality.</w:t>
      </w:r>
    </w:p>
    <w:p>
      <w:pPr>
        <w:pStyle w:val="ListParagraph"/>
        <w:numPr>
          <w:ilvl w:val="0"/>
          <w:numId w:val="8"/>
        </w:numPr>
        <w:spacing w:after="80"/>
      </w:pPr>
      <w:r>
        <w:rPr>
          <w:rFonts w:ascii="Arial" w:cs="Arial" w:eastAsia="Arial" w:hAnsi="Arial"/>
          <w:sz w:val="22"/>
          <w:szCs w:val="22"/>
        </w:rPr>
        <w:t xml:space="preserve">Ed71 will roll out through the national public school campus infrastructure, starting with select Model Schools in Abu Dhabi, then expanding across Abu Dhabi, Dubai, and the rest of the UAE.</w:t>
      </w:r>
    </w:p>
    <w:p>
      <w:pPr>
        <w:spacing w:after="120"/>
      </w:pPr>
      <w:r>
        <w:rPr>
          <w:rFonts w:ascii="Arial" w:cs="Arial" w:eastAsia="Arial" w:hAnsi="Arial"/>
          <w:sz w:val="22"/>
          <w:szCs w:val="22"/>
        </w:rPr>
        <w:t xml:space="preserve">In addition to program and school-level commitments, the framework includes strategic equity investments that align long-term incentives. Each “Strategic Investment” is purely optional (however the eduLLM directed-development for UAE customization, itself optional, requires the Incept Labs investment):</w:t>
      </w:r>
    </w:p>
    <w:p>
      <w:pPr>
        <w:pStyle w:val="ListParagraph"/>
        <w:numPr>
          <w:ilvl w:val="0"/>
          <w:numId w:val="9"/>
        </w:numPr>
        <w:spacing w:after="80"/>
      </w:pPr>
      <w:r>
        <w:rPr>
          <w:rFonts w:ascii="Arial" w:cs="Arial" w:eastAsia="Arial" w:hAnsi="Arial"/>
          <w:sz w:val="22"/>
          <w:szCs w:val="22"/>
        </w:rPr>
        <w:t xml:space="preserve">Approximately $1.0 billion into Incept Labs to build and anchor the base eduLLM (around 10% ownership at a $10 billion valuation), plus a separate $250 million directed-development fee for UAE-specific customizations (language, laws, customs, culture, values).</w:t>
      </w:r>
    </w:p>
    <w:p>
      <w:pPr>
        <w:pStyle w:val="ListParagraph"/>
        <w:numPr>
          <w:ilvl w:val="0"/>
          <w:numId w:val="9"/>
        </w:numPr>
        <w:spacing w:after="80"/>
      </w:pPr>
      <w:r>
        <w:rPr>
          <w:rFonts w:ascii="Arial" w:cs="Arial" w:eastAsia="Arial" w:hAnsi="Arial"/>
          <w:sz w:val="22"/>
          <w:szCs w:val="22"/>
        </w:rPr>
        <w:t xml:space="preserve">Approximately $1.1 billion into Alpha Holdings for global school and platform expansion, structured as staged investments aligned with Alpha’s growth and valuation milestones (approximately $100 million in 2026 at a $10 billion valuation, and approximately $1.0 billion in 2027 at a $100 billion valuation).</w:t>
      </w:r>
    </w:p>
    <w:p>
      <w:pPr>
        <w:pStyle w:val="ListParagraph"/>
        <w:numPr>
          <w:ilvl w:val="0"/>
          <w:numId w:val="9"/>
        </w:numPr>
        <w:spacing w:after="80"/>
      </w:pPr>
      <w:r>
        <w:rPr>
          <w:rFonts w:ascii="Arial" w:cs="Arial" w:eastAsia="Arial" w:hAnsi="Arial"/>
          <w:sz w:val="22"/>
          <w:szCs w:val="22"/>
        </w:rPr>
        <w:t xml:space="preserve">Approximately $20 million allocation in a Timeback education video game built by the ex-President of Epic Games (Paul Meegan) and the original Fortnite team, targeting a $1 billion valuation round closing in December 2025.</w:t>
      </w:r>
    </w:p>
    <w:p>
      <w:pPr>
        <w:spacing w:after="120"/>
      </w:pPr>
      <w:r>
        <w:rPr>
          <w:rFonts w:ascii="Arial" w:cs="Arial" w:eastAsia="Arial" w:hAnsi="Arial"/>
          <w:sz w:val="22"/>
          <w:szCs w:val="22"/>
        </w:rPr>
        <w:t xml:space="preserve">These strategic investments sit alongside the core Ed71 school commitments and further align the long-term interests of UAE, Alpha Holdings, and Incept Labs.</w:t>
      </w:r>
    </w:p>
    <w:p>
      <w:r>
        <w:br w:type="page"/>
      </w:r>
    </w:p>
    <w:p>
      <w:pPr>
        <w:spacing w:after="200"/>
      </w:pPr>
      <w:r>
        <w:rPr>
          <w:rFonts w:ascii="Arial" w:cs="Arial" w:eastAsia="Arial" w:hAnsi="Arial"/>
          <w:i/>
          <w:iCs/>
          <w:color w:val="666666"/>
          <w:sz w:val="20"/>
          <w:szCs w:val="20"/>
        </w:rPr>
        <w:t xml:space="preserve">CONFIDENTIAL – Alpha Holdings - UAE Strategic Partnership (“Ed71”) - 11.30.2025</w:t>
      </w:r>
    </w:p>
    <w:p>
      <w:pPr>
        <w:pStyle w:val="Heading1"/>
        <w:spacing w:after="200" w:before="240"/>
      </w:pPr>
      <w:r>
        <w:rPr>
          <w:rFonts w:ascii="Arial" w:cs="Arial" w:eastAsia="Arial" w:hAnsi="Arial"/>
          <w:b/>
          <w:bCs/>
          <w:sz w:val="32"/>
          <w:szCs w:val="32"/>
        </w:rPr>
        <w:t xml:space="preserve">Scope</w:t>
      </w:r>
    </w:p>
    <w:p>
      <w:pPr>
        <w:pStyle w:val="ListParagraph"/>
        <w:numPr>
          <w:ilvl w:val="0"/>
          <w:numId w:val="4"/>
        </w:numPr>
        <w:spacing w:after="80"/>
      </w:pPr>
      <w:r>
        <w:rPr>
          <w:rFonts w:ascii="Arial" w:cs="Arial" w:eastAsia="Arial" w:hAnsi="Arial"/>
          <w:sz w:val="22"/>
          <w:szCs w:val="22"/>
        </w:rPr>
        <w:t xml:space="preserve">Ed71 will launch privately-operated government schools (e.g. charters) on the Alpha education system.</w:t>
      </w:r>
    </w:p>
    <w:p>
      <w:pPr>
        <w:pStyle w:val="ListParagraph"/>
        <w:numPr>
          <w:ilvl w:val="1"/>
          <w:numId w:val="4"/>
        </w:numPr>
        <w:spacing w:after="80"/>
      </w:pPr>
      <w:r>
        <w:rPr>
          <w:rFonts w:ascii="Arial" w:cs="Arial" w:eastAsia="Arial" w:hAnsi="Arial"/>
          <w:sz w:val="22"/>
          <w:szCs w:val="22"/>
        </w:rPr>
        <w:t xml:space="preserve">Exceptional education outcomes delivering Alpha’s three student commitments: love school, learn 2x as fast, and life-skills for the AI age.</w:t>
      </w:r>
    </w:p>
    <w:p>
      <w:pPr>
        <w:pStyle w:val="ListParagraph"/>
        <w:numPr>
          <w:ilvl w:val="1"/>
          <w:numId w:val="4"/>
        </w:numPr>
        <w:spacing w:after="80"/>
      </w:pPr>
      <w:r>
        <w:rPr>
          <w:rFonts w:ascii="Arial" w:cs="Arial" w:eastAsia="Arial" w:hAnsi="Arial"/>
          <w:sz w:val="22"/>
          <w:szCs w:val="22"/>
        </w:rPr>
        <w:t xml:space="preserve">KPIs the same as Alpha: student survey, and NWEA MAPS and other standardized test results</w:t>
      </w:r>
    </w:p>
    <w:p>
      <w:pPr>
        <w:pStyle w:val="ListParagraph"/>
        <w:numPr>
          <w:ilvl w:val="1"/>
          <w:numId w:val="4"/>
        </w:numPr>
        <w:spacing w:after="80"/>
      </w:pPr>
      <w:r>
        <w:rPr>
          <w:rFonts w:ascii="Arial" w:cs="Arial" w:eastAsia="Arial" w:hAnsi="Arial"/>
          <w:sz w:val="22"/>
          <w:szCs w:val="22"/>
        </w:rPr>
        <w:t xml:space="preserve">Enrollment target: 200,000 Emirati students by Year 5.</w:t>
      </w:r>
    </w:p>
    <w:p>
      <w:pPr>
        <w:pStyle w:val="ListParagraph"/>
        <w:numPr>
          <w:ilvl w:val="0"/>
          <w:numId w:val="4"/>
        </w:numPr>
        <w:spacing w:after="80"/>
      </w:pPr>
      <w:r>
        <w:rPr>
          <w:rFonts w:ascii="Arial" w:cs="Arial" w:eastAsia="Arial" w:hAnsi="Arial"/>
          <w:sz w:val="22"/>
          <w:szCs w:val="22"/>
        </w:rPr>
        <w:t xml:space="preserve">Proposed scaling plan:</w:t>
      </w:r>
    </w:p>
    <w:p>
      <w:pPr>
        <w:pStyle w:val="ListParagraph"/>
        <w:numPr>
          <w:ilvl w:val="1"/>
          <w:numId w:val="4"/>
        </w:numPr>
        <w:spacing w:after="80"/>
      </w:pPr>
      <w:r>
        <w:rPr>
          <w:rFonts w:ascii="Arial" w:cs="Arial" w:eastAsia="Arial" w:hAnsi="Arial"/>
          <w:sz w:val="22"/>
          <w:szCs w:val="22"/>
        </w:rPr>
        <w:t xml:space="preserve">SY26-27: 2 schools in Abu Dhabi (1,000 - 2,000 students) - prove outcomes</w:t>
      </w:r>
    </w:p>
    <w:p>
      <w:pPr>
        <w:pStyle w:val="ListParagraph"/>
        <w:numPr>
          <w:ilvl w:val="1"/>
          <w:numId w:val="4"/>
        </w:numPr>
        <w:spacing w:after="80"/>
      </w:pPr>
      <w:r>
        <w:rPr>
          <w:rFonts w:ascii="Arial" w:cs="Arial" w:eastAsia="Arial" w:hAnsi="Arial"/>
          <w:sz w:val="22"/>
          <w:szCs w:val="22"/>
        </w:rPr>
        <w:t xml:space="preserve">SY27-28: 5x growth (10,000 students) - parent and student enthusiasm for Ed71</w:t>
      </w:r>
    </w:p>
    <w:p>
      <w:pPr>
        <w:pStyle w:val="ListParagraph"/>
        <w:numPr>
          <w:ilvl w:val="1"/>
          <w:numId w:val="4"/>
        </w:numPr>
        <w:spacing w:after="80"/>
      </w:pPr>
      <w:r>
        <w:rPr>
          <w:rFonts w:ascii="Arial" w:cs="Arial" w:eastAsia="Arial" w:hAnsi="Arial"/>
          <w:sz w:val="22"/>
          <w:szCs w:val="22"/>
        </w:rPr>
        <w:t xml:space="preserve">SY28-29: 5x growth (50,000 students) - acceleration, open in Dubai</w:t>
      </w:r>
    </w:p>
    <w:p>
      <w:pPr>
        <w:pStyle w:val="ListParagraph"/>
        <w:numPr>
          <w:ilvl w:val="1"/>
          <w:numId w:val="4"/>
        </w:numPr>
        <w:spacing w:after="80"/>
      </w:pPr>
      <w:r>
        <w:rPr>
          <w:rFonts w:ascii="Arial" w:cs="Arial" w:eastAsia="Arial" w:hAnsi="Arial"/>
          <w:sz w:val="22"/>
          <w:szCs w:val="22"/>
        </w:rPr>
        <w:t xml:space="preserve">SY29-30: Scale to 100,000 students</w:t>
      </w:r>
    </w:p>
    <w:p>
      <w:pPr>
        <w:pStyle w:val="ListParagraph"/>
        <w:numPr>
          <w:ilvl w:val="1"/>
          <w:numId w:val="4"/>
        </w:numPr>
        <w:spacing w:after="80"/>
      </w:pPr>
      <w:r>
        <w:rPr>
          <w:rFonts w:ascii="Arial" w:cs="Arial" w:eastAsia="Arial" w:hAnsi="Arial"/>
          <w:sz w:val="22"/>
          <w:szCs w:val="22"/>
        </w:rPr>
        <w:t xml:space="preserve">SY30-31: 200,000 students and beyond</w:t>
      </w:r>
    </w:p>
    <w:p>
      <w:pPr>
        <w:pStyle w:val="Heading1"/>
        <w:spacing w:after="200" w:before="240"/>
      </w:pPr>
      <w:r>
        <w:rPr>
          <w:rFonts w:ascii="Arial" w:cs="Arial" w:eastAsia="Arial" w:hAnsi="Arial"/>
          <w:b/>
          <w:bCs/>
          <w:sz w:val="32"/>
          <w:szCs w:val="32"/>
        </w:rPr>
        <w:t xml:space="preserve">1. Ed71 Schools</w:t>
      </w:r>
    </w:p>
    <w:p>
      <w:pPr>
        <w:pStyle w:val="ListParagraph"/>
        <w:numPr>
          <w:ilvl w:val="0"/>
          <w:numId w:val="4"/>
        </w:numPr>
        <w:spacing w:after="80"/>
      </w:pPr>
      <w:r>
        <w:rPr>
          <w:rFonts w:ascii="Arial" w:cs="Arial" w:eastAsia="Arial" w:hAnsi="Arial"/>
          <w:sz w:val="22"/>
          <w:szCs w:val="22"/>
        </w:rPr>
        <w:t xml:space="preserve">100% UAE owned, Alpha Holdings exclusive operator.</w:t>
      </w:r>
    </w:p>
    <w:p>
      <w:pPr>
        <w:pStyle w:val="ListParagraph"/>
        <w:numPr>
          <w:ilvl w:val="0"/>
          <w:numId w:val="4"/>
        </w:numPr>
        <w:spacing w:after="80"/>
      </w:pPr>
      <w:r>
        <w:rPr>
          <w:rFonts w:ascii="Arial" w:cs="Arial" w:eastAsia="Arial" w:hAnsi="Arial"/>
          <w:sz w:val="22"/>
          <w:szCs w:val="22"/>
        </w:rPr>
        <w:t xml:space="preserve">We are assuming some combination of the UAE government (e.g. charter school equivalent reimbursement) and/or a scholarship fund (e.g. NYU scholarships) will fully fund for Emirati students</w:t>
      </w:r>
    </w:p>
    <w:p>
      <w:pPr>
        <w:pStyle w:val="ListParagraph"/>
        <w:numPr>
          <w:ilvl w:val="0"/>
          <w:numId w:val="4"/>
        </w:numPr>
        <w:spacing w:after="80"/>
      </w:pPr>
      <w:r>
        <w:rPr>
          <w:rFonts w:ascii="Arial" w:cs="Arial" w:eastAsia="Arial" w:hAnsi="Arial"/>
          <w:sz w:val="22"/>
          <w:szCs w:val="22"/>
        </w:rPr>
        <w:t xml:space="preserve">Expected $25,000 Ed71 per student annual budget (equivalent to a ~$10k / student incremental to current public spend):</w:t>
      </w:r>
    </w:p>
    <w:p>
      <w:pPr>
        <w:pStyle w:val="ListParagraph"/>
        <w:numPr>
          <w:ilvl w:val="1"/>
          <w:numId w:val="4"/>
        </w:numPr>
        <w:spacing w:after="80"/>
      </w:pPr>
      <w:r>
        <w:rPr>
          <w:rFonts w:ascii="Arial" w:cs="Arial" w:eastAsia="Arial" w:hAnsi="Arial"/>
          <w:sz w:val="22"/>
          <w:szCs w:val="22"/>
        </w:rPr>
        <w:t xml:space="preserve">Base scale: 100,000 students × $25k budget = $2.5B annual budget, $1.0B funding gap</w:t>
      </w:r>
    </w:p>
    <w:p>
      <w:pPr>
        <w:pStyle w:val="ListParagraph"/>
        <w:numPr>
          <w:ilvl w:val="1"/>
          <w:numId w:val="4"/>
        </w:numPr>
        <w:spacing w:after="80"/>
      </w:pPr>
      <w:r>
        <w:rPr>
          <w:rFonts w:ascii="Arial" w:cs="Arial" w:eastAsia="Arial" w:hAnsi="Arial"/>
          <w:sz w:val="22"/>
          <w:szCs w:val="22"/>
        </w:rPr>
        <w:t xml:space="preserve">Target scale: 200,000 students × $25k budget = $5.0B annual revenue, $2.0B funding gap</w:t>
      </w:r>
    </w:p>
    <w:p>
      <w:pPr>
        <w:pStyle w:val="ListParagraph"/>
        <w:numPr>
          <w:ilvl w:val="1"/>
          <w:numId w:val="4"/>
        </w:numPr>
        <w:spacing w:after="80"/>
      </w:pPr>
      <w:r>
        <w:rPr>
          <w:rFonts w:ascii="Arial" w:cs="Arial" w:eastAsia="Arial" w:hAnsi="Arial"/>
          <w:sz w:val="22"/>
          <w:szCs w:val="22"/>
        </w:rPr>
        <w:t xml:space="preserve">Market opportunity: 300,000+ students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100"/>
        <w:gridCol w:w="1100"/>
        <w:gridCol w:w="4360"/>
      </w:tblGrid>
      <w:tr>
        <w:tc>
          <w:tcPr>
            <w:tcW w:type="dxa" w:w="1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r>
              <w:rPr>
                <w:rFonts w:ascii="Arial" w:cs="Arial" w:eastAsia="Arial" w:hAnsi="Arial"/>
                <w:b/>
                <w:bCs/>
                <w:sz w:val="20"/>
                <w:szCs w:val="20"/>
              </w:rPr>
              <w:t xml:space="preserve">Item</w:t>
            </w:r>
          </w:p>
        </w:tc>
        <w:tc>
          <w:tcPr>
            <w:tcW w:type="dxa" w:w="11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r>
              <w:rPr>
                <w:rFonts w:ascii="Arial" w:cs="Arial" w:eastAsia="Arial" w:hAnsi="Arial"/>
                <w:b/>
                <w:bCs/>
                <w:sz w:val="20"/>
                <w:szCs w:val="20"/>
              </w:rPr>
              <w:t xml:space="preserve">Up-Front Commit</w:t>
            </w:r>
          </w:p>
        </w:tc>
        <w:tc>
          <w:tcPr>
            <w:tcW w:type="dxa" w:w="11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r>
              <w:rPr>
                <w:rFonts w:ascii="Arial" w:cs="Arial" w:eastAsia="Arial" w:hAnsi="Arial"/>
                <w:b/>
                <w:bCs/>
                <w:sz w:val="20"/>
                <w:szCs w:val="20"/>
              </w:rPr>
              <w:t xml:space="preserve">Ongoing</w:t>
            </w:r>
          </w:p>
        </w:tc>
        <w:tc>
          <w:tcPr>
            <w:tcW w:type="dxa" w:w="11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r>
              <w:rPr>
                <w:rFonts w:ascii="Arial" w:cs="Arial" w:eastAsia="Arial" w:hAnsi="Arial"/>
                <w:b/>
                <w:bCs/>
                <w:sz w:val="20"/>
                <w:szCs w:val="20"/>
              </w:rPr>
              <w:t xml:space="preserve">Recipient</w:t>
            </w:r>
          </w:p>
        </w:tc>
        <w:tc>
          <w:tcPr>
            <w:tcW w:type="dxa" w:w="43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r>
              <w:rPr>
                <w:rFonts w:ascii="Arial" w:cs="Arial" w:eastAsia="Arial" w:hAnsi="Arial"/>
                <w:b/>
                <w:bCs/>
                <w:sz w:val="20"/>
                <w:szCs w:val="20"/>
              </w:rPr>
              <w:t xml:space="preserve">Notes</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AlphaCore License</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$250M</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Alpha Holdings</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One-time perpetual license</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UAE EdTech App R&amp;D</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$250M</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Local expense</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Arabic, ESL, Islamic, Social Studies. Estimated to be spent over 3 years. Subject to final budget</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AsasCore R&amp;D</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$250M</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Local expense</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Estimated to be spent over 3 years. Subject to final budget</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Parent Education / Launch / Guides</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$25-50M / yr</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Local expense</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Parent education and marketing, guide recruiting and training</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Scholarships</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$1B / yr</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Local expense</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Approx. $1B annually per 100,000 scholarship students, Term TBD</w:t>
            </w:r>
          </w:p>
        </w:tc>
      </w:tr>
      <w:tr>
        <w:tc>
          <w:tcPr>
            <w:tcW w:type="dxa" w:w="9360"/>
            <w:gridSpan w:val="5"/>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i/>
                <w:iCs/>
                <w:sz w:val="20"/>
                <w:szCs w:val="20"/>
              </w:rPr>
              <w:t xml:space="preserve">Fees below are considered in the school P&amp;L, yielding 10% target margin to Ed71. Alpha Holdings receives up-front payment covering the first 100,000 student-years</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Management Fee</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$250M</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10% budget</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OpEx to Alpha Holdings</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10% of budget, with $2,500 per student annual minimum. For each 100k students: $250M / yr.</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TimeBack License Fee</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$500M</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20% budget</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OpEx to Alpha Holdings</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20% of budget, with $5,000 per student annual minimum. For each 100k students: $500M / yr.</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2"/>
                <w:szCs w:val="22"/>
              </w:rPr>
              <w:t xml:space="preserve">Total Ed71 Schools</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2"/>
                <w:szCs w:val="22"/>
              </w:rPr>
              <w:t xml:space="preserve">$1.50B</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2"/>
                <w:szCs w:val="22"/>
              </w:rPr>
              <w:t xml:space="preserve">Scale dependent</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w:r>
          </w:p>
        </w:tc>
      </w:tr>
    </w:tbl>
    <w:p>
      <w:pPr>
        <w:spacing w:after="120"/>
      </w:pPr>
    </w:p>
    <w:p>
      <w:pPr>
        <w:pStyle w:val="Heading1"/>
        <w:spacing w:after="200" w:before="240"/>
      </w:pPr>
      <w:r>
        <w:rPr>
          <w:rFonts w:ascii="Arial" w:cs="Arial" w:eastAsia="Arial" w:hAnsi="Arial"/>
          <w:b/>
          <w:bCs/>
          <w:sz w:val="32"/>
          <w:szCs w:val="32"/>
        </w:rPr>
        <w:t xml:space="preserve">2. School Design</w:t>
      </w:r>
    </w:p>
    <w:p>
      <w:pPr>
        <w:pStyle w:val="ListParagraph"/>
        <w:numPr>
          <w:ilvl w:val="0"/>
          <w:numId w:val="4"/>
        </w:numPr>
        <w:spacing w:after="80"/>
      </w:pPr>
      <w:r>
        <w:rPr>
          <w:rFonts w:ascii="Arial" w:cs="Arial" w:eastAsia="Arial" w:hAnsi="Arial"/>
          <w:sz w:val="22"/>
          <w:szCs w:val="22"/>
        </w:rPr>
        <w:t xml:space="preserve">Ed71 schools will be based on Alpha education system, delivering the three student commitments.</w:t>
      </w:r>
    </w:p>
    <w:p>
      <w:pPr>
        <w:pStyle w:val="ListParagraph"/>
        <w:numPr>
          <w:ilvl w:val="0"/>
          <w:numId w:val="4"/>
        </w:numPr>
        <w:spacing w:after="80"/>
      </w:pPr>
      <w:r>
        <w:rPr>
          <w:rFonts w:ascii="Arial" w:cs="Arial" w:eastAsia="Arial" w:hAnsi="Arial"/>
          <w:sz w:val="22"/>
          <w:szCs w:val="22"/>
        </w:rPr>
        <w:t xml:space="preserve">These schools are not an Alpha, and instead are based on Alpha Holdings $25k tuition school models.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c>
          <w:tcPr>
            <w:tcW w:type="dxa" w:w="2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r>
              <w:rPr>
                <w:rFonts w:ascii="Arial" w:cs="Arial" w:eastAsia="Arial" w:hAnsi="Arial"/>
                <w:b/>
                <w:bCs/>
                <w:sz w:val="20"/>
                <w:szCs w:val="20"/>
              </w:rPr>
              <w:t xml:space="preserve">Item (with per student P&amp;L)</w:t>
            </w:r>
          </w:p>
        </w:tc>
        <w:tc>
          <w:tcPr>
            <w:tcW w:type="dxa" w:w="1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r>
              <w:rPr>
                <w:rFonts w:ascii="Arial" w:cs="Arial" w:eastAsia="Arial" w:hAnsi="Arial"/>
                <w:b/>
                <w:bCs/>
                <w:sz w:val="20"/>
                <w:szCs w:val="20"/>
              </w:rPr>
              <w:t xml:space="preserve">Alpha @ $50k Tuition</w:t>
            </w:r>
          </w:p>
        </w:tc>
        <w:tc>
          <w:tcPr>
            <w:tcW w:type="dxa" w:w="1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r>
              <w:rPr>
                <w:rFonts w:ascii="Arial" w:cs="Arial" w:eastAsia="Arial" w:hAnsi="Arial"/>
                <w:b/>
                <w:bCs/>
                <w:sz w:val="20"/>
                <w:szCs w:val="20"/>
              </w:rPr>
              <w:t xml:space="preserve">AH / Ed71 @ $25k Budget</w:t>
            </w:r>
          </w:p>
        </w:tc>
        <w:tc>
          <w:tcPr>
            <w:tcW w:type="dxa" w:w="33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r>
              <w:rPr>
                <w:rFonts w:ascii="Arial" w:cs="Arial" w:eastAsia="Arial" w:hAnsi="Arial"/>
                <w:b/>
                <w:bCs/>
                <w:sz w:val="20"/>
                <w:szCs w:val="20"/>
              </w:rPr>
              <w:t xml:space="preserve">Notes</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Tuition</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$50,000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$25,000</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Guides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$14,000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$4,500</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Alpha 11:1 ratio &amp; higher comp, Other 25:1 ratio &amp; lower comp</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Timeback / Software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$10,000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$5,000</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20% of Budget</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Programs and Life Skills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$9,000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$4,250</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Alpha &gt; 2x Other AH</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Other HC</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$1,750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$1,750</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Facility / CapEx</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$8,750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$3,000</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Includes depreciated capex to convert locations to Timeback school layout and design</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Misc Expense (computer, etc.)</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$1,500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$1,500</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Management Fee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$2,500</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10% of Budget</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Ed71 IP Amortization</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$2,072</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Full amortization of IP costs over 5 year target student count of ~362,000</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2"/>
                <w:szCs w:val="22"/>
              </w:rPr>
              <w:t xml:space="preserve">Total Spend</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2"/>
                <w:szCs w:val="22"/>
              </w:rPr>
              <w:t xml:space="preserve">$45,000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2"/>
                <w:szCs w:val="22"/>
              </w:rPr>
              <w:t xml:space="preserve">$24,572</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w:r>
          </w:p>
        </w:tc>
      </w:tr>
    </w:tbl>
    <w:p>
      <w:pPr>
        <w:spacing w:after="120"/>
      </w:pPr>
    </w:p>
    <w:p>
      <w:pPr>
        <w:spacing w:after="120"/>
      </w:pPr>
      <w:r>
        <w:rPr>
          <w:rFonts w:ascii="Arial" w:cs="Arial" w:eastAsia="Arial" w:hAnsi="Arial"/>
          <w:sz w:val="22"/>
          <w:szCs w:val="22"/>
        </w:rPr>
        <w:t xml:space="preserve">Other expectations:</w:t>
      </w:r>
    </w:p>
    <w:p>
      <w:pPr>
        <w:pStyle w:val="ListParagraph"/>
        <w:numPr>
          <w:ilvl w:val="0"/>
          <w:numId w:val="4"/>
        </w:numPr>
        <w:spacing w:after="80"/>
      </w:pPr>
      <w:r>
        <w:rPr>
          <w:rFonts w:ascii="Arial" w:cs="Arial" w:eastAsia="Arial" w:hAnsi="Arial"/>
          <w:sz w:val="22"/>
          <w:szCs w:val="22"/>
        </w:rPr>
        <w:t xml:space="preserve">Curriculum / language of instruction waivers will be in place for the first few years, similar to charter / private school requirements.</w:t>
      </w:r>
    </w:p>
    <w:p>
      <w:pPr>
        <w:pStyle w:val="ListParagraph"/>
        <w:numPr>
          <w:ilvl w:val="0"/>
          <w:numId w:val="4"/>
        </w:numPr>
        <w:spacing w:after="80"/>
      </w:pPr>
      <w:r>
        <w:rPr>
          <w:rFonts w:ascii="Arial" w:cs="Arial" w:eastAsia="Arial" w:hAnsi="Arial"/>
          <w:sz w:val="22"/>
          <w:szCs w:val="22"/>
        </w:rPr>
        <w:t xml:space="preserve">Parents to “opt in” and agree to the same parent tenants (e.g. “High Standards = Happiness”, “Support Over Solve”, “Privileges are Earned”, etc.) like all other Alpha Holdings schools.</w:t>
      </w:r>
    </w:p>
    <w:p>
      <w:pPr>
        <w:pStyle w:val="ListParagraph"/>
        <w:numPr>
          <w:ilvl w:val="0"/>
          <w:numId w:val="4"/>
        </w:numPr>
        <w:spacing w:after="80"/>
      </w:pPr>
      <w:r>
        <w:rPr>
          <w:rFonts w:ascii="Arial" w:cs="Arial" w:eastAsia="Arial" w:hAnsi="Arial"/>
          <w:sz w:val="22"/>
          <w:szCs w:val="22"/>
        </w:rPr>
        <w:t xml:space="preserve">Existing school staff will be replaced by personnel trained in the Alpha education system.</w:t>
      </w:r>
    </w:p>
    <w:p>
      <w:pPr>
        <w:pStyle w:val="Heading1"/>
        <w:spacing w:after="200" w:before="240"/>
      </w:pPr>
      <w:r>
        <w:rPr>
          <w:rFonts w:ascii="Arial" w:cs="Arial" w:eastAsia="Arial" w:hAnsi="Arial"/>
          <w:b/>
          <w:bCs/>
          <w:sz w:val="32"/>
          <w:szCs w:val="32"/>
        </w:rPr>
        <w:t xml:space="preserve">3. Strategic Investments</w:t>
      </w:r>
    </w:p>
    <w:p>
      <w:pPr>
        <w:pStyle w:val="ListParagraph"/>
        <w:numPr>
          <w:ilvl w:val="0"/>
          <w:numId w:val="4"/>
        </w:numPr>
        <w:spacing w:after="80"/>
      </w:pPr>
      <w:r>
        <w:rPr>
          <w:rFonts w:ascii="Arial" w:cs="Arial" w:eastAsia="Arial" w:hAnsi="Arial"/>
          <w:sz w:val="22"/>
          <w:szCs w:val="22"/>
        </w:rPr>
        <w:t xml:space="preserve">Each “Strategic Investment” is purely optional</w:t>
      </w:r>
    </w:p>
    <w:p>
      <w:pPr>
        <w:spacing w:after="120"/>
      </w:pPr>
      <w:r>
        <w:rPr>
          <w:rFonts w:ascii="Arial" w:cs="Arial" w:eastAsia="Arial" w:hAnsi="Arial"/>
          <w:sz w:val="22"/>
          <w:szCs w:val="22"/>
        </w:rPr>
        <w:t xml:space="preserve">All numbers approximate: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r>
              <w:rPr>
                <w:rFonts w:ascii="Arial" w:cs="Arial" w:eastAsia="Arial" w:hAnsi="Arial"/>
                <w:b/>
                <w:bCs/>
                <w:sz w:val="20"/>
                <w:szCs w:val="20"/>
              </w:rPr>
              <w:t xml:space="preserve">Investment</w:t>
            </w:r>
          </w:p>
        </w:tc>
        <w:tc>
          <w:tcPr>
            <w:tcW w:type="dxa" w:w="164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r>
              <w:rPr>
                <w:rFonts w:ascii="Arial" w:cs="Arial" w:eastAsia="Arial" w:hAnsi="Arial"/>
                <w:b/>
                <w:bCs/>
                <w:sz w:val="20"/>
                <w:szCs w:val="20"/>
              </w:rPr>
              <w:t xml:space="preserve">Amount</w:t>
            </w:r>
          </w:p>
        </w:tc>
        <w:tc>
          <w:tcPr>
            <w:tcW w:type="dxa" w:w="164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r>
              <w:rPr>
                <w:rFonts w:ascii="Arial" w:cs="Arial" w:eastAsia="Arial" w:hAnsi="Arial"/>
                <w:b/>
                <w:bCs/>
                <w:sz w:val="20"/>
                <w:szCs w:val="20"/>
              </w:rPr>
              <w:t xml:space="preserve">Valuation</w:t>
            </w:r>
          </w:p>
        </w:tc>
        <w:tc>
          <w:tcPr>
            <w:tcW w:type="dxa" w:w="164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r>
              <w:rPr>
                <w:rFonts w:ascii="Arial" w:cs="Arial" w:eastAsia="Arial" w:hAnsi="Arial"/>
                <w:b/>
                <w:bCs/>
                <w:sz w:val="20"/>
                <w:szCs w:val="20"/>
              </w:rPr>
              <w:t xml:space="preserve">Stake</w:t>
            </w:r>
          </w:p>
        </w:tc>
        <w:tc>
          <w:tcPr>
            <w:tcW w:type="dxa" w:w="164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r>
              <w:rPr>
                <w:rFonts w:ascii="Arial" w:cs="Arial" w:eastAsia="Arial" w:hAnsi="Arial"/>
                <w:b/>
                <w:bCs/>
                <w:sz w:val="20"/>
                <w:szCs w:val="20"/>
              </w:rPr>
              <w:t xml:space="preserve">Timing</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Incept Labs (eduLLM)</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$1B</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$10B</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10%</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2026</w:t>
            </w:r>
          </w:p>
        </w:tc>
      </w:tr>
      <w:tr>
        <w:tc>
          <w:tcPr>
            <w:tcW w:type="dxa" w:w="9360"/>
            <w:gridSpan w:val="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i/>
                <w:iCs/>
                <w:sz w:val="20"/>
                <w:szCs w:val="20"/>
              </w:rPr>
              <w:t xml:space="preserve">+ $250M directed development fee for UAE-specific customizations (language, laws, customs, culture, values)</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Alpha Holdings (2026 round)</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$100M</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$10B</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2026</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Alpha Holdings (2027 round)</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$1B</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$100B</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2027</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TimeBack education video game</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$20M</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$1B</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Dec 2025</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2"/>
                <w:szCs w:val="22"/>
              </w:rPr>
              <w:t xml:space="preserve">Total Opportunity</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2"/>
                <w:szCs w:val="22"/>
              </w:rPr>
              <w:t xml:space="preserve">$2.12B</w:t>
            </w:r>
          </w:p>
        </w:tc>
        <w:tc>
          <w:tcPr>
            <w:tcW w:type="dxa" w:w="4920"/>
            <w:gridSpan w:val="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i/>
                <w:iCs/>
                <w:sz w:val="20"/>
                <w:szCs w:val="20"/>
              </w:rPr>
              <w:t xml:space="preserve">(plus optional $250M directed-development fee)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2026-03-18T11:03:24.314Z</dcterms:created>
  <dcterms:modified xsi:type="dcterms:W3CDTF">2026-03-18T11:03:24.314Z</dcterms:modified>
</cp:coreProperties>
</file>

<file path=docProps/custom.xml><?xml version="1.0" encoding="utf-8"?>
<Properties xmlns="http://schemas.openxmlformats.org/officeDocument/2006/custom-properties" xmlns:vt="http://schemas.openxmlformats.org/officeDocument/2006/docPropsVTypes"/>
</file>