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C5F04" w14:textId="77777777" w:rsidR="006312E8" w:rsidRPr="003F4CFF" w:rsidRDefault="009E19DF" w:rsidP="007E7AE9">
      <w:pPr>
        <w:pStyle w:val="Title"/>
      </w:pPr>
      <w:bookmarkStart w:id="0" w:name="_Toc370906800"/>
      <w:bookmarkStart w:id="1" w:name="_Toc371070638"/>
      <w:bookmarkStart w:id="2" w:name="_Toc372554247"/>
      <w:bookmarkStart w:id="3" w:name="_Toc372554472"/>
      <w:bookmarkStart w:id="4" w:name="_Toc373423696"/>
      <w:bookmarkStart w:id="5" w:name="_Toc375147079"/>
      <w:bookmarkStart w:id="6" w:name="_Toc399944315"/>
      <w:bookmarkStart w:id="7" w:name="_Toc361416821"/>
      <w:bookmarkStart w:id="8" w:name="_Toc361519623"/>
      <w:bookmarkStart w:id="9" w:name="_Toc361523650"/>
      <w:bookmarkStart w:id="10" w:name="_Toc361523862"/>
      <w:bookmarkStart w:id="11" w:name="_GoBack"/>
      <w:bookmarkEnd w:id="11"/>
      <w:r>
        <w:t>Work and Pensions Committee</w:t>
      </w:r>
    </w:p>
    <w:p w14:paraId="3B7616E3" w14:textId="77777777" w:rsidR="006312E8" w:rsidRPr="001B5651" w:rsidRDefault="002B5F6B" w:rsidP="00991234">
      <w:pPr>
        <w:pStyle w:val="Title"/>
      </w:pPr>
      <w:r>
        <w:t>Chair’s D</w:t>
      </w:r>
      <w:r w:rsidR="006312E8" w:rsidRPr="003F4CFF">
        <w:t>raft Report</w:t>
      </w:r>
    </w:p>
    <w:p w14:paraId="3C58D4A9" w14:textId="77777777" w:rsidR="00691D5A" w:rsidRPr="001B5651" w:rsidRDefault="001F73AB" w:rsidP="00991234">
      <w:pPr>
        <w:pStyle w:val="Title"/>
      </w:pPr>
      <w:r>
        <w:t>The benefit c</w:t>
      </w:r>
      <w:r w:rsidR="009E19DF">
        <w:t>ap</w:t>
      </w:r>
    </w:p>
    <w:p w14:paraId="36E33B33" w14:textId="77777777" w:rsidR="00991234" w:rsidRPr="001B5651" w:rsidRDefault="00691D5A" w:rsidP="00BB7F10">
      <w:pPr>
        <w:pStyle w:val="Cover"/>
      </w:pPr>
      <w:r w:rsidRPr="003F4CFF">
        <w:t xml:space="preserve">This draft report is circulated </w:t>
      </w:r>
      <w:r w:rsidRPr="003F4CFF">
        <w:rPr>
          <w:rStyle w:val="Strong"/>
        </w:rPr>
        <w:t>in confidence</w:t>
      </w:r>
      <w:r w:rsidRPr="003F4CFF">
        <w:t xml:space="preserve"> for the use </w:t>
      </w:r>
      <w:r w:rsidRPr="00827524">
        <w:t xml:space="preserve">of members and </w:t>
      </w:r>
      <w:r w:rsidRPr="003F4CFF">
        <w:t xml:space="preserve">staff of the </w:t>
      </w:r>
      <w:r w:rsidR="00E94728" w:rsidRPr="00E94728">
        <w:t>Work and Pensions</w:t>
      </w:r>
      <w:r w:rsidRPr="003F4CFF">
        <w:t xml:space="preserve"> Committee </w:t>
      </w:r>
      <w:r w:rsidR="00721160" w:rsidRPr="003F4CFF">
        <w:t>onl</w:t>
      </w:r>
      <w:r w:rsidR="00721160">
        <w:t>y and</w:t>
      </w:r>
      <w:r w:rsidR="00325ABD">
        <w:t xml:space="preserve"> should be kept securely.</w:t>
      </w:r>
    </w:p>
    <w:p w14:paraId="4662EB45" w14:textId="77777777" w:rsidR="00991234" w:rsidRPr="001B5651" w:rsidRDefault="00691D5A" w:rsidP="00BB7F10">
      <w:pPr>
        <w:pStyle w:val="Cover"/>
      </w:pPr>
      <w:r w:rsidRPr="003F4CFF">
        <w:rPr>
          <w:rStyle w:val="Strong"/>
        </w:rPr>
        <w:t xml:space="preserve">Anyone else receiving or finding a copy should return it at once to the Clerk of the </w:t>
      </w:r>
      <w:r w:rsidR="00E94728" w:rsidRPr="00E94728">
        <w:rPr>
          <w:rStyle w:val="Strong"/>
        </w:rPr>
        <w:t>Work and Pensions</w:t>
      </w:r>
      <w:r w:rsidRPr="003F4CFF">
        <w:rPr>
          <w:rStyle w:val="Strong"/>
        </w:rPr>
        <w:t xml:space="preserve"> Committee</w:t>
      </w:r>
      <w:r w:rsidRPr="003F4CFF">
        <w:t xml:space="preserve">, House of Commons, London SW1A 0AA, </w:t>
      </w:r>
      <w:proofErr w:type="spellStart"/>
      <w:r w:rsidR="00721160" w:rsidRPr="003F4CFF">
        <w:t>tel</w:t>
      </w:r>
      <w:proofErr w:type="spellEnd"/>
      <w:r w:rsidR="00E94728">
        <w:t xml:space="preserve"> 0207 219 </w:t>
      </w:r>
      <w:r w:rsidR="00540A2C">
        <w:t>5831</w:t>
      </w:r>
      <w:r w:rsidRPr="003F4CFF">
        <w:t xml:space="preserve">. </w:t>
      </w:r>
    </w:p>
    <w:p w14:paraId="5BE88471" w14:textId="77777777" w:rsidR="00415F67" w:rsidRPr="001B5651" w:rsidRDefault="00691D5A" w:rsidP="00BB7F10">
      <w:pPr>
        <w:pStyle w:val="Cover"/>
      </w:pPr>
      <w:r w:rsidRPr="003F4CFF">
        <w:t xml:space="preserve">The premature and unauthorised disclosure of part or all of the text of a Report has been regarded as a </w:t>
      </w:r>
      <w:r w:rsidRPr="003F4CFF">
        <w:rPr>
          <w:rStyle w:val="Emphasis"/>
        </w:rPr>
        <w:t>prima facie</w:t>
      </w:r>
      <w:r w:rsidRPr="003F4CFF">
        <w:t xml:space="preserve"> contempt of the House of Commons.</w:t>
      </w:r>
    </w:p>
    <w:p w14:paraId="022DBCBE" w14:textId="77777777" w:rsidR="00382C07" w:rsidRPr="001B5651" w:rsidRDefault="00382C07" w:rsidP="00BB7F10">
      <w:pPr>
        <w:pStyle w:val="Cover"/>
      </w:pPr>
    </w:p>
    <w:p w14:paraId="6F50C01F" w14:textId="77777777" w:rsidR="00691D5A" w:rsidRDefault="00691D5A" w:rsidP="00916B32">
      <w:pPr>
        <w:pStyle w:val="Cover"/>
        <w:sectPr w:rsidR="00691D5A" w:rsidSect="00382C07">
          <w:headerReference w:type="even" r:id="rId12"/>
          <w:headerReference w:type="default" r:id="rId13"/>
          <w:headerReference w:type="first" r:id="rId14"/>
          <w:pgSz w:w="11906" w:h="16838" w:code="9"/>
          <w:pgMar w:top="3544" w:right="1701" w:bottom="1134" w:left="1701" w:header="709" w:footer="709" w:gutter="0"/>
          <w:cols w:space="708"/>
          <w:docGrid w:linePitch="360"/>
        </w:sectPr>
      </w:pPr>
    </w:p>
    <w:p w14:paraId="07E747DF" w14:textId="77777777" w:rsidR="002B5F6B" w:rsidRPr="001B5651" w:rsidRDefault="002B5F6B" w:rsidP="002B5F6B">
      <w:pPr>
        <w:pStyle w:val="Cover"/>
      </w:pPr>
      <w:r>
        <w:t xml:space="preserve">This draft Report will be </w:t>
      </w:r>
      <w:r w:rsidRPr="002A4738">
        <w:t>formally</w:t>
      </w:r>
      <w:r>
        <w:t xml:space="preserve"> </w:t>
      </w:r>
      <w:r w:rsidR="00C675AD">
        <w:t xml:space="preserve">considered </w:t>
      </w:r>
      <w:r>
        <w:t xml:space="preserve">by the Committee at its meeting on </w:t>
      </w:r>
      <w:r w:rsidR="00540A2C" w:rsidRPr="002A4738">
        <w:t>Wednesday 6 March</w:t>
      </w:r>
      <w:r>
        <w:t>.</w:t>
      </w:r>
    </w:p>
    <w:p w14:paraId="4EBCEAFC" w14:textId="77777777" w:rsidR="002B5F6B" w:rsidRPr="002A4738" w:rsidRDefault="002B5F6B" w:rsidP="002B5F6B">
      <w:pPr>
        <w:pStyle w:val="Cover"/>
        <w:rPr>
          <w:highlight w:val="yellow"/>
        </w:rPr>
      </w:pPr>
      <w:r>
        <w:t xml:space="preserve">Members are requested to send any amendments to </w:t>
      </w:r>
      <w:r w:rsidR="00540A2C" w:rsidRPr="002A4738">
        <w:t>Kemi Duroshola</w:t>
      </w:r>
      <w:r w:rsidRPr="002A4738">
        <w:t xml:space="preserve"> (</w:t>
      </w:r>
      <w:r w:rsidR="00540A2C" w:rsidRPr="002A4738">
        <w:t>durosholak@parliament.uk</w:t>
      </w:r>
      <w:r>
        <w:t xml:space="preserve">) by </w:t>
      </w:r>
      <w:r w:rsidR="002A4738" w:rsidRPr="002A4738">
        <w:rPr>
          <w:rStyle w:val="Strong"/>
        </w:rPr>
        <w:t>2pm</w:t>
      </w:r>
      <w:r w:rsidRPr="002A4738">
        <w:rPr>
          <w:rStyle w:val="Strong"/>
        </w:rPr>
        <w:t xml:space="preserve"> on </w:t>
      </w:r>
      <w:r w:rsidR="002A4738" w:rsidRPr="002A4738">
        <w:rPr>
          <w:rStyle w:val="Strong"/>
        </w:rPr>
        <w:t>Tuesday 5 March</w:t>
      </w:r>
      <w:r>
        <w:t xml:space="preserve">. This is to allow for amendments to </w:t>
      </w:r>
      <w:r w:rsidR="002D5494">
        <w:t xml:space="preserve">be </w:t>
      </w:r>
      <w:r>
        <w:t>organised into a marshalled list.</w:t>
      </w:r>
    </w:p>
    <w:p w14:paraId="408FAF7F" w14:textId="77777777" w:rsidR="006312E8" w:rsidRPr="001B5651" w:rsidRDefault="006312E8" w:rsidP="006312E8">
      <w:pPr>
        <w:pStyle w:val="TOCHeading1"/>
      </w:pPr>
      <w:r w:rsidRPr="003F4CFF">
        <w:t>Contents</w:t>
      </w:r>
    </w:p>
    <w:p w14:paraId="634C6ED4" w14:textId="77777777" w:rsidR="00146DCD" w:rsidRDefault="00A11F76">
      <w:pPr>
        <w:pStyle w:val="TOC1"/>
        <w:rPr>
          <w:rFonts w:asciiTheme="minorHAnsi" w:eastAsiaTheme="minorEastAsia" w:hAnsiTheme="minorHAnsi" w:cstheme="minorBidi"/>
          <w:b w:val="0"/>
          <w:noProof/>
          <w:color w:val="auto"/>
          <w:sz w:val="22"/>
          <w:szCs w:val="22"/>
          <w:lang w:eastAsia="en-GB"/>
        </w:rPr>
      </w:pPr>
      <w:r>
        <w:rPr>
          <w:rFonts w:eastAsiaTheme="minorEastAsia"/>
          <w:sz w:val="22"/>
        </w:rPr>
        <w:fldChar w:fldCharType="begin"/>
      </w:r>
      <w:r>
        <w:rPr>
          <w:rFonts w:eastAsiaTheme="minorEastAsia"/>
          <w:sz w:val="22"/>
        </w:rPr>
        <w:instrText xml:space="preserve"> TOC \o "2-3" \h \z \t "Heading 1,1,Appendix Heading 1,1,Chapter Heading 1,1,Summary Heading,1" </w:instrText>
      </w:r>
      <w:r>
        <w:rPr>
          <w:rFonts w:eastAsiaTheme="minorEastAsia"/>
          <w:sz w:val="22"/>
        </w:rPr>
        <w:fldChar w:fldCharType="separate"/>
      </w:r>
      <w:hyperlink w:anchor="_Toc431414" w:history="1">
        <w:r w:rsidR="00146DCD" w:rsidRPr="007A4C1A">
          <w:rPr>
            <w:rStyle w:val="Hyperlink"/>
            <w:noProof/>
          </w:rPr>
          <w:t>Chapter 1: Introduction</w:t>
        </w:r>
        <w:r w:rsidR="00146DCD">
          <w:rPr>
            <w:noProof/>
            <w:webHidden/>
          </w:rPr>
          <w:tab/>
        </w:r>
        <w:r w:rsidR="00146DCD">
          <w:rPr>
            <w:noProof/>
            <w:webHidden/>
          </w:rPr>
          <w:fldChar w:fldCharType="begin"/>
        </w:r>
        <w:r w:rsidR="00146DCD">
          <w:rPr>
            <w:noProof/>
            <w:webHidden/>
          </w:rPr>
          <w:instrText xml:space="preserve"> PAGEREF _Toc431414 \h </w:instrText>
        </w:r>
        <w:r w:rsidR="00146DCD">
          <w:rPr>
            <w:noProof/>
            <w:webHidden/>
          </w:rPr>
        </w:r>
        <w:r w:rsidR="00146DCD">
          <w:rPr>
            <w:noProof/>
            <w:webHidden/>
          </w:rPr>
          <w:fldChar w:fldCharType="separate"/>
        </w:r>
        <w:r w:rsidR="003128E1">
          <w:rPr>
            <w:noProof/>
            <w:webHidden/>
          </w:rPr>
          <w:t>4</w:t>
        </w:r>
        <w:r w:rsidR="00146DCD">
          <w:rPr>
            <w:noProof/>
            <w:webHidden/>
          </w:rPr>
          <w:fldChar w:fldCharType="end"/>
        </w:r>
      </w:hyperlink>
    </w:p>
    <w:p w14:paraId="0644B71A" w14:textId="77777777" w:rsidR="00146DCD" w:rsidRDefault="00584911">
      <w:pPr>
        <w:pStyle w:val="TOC2"/>
        <w:rPr>
          <w:rFonts w:asciiTheme="minorHAnsi" w:eastAsiaTheme="minorEastAsia" w:hAnsiTheme="minorHAnsi" w:cstheme="minorBidi"/>
          <w:noProof/>
          <w:sz w:val="22"/>
          <w:szCs w:val="22"/>
          <w:lang w:eastAsia="en-GB"/>
        </w:rPr>
      </w:pPr>
      <w:hyperlink w:anchor="_Toc431415" w:history="1">
        <w:r w:rsidR="00146DCD" w:rsidRPr="007A4C1A">
          <w:rPr>
            <w:rStyle w:val="Hyperlink"/>
            <w:noProof/>
          </w:rPr>
          <w:t>History of the cap</w:t>
        </w:r>
        <w:r w:rsidR="00146DCD">
          <w:rPr>
            <w:noProof/>
            <w:webHidden/>
          </w:rPr>
          <w:tab/>
        </w:r>
        <w:r w:rsidR="00146DCD">
          <w:rPr>
            <w:noProof/>
            <w:webHidden/>
          </w:rPr>
          <w:fldChar w:fldCharType="begin"/>
        </w:r>
        <w:r w:rsidR="00146DCD">
          <w:rPr>
            <w:noProof/>
            <w:webHidden/>
          </w:rPr>
          <w:instrText xml:space="preserve"> PAGEREF _Toc431415 \h </w:instrText>
        </w:r>
        <w:r w:rsidR="00146DCD">
          <w:rPr>
            <w:noProof/>
            <w:webHidden/>
          </w:rPr>
        </w:r>
        <w:r w:rsidR="00146DCD">
          <w:rPr>
            <w:noProof/>
            <w:webHidden/>
          </w:rPr>
          <w:fldChar w:fldCharType="separate"/>
        </w:r>
        <w:r w:rsidR="003128E1">
          <w:rPr>
            <w:noProof/>
            <w:webHidden/>
          </w:rPr>
          <w:t>4</w:t>
        </w:r>
        <w:r w:rsidR="00146DCD">
          <w:rPr>
            <w:noProof/>
            <w:webHidden/>
          </w:rPr>
          <w:fldChar w:fldCharType="end"/>
        </w:r>
      </w:hyperlink>
    </w:p>
    <w:p w14:paraId="15310C22" w14:textId="77777777" w:rsidR="00146DCD" w:rsidRDefault="00584911">
      <w:pPr>
        <w:pStyle w:val="TOC2"/>
        <w:rPr>
          <w:rFonts w:asciiTheme="minorHAnsi" w:eastAsiaTheme="minorEastAsia" w:hAnsiTheme="minorHAnsi" w:cstheme="minorBidi"/>
          <w:noProof/>
          <w:sz w:val="22"/>
          <w:szCs w:val="22"/>
          <w:lang w:eastAsia="en-GB"/>
        </w:rPr>
      </w:pPr>
      <w:hyperlink w:anchor="_Toc431416" w:history="1">
        <w:r w:rsidR="00146DCD" w:rsidRPr="007A4C1A">
          <w:rPr>
            <w:rStyle w:val="Hyperlink"/>
            <w:noProof/>
          </w:rPr>
          <w:t>Original cap</w:t>
        </w:r>
        <w:r w:rsidR="00146DCD">
          <w:rPr>
            <w:noProof/>
            <w:webHidden/>
          </w:rPr>
          <w:tab/>
        </w:r>
        <w:r w:rsidR="00146DCD">
          <w:rPr>
            <w:noProof/>
            <w:webHidden/>
          </w:rPr>
          <w:fldChar w:fldCharType="begin"/>
        </w:r>
        <w:r w:rsidR="00146DCD">
          <w:rPr>
            <w:noProof/>
            <w:webHidden/>
          </w:rPr>
          <w:instrText xml:space="preserve"> PAGEREF _Toc431416 \h </w:instrText>
        </w:r>
        <w:r w:rsidR="00146DCD">
          <w:rPr>
            <w:noProof/>
            <w:webHidden/>
          </w:rPr>
        </w:r>
        <w:r w:rsidR="00146DCD">
          <w:rPr>
            <w:noProof/>
            <w:webHidden/>
          </w:rPr>
          <w:fldChar w:fldCharType="separate"/>
        </w:r>
        <w:r w:rsidR="003128E1">
          <w:rPr>
            <w:noProof/>
            <w:webHidden/>
          </w:rPr>
          <w:t>5</w:t>
        </w:r>
        <w:r w:rsidR="00146DCD">
          <w:rPr>
            <w:noProof/>
            <w:webHidden/>
          </w:rPr>
          <w:fldChar w:fldCharType="end"/>
        </w:r>
      </w:hyperlink>
    </w:p>
    <w:p w14:paraId="15AB23DC" w14:textId="77777777" w:rsidR="00146DCD" w:rsidRDefault="00584911">
      <w:pPr>
        <w:pStyle w:val="TOC3"/>
        <w:rPr>
          <w:rFonts w:asciiTheme="minorHAnsi" w:eastAsiaTheme="minorEastAsia" w:hAnsiTheme="minorHAnsi" w:cstheme="minorBidi"/>
          <w:noProof/>
          <w:sz w:val="22"/>
          <w:szCs w:val="22"/>
          <w:lang w:eastAsia="en-GB"/>
        </w:rPr>
      </w:pPr>
      <w:hyperlink w:anchor="_Toc431417" w:history="1">
        <w:r w:rsidR="00146DCD" w:rsidRPr="007A4C1A">
          <w:rPr>
            <w:rStyle w:val="Hyperlink"/>
            <w:noProof/>
          </w:rPr>
          <w:t>Rationale</w:t>
        </w:r>
        <w:r w:rsidR="00146DCD">
          <w:rPr>
            <w:noProof/>
            <w:webHidden/>
          </w:rPr>
          <w:tab/>
        </w:r>
        <w:r w:rsidR="00146DCD">
          <w:rPr>
            <w:noProof/>
            <w:webHidden/>
          </w:rPr>
          <w:fldChar w:fldCharType="begin"/>
        </w:r>
        <w:r w:rsidR="00146DCD">
          <w:rPr>
            <w:noProof/>
            <w:webHidden/>
          </w:rPr>
          <w:instrText xml:space="preserve"> PAGEREF _Toc431417 \h </w:instrText>
        </w:r>
        <w:r w:rsidR="00146DCD">
          <w:rPr>
            <w:noProof/>
            <w:webHidden/>
          </w:rPr>
        </w:r>
        <w:r w:rsidR="00146DCD">
          <w:rPr>
            <w:noProof/>
            <w:webHidden/>
          </w:rPr>
          <w:fldChar w:fldCharType="separate"/>
        </w:r>
        <w:r w:rsidR="003128E1">
          <w:rPr>
            <w:noProof/>
            <w:webHidden/>
          </w:rPr>
          <w:t>5</w:t>
        </w:r>
        <w:r w:rsidR="00146DCD">
          <w:rPr>
            <w:noProof/>
            <w:webHidden/>
          </w:rPr>
          <w:fldChar w:fldCharType="end"/>
        </w:r>
      </w:hyperlink>
    </w:p>
    <w:p w14:paraId="618B688A" w14:textId="77777777" w:rsidR="00146DCD" w:rsidRDefault="00584911">
      <w:pPr>
        <w:pStyle w:val="TOC3"/>
        <w:rPr>
          <w:rFonts w:asciiTheme="minorHAnsi" w:eastAsiaTheme="minorEastAsia" w:hAnsiTheme="minorHAnsi" w:cstheme="minorBidi"/>
          <w:noProof/>
          <w:sz w:val="22"/>
          <w:szCs w:val="22"/>
          <w:lang w:eastAsia="en-GB"/>
        </w:rPr>
      </w:pPr>
      <w:hyperlink w:anchor="_Toc431418" w:history="1">
        <w:r w:rsidR="00146DCD" w:rsidRPr="007A4C1A">
          <w:rPr>
            <w:rStyle w:val="Hyperlink"/>
            <w:noProof/>
          </w:rPr>
          <w:t>Who was affected?</w:t>
        </w:r>
        <w:r w:rsidR="00146DCD">
          <w:rPr>
            <w:noProof/>
            <w:webHidden/>
          </w:rPr>
          <w:tab/>
        </w:r>
        <w:r w:rsidR="00146DCD">
          <w:rPr>
            <w:noProof/>
            <w:webHidden/>
          </w:rPr>
          <w:fldChar w:fldCharType="begin"/>
        </w:r>
        <w:r w:rsidR="00146DCD">
          <w:rPr>
            <w:noProof/>
            <w:webHidden/>
          </w:rPr>
          <w:instrText xml:space="preserve"> PAGEREF _Toc431418 \h </w:instrText>
        </w:r>
        <w:r w:rsidR="00146DCD">
          <w:rPr>
            <w:noProof/>
            <w:webHidden/>
          </w:rPr>
        </w:r>
        <w:r w:rsidR="00146DCD">
          <w:rPr>
            <w:noProof/>
            <w:webHidden/>
          </w:rPr>
          <w:fldChar w:fldCharType="separate"/>
        </w:r>
        <w:r w:rsidR="003128E1">
          <w:rPr>
            <w:noProof/>
            <w:webHidden/>
          </w:rPr>
          <w:t>6</w:t>
        </w:r>
        <w:r w:rsidR="00146DCD">
          <w:rPr>
            <w:noProof/>
            <w:webHidden/>
          </w:rPr>
          <w:fldChar w:fldCharType="end"/>
        </w:r>
      </w:hyperlink>
    </w:p>
    <w:p w14:paraId="3C366A1F" w14:textId="77777777" w:rsidR="00146DCD" w:rsidRDefault="00584911">
      <w:pPr>
        <w:pStyle w:val="TOC2"/>
        <w:rPr>
          <w:rFonts w:asciiTheme="minorHAnsi" w:eastAsiaTheme="minorEastAsia" w:hAnsiTheme="minorHAnsi" w:cstheme="minorBidi"/>
          <w:noProof/>
          <w:sz w:val="22"/>
          <w:szCs w:val="22"/>
          <w:lang w:eastAsia="en-GB"/>
        </w:rPr>
      </w:pPr>
      <w:hyperlink w:anchor="_Toc431419" w:history="1">
        <w:r w:rsidR="00146DCD" w:rsidRPr="007A4C1A">
          <w:rPr>
            <w:rStyle w:val="Hyperlink"/>
            <w:noProof/>
          </w:rPr>
          <w:t>Lower cap</w:t>
        </w:r>
        <w:r w:rsidR="00146DCD">
          <w:rPr>
            <w:noProof/>
            <w:webHidden/>
          </w:rPr>
          <w:tab/>
        </w:r>
        <w:r w:rsidR="00146DCD">
          <w:rPr>
            <w:noProof/>
            <w:webHidden/>
          </w:rPr>
          <w:fldChar w:fldCharType="begin"/>
        </w:r>
        <w:r w:rsidR="00146DCD">
          <w:rPr>
            <w:noProof/>
            <w:webHidden/>
          </w:rPr>
          <w:instrText xml:space="preserve"> PAGEREF _Toc431419 \h </w:instrText>
        </w:r>
        <w:r w:rsidR="00146DCD">
          <w:rPr>
            <w:noProof/>
            <w:webHidden/>
          </w:rPr>
        </w:r>
        <w:r w:rsidR="00146DCD">
          <w:rPr>
            <w:noProof/>
            <w:webHidden/>
          </w:rPr>
          <w:fldChar w:fldCharType="separate"/>
        </w:r>
        <w:r w:rsidR="003128E1">
          <w:rPr>
            <w:noProof/>
            <w:webHidden/>
          </w:rPr>
          <w:t>7</w:t>
        </w:r>
        <w:r w:rsidR="00146DCD">
          <w:rPr>
            <w:noProof/>
            <w:webHidden/>
          </w:rPr>
          <w:fldChar w:fldCharType="end"/>
        </w:r>
      </w:hyperlink>
    </w:p>
    <w:p w14:paraId="0E9207FF" w14:textId="77777777" w:rsidR="00146DCD" w:rsidRDefault="00584911">
      <w:pPr>
        <w:pStyle w:val="TOC3"/>
        <w:rPr>
          <w:rFonts w:asciiTheme="minorHAnsi" w:eastAsiaTheme="minorEastAsia" w:hAnsiTheme="minorHAnsi" w:cstheme="minorBidi"/>
          <w:noProof/>
          <w:sz w:val="22"/>
          <w:szCs w:val="22"/>
          <w:lang w:eastAsia="en-GB"/>
        </w:rPr>
      </w:pPr>
      <w:hyperlink w:anchor="_Toc431420" w:history="1">
        <w:r w:rsidR="00146DCD" w:rsidRPr="007A4C1A">
          <w:rPr>
            <w:rStyle w:val="Hyperlink"/>
            <w:noProof/>
          </w:rPr>
          <w:t>Rationale</w:t>
        </w:r>
        <w:r w:rsidR="00146DCD">
          <w:rPr>
            <w:noProof/>
            <w:webHidden/>
          </w:rPr>
          <w:tab/>
        </w:r>
        <w:r w:rsidR="00146DCD">
          <w:rPr>
            <w:noProof/>
            <w:webHidden/>
          </w:rPr>
          <w:fldChar w:fldCharType="begin"/>
        </w:r>
        <w:r w:rsidR="00146DCD">
          <w:rPr>
            <w:noProof/>
            <w:webHidden/>
          </w:rPr>
          <w:instrText xml:space="preserve"> PAGEREF _Toc431420 \h </w:instrText>
        </w:r>
        <w:r w:rsidR="00146DCD">
          <w:rPr>
            <w:noProof/>
            <w:webHidden/>
          </w:rPr>
        </w:r>
        <w:r w:rsidR="00146DCD">
          <w:rPr>
            <w:noProof/>
            <w:webHidden/>
          </w:rPr>
          <w:fldChar w:fldCharType="separate"/>
        </w:r>
        <w:r w:rsidR="003128E1">
          <w:rPr>
            <w:noProof/>
            <w:webHidden/>
          </w:rPr>
          <w:t>7</w:t>
        </w:r>
        <w:r w:rsidR="00146DCD">
          <w:rPr>
            <w:noProof/>
            <w:webHidden/>
          </w:rPr>
          <w:fldChar w:fldCharType="end"/>
        </w:r>
      </w:hyperlink>
    </w:p>
    <w:p w14:paraId="13498839" w14:textId="77777777" w:rsidR="00146DCD" w:rsidRDefault="00584911">
      <w:pPr>
        <w:pStyle w:val="TOC3"/>
        <w:rPr>
          <w:rFonts w:asciiTheme="minorHAnsi" w:eastAsiaTheme="minorEastAsia" w:hAnsiTheme="minorHAnsi" w:cstheme="minorBidi"/>
          <w:noProof/>
          <w:sz w:val="22"/>
          <w:szCs w:val="22"/>
          <w:lang w:eastAsia="en-GB"/>
        </w:rPr>
      </w:pPr>
      <w:hyperlink w:anchor="_Toc431421" w:history="1">
        <w:r w:rsidR="00146DCD" w:rsidRPr="007A4C1A">
          <w:rPr>
            <w:rStyle w:val="Hyperlink"/>
            <w:noProof/>
          </w:rPr>
          <w:t>Who is affected?</w:t>
        </w:r>
        <w:r w:rsidR="00146DCD">
          <w:rPr>
            <w:noProof/>
            <w:webHidden/>
          </w:rPr>
          <w:tab/>
        </w:r>
        <w:r w:rsidR="00146DCD">
          <w:rPr>
            <w:noProof/>
            <w:webHidden/>
          </w:rPr>
          <w:fldChar w:fldCharType="begin"/>
        </w:r>
        <w:r w:rsidR="00146DCD">
          <w:rPr>
            <w:noProof/>
            <w:webHidden/>
          </w:rPr>
          <w:instrText xml:space="preserve"> PAGEREF _Toc431421 \h </w:instrText>
        </w:r>
        <w:r w:rsidR="00146DCD">
          <w:rPr>
            <w:noProof/>
            <w:webHidden/>
          </w:rPr>
        </w:r>
        <w:r w:rsidR="00146DCD">
          <w:rPr>
            <w:noProof/>
            <w:webHidden/>
          </w:rPr>
          <w:fldChar w:fldCharType="separate"/>
        </w:r>
        <w:r w:rsidR="003128E1">
          <w:rPr>
            <w:noProof/>
            <w:webHidden/>
          </w:rPr>
          <w:t>8</w:t>
        </w:r>
        <w:r w:rsidR="00146DCD">
          <w:rPr>
            <w:noProof/>
            <w:webHidden/>
          </w:rPr>
          <w:fldChar w:fldCharType="end"/>
        </w:r>
      </w:hyperlink>
    </w:p>
    <w:p w14:paraId="06FBAA3C" w14:textId="77777777" w:rsidR="00146DCD" w:rsidRDefault="00584911">
      <w:pPr>
        <w:pStyle w:val="TOC2"/>
        <w:rPr>
          <w:rFonts w:asciiTheme="minorHAnsi" w:eastAsiaTheme="minorEastAsia" w:hAnsiTheme="minorHAnsi" w:cstheme="minorBidi"/>
          <w:noProof/>
          <w:sz w:val="22"/>
          <w:szCs w:val="22"/>
          <w:lang w:eastAsia="en-GB"/>
        </w:rPr>
      </w:pPr>
      <w:hyperlink w:anchor="_Toc431422" w:history="1">
        <w:r w:rsidR="00146DCD" w:rsidRPr="007A4C1A">
          <w:rPr>
            <w:rStyle w:val="Hyperlink"/>
            <w:noProof/>
          </w:rPr>
          <w:t>Applying the cap</w:t>
        </w:r>
        <w:r w:rsidR="00146DCD">
          <w:rPr>
            <w:noProof/>
            <w:webHidden/>
          </w:rPr>
          <w:tab/>
        </w:r>
        <w:r w:rsidR="00146DCD">
          <w:rPr>
            <w:noProof/>
            <w:webHidden/>
          </w:rPr>
          <w:fldChar w:fldCharType="begin"/>
        </w:r>
        <w:r w:rsidR="00146DCD">
          <w:rPr>
            <w:noProof/>
            <w:webHidden/>
          </w:rPr>
          <w:instrText xml:space="preserve"> PAGEREF _Toc431422 \h </w:instrText>
        </w:r>
        <w:r w:rsidR="00146DCD">
          <w:rPr>
            <w:noProof/>
            <w:webHidden/>
          </w:rPr>
        </w:r>
        <w:r w:rsidR="00146DCD">
          <w:rPr>
            <w:noProof/>
            <w:webHidden/>
          </w:rPr>
          <w:fldChar w:fldCharType="separate"/>
        </w:r>
        <w:r w:rsidR="003128E1">
          <w:rPr>
            <w:noProof/>
            <w:webHidden/>
          </w:rPr>
          <w:t>9</w:t>
        </w:r>
        <w:r w:rsidR="00146DCD">
          <w:rPr>
            <w:noProof/>
            <w:webHidden/>
          </w:rPr>
          <w:fldChar w:fldCharType="end"/>
        </w:r>
      </w:hyperlink>
    </w:p>
    <w:p w14:paraId="7FBE63C2" w14:textId="77777777" w:rsidR="00146DCD" w:rsidRDefault="00584911">
      <w:pPr>
        <w:pStyle w:val="TOC3"/>
        <w:rPr>
          <w:rFonts w:asciiTheme="minorHAnsi" w:eastAsiaTheme="minorEastAsia" w:hAnsiTheme="minorHAnsi" w:cstheme="minorBidi"/>
          <w:noProof/>
          <w:sz w:val="22"/>
          <w:szCs w:val="22"/>
          <w:lang w:eastAsia="en-GB"/>
        </w:rPr>
      </w:pPr>
      <w:hyperlink w:anchor="_Toc431423" w:history="1">
        <w:r w:rsidR="00146DCD" w:rsidRPr="007A4C1A">
          <w:rPr>
            <w:rStyle w:val="Hyperlink"/>
            <w:noProof/>
          </w:rPr>
          <w:t>Housing Benefit vs UC</w:t>
        </w:r>
        <w:r w:rsidR="00146DCD">
          <w:rPr>
            <w:noProof/>
            <w:webHidden/>
          </w:rPr>
          <w:tab/>
        </w:r>
        <w:r w:rsidR="00146DCD">
          <w:rPr>
            <w:noProof/>
            <w:webHidden/>
          </w:rPr>
          <w:fldChar w:fldCharType="begin"/>
        </w:r>
        <w:r w:rsidR="00146DCD">
          <w:rPr>
            <w:noProof/>
            <w:webHidden/>
          </w:rPr>
          <w:instrText xml:space="preserve"> PAGEREF _Toc431423 \h </w:instrText>
        </w:r>
        <w:r w:rsidR="00146DCD">
          <w:rPr>
            <w:noProof/>
            <w:webHidden/>
          </w:rPr>
        </w:r>
        <w:r w:rsidR="00146DCD">
          <w:rPr>
            <w:noProof/>
            <w:webHidden/>
          </w:rPr>
          <w:fldChar w:fldCharType="separate"/>
        </w:r>
        <w:r w:rsidR="003128E1">
          <w:rPr>
            <w:noProof/>
            <w:webHidden/>
          </w:rPr>
          <w:t>10</w:t>
        </w:r>
        <w:r w:rsidR="00146DCD">
          <w:rPr>
            <w:noProof/>
            <w:webHidden/>
          </w:rPr>
          <w:fldChar w:fldCharType="end"/>
        </w:r>
      </w:hyperlink>
    </w:p>
    <w:p w14:paraId="460610DF" w14:textId="77777777" w:rsidR="00146DCD" w:rsidRDefault="00584911">
      <w:pPr>
        <w:pStyle w:val="TOC3"/>
        <w:rPr>
          <w:rFonts w:asciiTheme="minorHAnsi" w:eastAsiaTheme="minorEastAsia" w:hAnsiTheme="minorHAnsi" w:cstheme="minorBidi"/>
          <w:noProof/>
          <w:sz w:val="22"/>
          <w:szCs w:val="22"/>
          <w:lang w:eastAsia="en-GB"/>
        </w:rPr>
      </w:pPr>
      <w:hyperlink w:anchor="_Toc431424" w:history="1">
        <w:r w:rsidR="00146DCD" w:rsidRPr="007A4C1A">
          <w:rPr>
            <w:rStyle w:val="Hyperlink"/>
            <w:noProof/>
          </w:rPr>
          <w:t>Exemptions</w:t>
        </w:r>
        <w:r w:rsidR="00146DCD">
          <w:rPr>
            <w:noProof/>
            <w:webHidden/>
          </w:rPr>
          <w:tab/>
        </w:r>
        <w:r w:rsidR="00146DCD">
          <w:rPr>
            <w:noProof/>
            <w:webHidden/>
          </w:rPr>
          <w:fldChar w:fldCharType="begin"/>
        </w:r>
        <w:r w:rsidR="00146DCD">
          <w:rPr>
            <w:noProof/>
            <w:webHidden/>
          </w:rPr>
          <w:instrText xml:space="preserve"> PAGEREF _Toc431424 \h </w:instrText>
        </w:r>
        <w:r w:rsidR="00146DCD">
          <w:rPr>
            <w:noProof/>
            <w:webHidden/>
          </w:rPr>
        </w:r>
        <w:r w:rsidR="00146DCD">
          <w:rPr>
            <w:noProof/>
            <w:webHidden/>
          </w:rPr>
          <w:fldChar w:fldCharType="separate"/>
        </w:r>
        <w:r w:rsidR="003128E1">
          <w:rPr>
            <w:noProof/>
            <w:webHidden/>
          </w:rPr>
          <w:t>11</w:t>
        </w:r>
        <w:r w:rsidR="00146DCD">
          <w:rPr>
            <w:noProof/>
            <w:webHidden/>
          </w:rPr>
          <w:fldChar w:fldCharType="end"/>
        </w:r>
      </w:hyperlink>
    </w:p>
    <w:p w14:paraId="71C21D8A" w14:textId="77777777" w:rsidR="00146DCD" w:rsidRDefault="00584911">
      <w:pPr>
        <w:pStyle w:val="TOC3"/>
        <w:rPr>
          <w:rFonts w:asciiTheme="minorHAnsi" w:eastAsiaTheme="minorEastAsia" w:hAnsiTheme="minorHAnsi" w:cstheme="minorBidi"/>
          <w:noProof/>
          <w:sz w:val="22"/>
          <w:szCs w:val="22"/>
          <w:lang w:eastAsia="en-GB"/>
        </w:rPr>
      </w:pPr>
      <w:hyperlink w:anchor="_Toc431425" w:history="1">
        <w:r w:rsidR="00146DCD" w:rsidRPr="007A4C1A">
          <w:rPr>
            <w:rStyle w:val="Hyperlink"/>
            <w:noProof/>
          </w:rPr>
          <w:t>Grace period</w:t>
        </w:r>
        <w:r w:rsidR="00146DCD">
          <w:rPr>
            <w:noProof/>
            <w:webHidden/>
          </w:rPr>
          <w:tab/>
        </w:r>
        <w:r w:rsidR="00146DCD">
          <w:rPr>
            <w:noProof/>
            <w:webHidden/>
          </w:rPr>
          <w:fldChar w:fldCharType="begin"/>
        </w:r>
        <w:r w:rsidR="00146DCD">
          <w:rPr>
            <w:noProof/>
            <w:webHidden/>
          </w:rPr>
          <w:instrText xml:space="preserve"> PAGEREF _Toc431425 \h </w:instrText>
        </w:r>
        <w:r w:rsidR="00146DCD">
          <w:rPr>
            <w:noProof/>
            <w:webHidden/>
          </w:rPr>
        </w:r>
        <w:r w:rsidR="00146DCD">
          <w:rPr>
            <w:noProof/>
            <w:webHidden/>
          </w:rPr>
          <w:fldChar w:fldCharType="separate"/>
        </w:r>
        <w:r w:rsidR="003128E1">
          <w:rPr>
            <w:noProof/>
            <w:webHidden/>
          </w:rPr>
          <w:t>12</w:t>
        </w:r>
        <w:r w:rsidR="00146DCD">
          <w:rPr>
            <w:noProof/>
            <w:webHidden/>
          </w:rPr>
          <w:fldChar w:fldCharType="end"/>
        </w:r>
      </w:hyperlink>
    </w:p>
    <w:p w14:paraId="3EF431DE" w14:textId="77777777" w:rsidR="00146DCD" w:rsidRDefault="00584911">
      <w:pPr>
        <w:pStyle w:val="TOC2"/>
        <w:rPr>
          <w:rFonts w:asciiTheme="minorHAnsi" w:eastAsiaTheme="minorEastAsia" w:hAnsiTheme="minorHAnsi" w:cstheme="minorBidi"/>
          <w:noProof/>
          <w:sz w:val="22"/>
          <w:szCs w:val="22"/>
          <w:lang w:eastAsia="en-GB"/>
        </w:rPr>
      </w:pPr>
      <w:hyperlink w:anchor="_Toc431426" w:history="1">
        <w:r w:rsidR="00146DCD" w:rsidRPr="007A4C1A">
          <w:rPr>
            <w:rStyle w:val="Hyperlink"/>
            <w:noProof/>
          </w:rPr>
          <w:t>Our inquiry</w:t>
        </w:r>
        <w:r w:rsidR="00146DCD">
          <w:rPr>
            <w:noProof/>
            <w:webHidden/>
          </w:rPr>
          <w:tab/>
        </w:r>
        <w:r w:rsidR="00146DCD">
          <w:rPr>
            <w:noProof/>
            <w:webHidden/>
          </w:rPr>
          <w:fldChar w:fldCharType="begin"/>
        </w:r>
        <w:r w:rsidR="00146DCD">
          <w:rPr>
            <w:noProof/>
            <w:webHidden/>
          </w:rPr>
          <w:instrText xml:space="preserve"> PAGEREF _Toc431426 \h </w:instrText>
        </w:r>
        <w:r w:rsidR="00146DCD">
          <w:rPr>
            <w:noProof/>
            <w:webHidden/>
          </w:rPr>
        </w:r>
        <w:r w:rsidR="00146DCD">
          <w:rPr>
            <w:noProof/>
            <w:webHidden/>
          </w:rPr>
          <w:fldChar w:fldCharType="separate"/>
        </w:r>
        <w:r w:rsidR="003128E1">
          <w:rPr>
            <w:noProof/>
            <w:webHidden/>
          </w:rPr>
          <w:t>13</w:t>
        </w:r>
        <w:r w:rsidR="00146DCD">
          <w:rPr>
            <w:noProof/>
            <w:webHidden/>
          </w:rPr>
          <w:fldChar w:fldCharType="end"/>
        </w:r>
      </w:hyperlink>
    </w:p>
    <w:p w14:paraId="3929D981" w14:textId="77777777" w:rsidR="00146DCD" w:rsidRDefault="00584911">
      <w:pPr>
        <w:pStyle w:val="TOC1"/>
        <w:rPr>
          <w:rFonts w:asciiTheme="minorHAnsi" w:eastAsiaTheme="minorEastAsia" w:hAnsiTheme="minorHAnsi" w:cstheme="minorBidi"/>
          <w:b w:val="0"/>
          <w:noProof/>
          <w:color w:val="auto"/>
          <w:sz w:val="22"/>
          <w:szCs w:val="22"/>
          <w:lang w:eastAsia="en-GB"/>
        </w:rPr>
      </w:pPr>
      <w:hyperlink w:anchor="_Toc431427" w:history="1">
        <w:r w:rsidR="00146DCD" w:rsidRPr="007A4C1A">
          <w:rPr>
            <w:rStyle w:val="Hyperlink"/>
            <w:noProof/>
          </w:rPr>
          <w:t>Chapter 2: Does the benefit cap incentivise work?</w:t>
        </w:r>
        <w:r w:rsidR="00146DCD">
          <w:rPr>
            <w:noProof/>
            <w:webHidden/>
          </w:rPr>
          <w:tab/>
        </w:r>
        <w:r w:rsidR="00146DCD">
          <w:rPr>
            <w:noProof/>
            <w:webHidden/>
          </w:rPr>
          <w:fldChar w:fldCharType="begin"/>
        </w:r>
        <w:r w:rsidR="00146DCD">
          <w:rPr>
            <w:noProof/>
            <w:webHidden/>
          </w:rPr>
          <w:instrText xml:space="preserve"> PAGEREF _Toc431427 \h </w:instrText>
        </w:r>
        <w:r w:rsidR="00146DCD">
          <w:rPr>
            <w:noProof/>
            <w:webHidden/>
          </w:rPr>
        </w:r>
        <w:r w:rsidR="00146DCD">
          <w:rPr>
            <w:noProof/>
            <w:webHidden/>
          </w:rPr>
          <w:fldChar w:fldCharType="separate"/>
        </w:r>
        <w:r w:rsidR="003128E1">
          <w:rPr>
            <w:noProof/>
            <w:webHidden/>
          </w:rPr>
          <w:t>14</w:t>
        </w:r>
        <w:r w:rsidR="00146DCD">
          <w:rPr>
            <w:noProof/>
            <w:webHidden/>
          </w:rPr>
          <w:fldChar w:fldCharType="end"/>
        </w:r>
      </w:hyperlink>
    </w:p>
    <w:p w14:paraId="158A0B20" w14:textId="77777777" w:rsidR="00146DCD" w:rsidRDefault="00584911">
      <w:pPr>
        <w:pStyle w:val="TOC2"/>
        <w:rPr>
          <w:rFonts w:asciiTheme="minorHAnsi" w:eastAsiaTheme="minorEastAsia" w:hAnsiTheme="minorHAnsi" w:cstheme="minorBidi"/>
          <w:noProof/>
          <w:sz w:val="22"/>
          <w:szCs w:val="22"/>
          <w:lang w:eastAsia="en-GB"/>
        </w:rPr>
      </w:pPr>
      <w:hyperlink w:anchor="_Toc431428" w:history="1">
        <w:r w:rsidR="00146DCD" w:rsidRPr="007A4C1A">
          <w:rPr>
            <w:rStyle w:val="Hyperlink"/>
            <w:noProof/>
          </w:rPr>
          <w:t>Benefit cap as a work incentive</w:t>
        </w:r>
        <w:r w:rsidR="00146DCD">
          <w:rPr>
            <w:noProof/>
            <w:webHidden/>
          </w:rPr>
          <w:tab/>
        </w:r>
        <w:r w:rsidR="00146DCD">
          <w:rPr>
            <w:noProof/>
            <w:webHidden/>
          </w:rPr>
          <w:fldChar w:fldCharType="begin"/>
        </w:r>
        <w:r w:rsidR="00146DCD">
          <w:rPr>
            <w:noProof/>
            <w:webHidden/>
          </w:rPr>
          <w:instrText xml:space="preserve"> PAGEREF _Toc431428 \h </w:instrText>
        </w:r>
        <w:r w:rsidR="00146DCD">
          <w:rPr>
            <w:noProof/>
            <w:webHidden/>
          </w:rPr>
        </w:r>
        <w:r w:rsidR="00146DCD">
          <w:rPr>
            <w:noProof/>
            <w:webHidden/>
          </w:rPr>
          <w:fldChar w:fldCharType="separate"/>
        </w:r>
        <w:r w:rsidR="003128E1">
          <w:rPr>
            <w:noProof/>
            <w:webHidden/>
          </w:rPr>
          <w:t>14</w:t>
        </w:r>
        <w:r w:rsidR="00146DCD">
          <w:rPr>
            <w:noProof/>
            <w:webHidden/>
          </w:rPr>
          <w:fldChar w:fldCharType="end"/>
        </w:r>
      </w:hyperlink>
    </w:p>
    <w:p w14:paraId="6BD97542" w14:textId="77777777" w:rsidR="00146DCD" w:rsidRDefault="00584911">
      <w:pPr>
        <w:pStyle w:val="TOC3"/>
        <w:rPr>
          <w:rFonts w:asciiTheme="minorHAnsi" w:eastAsiaTheme="minorEastAsia" w:hAnsiTheme="minorHAnsi" w:cstheme="minorBidi"/>
          <w:noProof/>
          <w:sz w:val="22"/>
          <w:szCs w:val="22"/>
          <w:lang w:eastAsia="en-GB"/>
        </w:rPr>
      </w:pPr>
      <w:hyperlink w:anchor="_Toc431429" w:history="1">
        <w:r w:rsidR="00146DCD" w:rsidRPr="007A4C1A">
          <w:rPr>
            <w:rStyle w:val="Hyperlink"/>
            <w:noProof/>
          </w:rPr>
          <w:t>Have capped claimants moved into work?</w:t>
        </w:r>
        <w:r w:rsidR="00146DCD">
          <w:rPr>
            <w:noProof/>
            <w:webHidden/>
          </w:rPr>
          <w:tab/>
        </w:r>
        <w:r w:rsidR="00146DCD">
          <w:rPr>
            <w:noProof/>
            <w:webHidden/>
          </w:rPr>
          <w:fldChar w:fldCharType="begin"/>
        </w:r>
        <w:r w:rsidR="00146DCD">
          <w:rPr>
            <w:noProof/>
            <w:webHidden/>
          </w:rPr>
          <w:instrText xml:space="preserve"> PAGEREF _Toc431429 \h </w:instrText>
        </w:r>
        <w:r w:rsidR="00146DCD">
          <w:rPr>
            <w:noProof/>
            <w:webHidden/>
          </w:rPr>
        </w:r>
        <w:r w:rsidR="00146DCD">
          <w:rPr>
            <w:noProof/>
            <w:webHidden/>
          </w:rPr>
          <w:fldChar w:fldCharType="separate"/>
        </w:r>
        <w:r w:rsidR="003128E1">
          <w:rPr>
            <w:noProof/>
            <w:webHidden/>
          </w:rPr>
          <w:t>14</w:t>
        </w:r>
        <w:r w:rsidR="00146DCD">
          <w:rPr>
            <w:noProof/>
            <w:webHidden/>
          </w:rPr>
          <w:fldChar w:fldCharType="end"/>
        </w:r>
      </w:hyperlink>
    </w:p>
    <w:p w14:paraId="10744C61" w14:textId="77777777" w:rsidR="00146DCD" w:rsidRDefault="00584911">
      <w:pPr>
        <w:pStyle w:val="TOC3"/>
        <w:rPr>
          <w:rFonts w:asciiTheme="minorHAnsi" w:eastAsiaTheme="minorEastAsia" w:hAnsiTheme="minorHAnsi" w:cstheme="minorBidi"/>
          <w:noProof/>
          <w:sz w:val="22"/>
          <w:szCs w:val="22"/>
          <w:lang w:eastAsia="en-GB"/>
        </w:rPr>
      </w:pPr>
      <w:hyperlink w:anchor="_Toc431430" w:history="1">
        <w:r w:rsidR="00146DCD" w:rsidRPr="007A4C1A">
          <w:rPr>
            <w:rStyle w:val="Hyperlink"/>
            <w:noProof/>
          </w:rPr>
          <w:t>Do people move into work because of the cap?</w:t>
        </w:r>
        <w:r w:rsidR="00146DCD">
          <w:rPr>
            <w:noProof/>
            <w:webHidden/>
          </w:rPr>
          <w:tab/>
        </w:r>
        <w:r w:rsidR="00146DCD">
          <w:rPr>
            <w:noProof/>
            <w:webHidden/>
          </w:rPr>
          <w:fldChar w:fldCharType="begin"/>
        </w:r>
        <w:r w:rsidR="00146DCD">
          <w:rPr>
            <w:noProof/>
            <w:webHidden/>
          </w:rPr>
          <w:instrText xml:space="preserve"> PAGEREF _Toc431430 \h </w:instrText>
        </w:r>
        <w:r w:rsidR="00146DCD">
          <w:rPr>
            <w:noProof/>
            <w:webHidden/>
          </w:rPr>
        </w:r>
        <w:r w:rsidR="00146DCD">
          <w:rPr>
            <w:noProof/>
            <w:webHidden/>
          </w:rPr>
          <w:fldChar w:fldCharType="separate"/>
        </w:r>
        <w:r w:rsidR="003128E1">
          <w:rPr>
            <w:noProof/>
            <w:webHidden/>
          </w:rPr>
          <w:t>15</w:t>
        </w:r>
        <w:r w:rsidR="00146DCD">
          <w:rPr>
            <w:noProof/>
            <w:webHidden/>
          </w:rPr>
          <w:fldChar w:fldCharType="end"/>
        </w:r>
      </w:hyperlink>
    </w:p>
    <w:p w14:paraId="58A2F230" w14:textId="77777777" w:rsidR="00146DCD" w:rsidRDefault="00584911">
      <w:pPr>
        <w:pStyle w:val="TOC3"/>
        <w:rPr>
          <w:rFonts w:asciiTheme="minorHAnsi" w:eastAsiaTheme="minorEastAsia" w:hAnsiTheme="minorHAnsi" w:cstheme="minorBidi"/>
          <w:noProof/>
          <w:sz w:val="22"/>
          <w:szCs w:val="22"/>
          <w:lang w:eastAsia="en-GB"/>
        </w:rPr>
      </w:pPr>
      <w:hyperlink w:anchor="_Toc431431" w:history="1">
        <w:r w:rsidR="00146DCD" w:rsidRPr="007A4C1A">
          <w:rPr>
            <w:rStyle w:val="Hyperlink"/>
            <w:noProof/>
          </w:rPr>
          <w:t>The Department's representation of the cap's effectiveness</w:t>
        </w:r>
        <w:r w:rsidR="00146DCD">
          <w:rPr>
            <w:noProof/>
            <w:webHidden/>
          </w:rPr>
          <w:tab/>
        </w:r>
        <w:r w:rsidR="00146DCD">
          <w:rPr>
            <w:noProof/>
            <w:webHidden/>
          </w:rPr>
          <w:fldChar w:fldCharType="begin"/>
        </w:r>
        <w:r w:rsidR="00146DCD">
          <w:rPr>
            <w:noProof/>
            <w:webHidden/>
          </w:rPr>
          <w:instrText xml:space="preserve"> PAGEREF _Toc431431 \h </w:instrText>
        </w:r>
        <w:r w:rsidR="00146DCD">
          <w:rPr>
            <w:noProof/>
            <w:webHidden/>
          </w:rPr>
        </w:r>
        <w:r w:rsidR="00146DCD">
          <w:rPr>
            <w:noProof/>
            <w:webHidden/>
          </w:rPr>
          <w:fldChar w:fldCharType="separate"/>
        </w:r>
        <w:r w:rsidR="003128E1">
          <w:rPr>
            <w:noProof/>
            <w:webHidden/>
          </w:rPr>
          <w:t>16</w:t>
        </w:r>
        <w:r w:rsidR="00146DCD">
          <w:rPr>
            <w:noProof/>
            <w:webHidden/>
          </w:rPr>
          <w:fldChar w:fldCharType="end"/>
        </w:r>
      </w:hyperlink>
    </w:p>
    <w:p w14:paraId="7E320A2E" w14:textId="77777777" w:rsidR="00146DCD" w:rsidRDefault="00584911">
      <w:pPr>
        <w:pStyle w:val="TOC2"/>
        <w:rPr>
          <w:rFonts w:asciiTheme="minorHAnsi" w:eastAsiaTheme="minorEastAsia" w:hAnsiTheme="minorHAnsi" w:cstheme="minorBidi"/>
          <w:noProof/>
          <w:sz w:val="22"/>
          <w:szCs w:val="22"/>
          <w:lang w:eastAsia="en-GB"/>
        </w:rPr>
      </w:pPr>
      <w:hyperlink w:anchor="_Toc431432" w:history="1">
        <w:r w:rsidR="00146DCD" w:rsidRPr="007A4C1A">
          <w:rPr>
            <w:rStyle w:val="Hyperlink"/>
            <w:noProof/>
          </w:rPr>
          <w:t>Disproportionate impact on certain groups</w:t>
        </w:r>
        <w:r w:rsidR="00146DCD">
          <w:rPr>
            <w:noProof/>
            <w:webHidden/>
          </w:rPr>
          <w:tab/>
        </w:r>
        <w:r w:rsidR="00146DCD">
          <w:rPr>
            <w:noProof/>
            <w:webHidden/>
          </w:rPr>
          <w:fldChar w:fldCharType="begin"/>
        </w:r>
        <w:r w:rsidR="00146DCD">
          <w:rPr>
            <w:noProof/>
            <w:webHidden/>
          </w:rPr>
          <w:instrText xml:space="preserve"> PAGEREF _Toc431432 \h </w:instrText>
        </w:r>
        <w:r w:rsidR="00146DCD">
          <w:rPr>
            <w:noProof/>
            <w:webHidden/>
          </w:rPr>
        </w:r>
        <w:r w:rsidR="00146DCD">
          <w:rPr>
            <w:noProof/>
            <w:webHidden/>
          </w:rPr>
          <w:fldChar w:fldCharType="separate"/>
        </w:r>
        <w:r w:rsidR="003128E1">
          <w:rPr>
            <w:noProof/>
            <w:webHidden/>
          </w:rPr>
          <w:t>19</w:t>
        </w:r>
        <w:r w:rsidR="00146DCD">
          <w:rPr>
            <w:noProof/>
            <w:webHidden/>
          </w:rPr>
          <w:fldChar w:fldCharType="end"/>
        </w:r>
      </w:hyperlink>
    </w:p>
    <w:p w14:paraId="60BD7262" w14:textId="77777777" w:rsidR="00146DCD" w:rsidRDefault="00584911">
      <w:pPr>
        <w:pStyle w:val="TOC3"/>
        <w:rPr>
          <w:rFonts w:asciiTheme="minorHAnsi" w:eastAsiaTheme="minorEastAsia" w:hAnsiTheme="minorHAnsi" w:cstheme="minorBidi"/>
          <w:noProof/>
          <w:sz w:val="22"/>
          <w:szCs w:val="22"/>
          <w:lang w:eastAsia="en-GB"/>
        </w:rPr>
      </w:pPr>
      <w:hyperlink w:anchor="_Toc431433" w:history="1">
        <w:r w:rsidR="00146DCD" w:rsidRPr="007A4C1A">
          <w:rPr>
            <w:rStyle w:val="Hyperlink"/>
            <w:noProof/>
          </w:rPr>
          <w:t>Conditionality: Benefit system vs benefit cap</w:t>
        </w:r>
        <w:r w:rsidR="00146DCD">
          <w:rPr>
            <w:noProof/>
            <w:webHidden/>
          </w:rPr>
          <w:tab/>
        </w:r>
        <w:r w:rsidR="00146DCD">
          <w:rPr>
            <w:noProof/>
            <w:webHidden/>
          </w:rPr>
          <w:fldChar w:fldCharType="begin"/>
        </w:r>
        <w:r w:rsidR="00146DCD">
          <w:rPr>
            <w:noProof/>
            <w:webHidden/>
          </w:rPr>
          <w:instrText xml:space="preserve"> PAGEREF _Toc431433 \h </w:instrText>
        </w:r>
        <w:r w:rsidR="00146DCD">
          <w:rPr>
            <w:noProof/>
            <w:webHidden/>
          </w:rPr>
        </w:r>
        <w:r w:rsidR="00146DCD">
          <w:rPr>
            <w:noProof/>
            <w:webHidden/>
          </w:rPr>
          <w:fldChar w:fldCharType="separate"/>
        </w:r>
        <w:r w:rsidR="003128E1">
          <w:rPr>
            <w:noProof/>
            <w:webHidden/>
          </w:rPr>
          <w:t>22</w:t>
        </w:r>
        <w:r w:rsidR="00146DCD">
          <w:rPr>
            <w:noProof/>
            <w:webHidden/>
          </w:rPr>
          <w:fldChar w:fldCharType="end"/>
        </w:r>
      </w:hyperlink>
    </w:p>
    <w:p w14:paraId="5ED9F430" w14:textId="77777777" w:rsidR="00146DCD" w:rsidRDefault="00584911">
      <w:pPr>
        <w:pStyle w:val="TOC3"/>
        <w:rPr>
          <w:rFonts w:asciiTheme="minorHAnsi" w:eastAsiaTheme="minorEastAsia" w:hAnsiTheme="minorHAnsi" w:cstheme="minorBidi"/>
          <w:noProof/>
          <w:sz w:val="22"/>
          <w:szCs w:val="22"/>
          <w:lang w:eastAsia="en-GB"/>
        </w:rPr>
      </w:pPr>
      <w:hyperlink w:anchor="_Toc431434" w:history="1">
        <w:r w:rsidR="00146DCD" w:rsidRPr="007A4C1A">
          <w:rPr>
            <w:rStyle w:val="Hyperlink"/>
            <w:noProof/>
          </w:rPr>
          <w:t>Barriers to moving into work</w:t>
        </w:r>
        <w:r w:rsidR="00146DCD">
          <w:rPr>
            <w:noProof/>
            <w:webHidden/>
          </w:rPr>
          <w:tab/>
        </w:r>
        <w:r w:rsidR="00146DCD">
          <w:rPr>
            <w:noProof/>
            <w:webHidden/>
          </w:rPr>
          <w:fldChar w:fldCharType="begin"/>
        </w:r>
        <w:r w:rsidR="00146DCD">
          <w:rPr>
            <w:noProof/>
            <w:webHidden/>
          </w:rPr>
          <w:instrText xml:space="preserve"> PAGEREF _Toc431434 \h </w:instrText>
        </w:r>
        <w:r w:rsidR="00146DCD">
          <w:rPr>
            <w:noProof/>
            <w:webHidden/>
          </w:rPr>
        </w:r>
        <w:r w:rsidR="00146DCD">
          <w:rPr>
            <w:noProof/>
            <w:webHidden/>
          </w:rPr>
          <w:fldChar w:fldCharType="separate"/>
        </w:r>
        <w:r w:rsidR="003128E1">
          <w:rPr>
            <w:noProof/>
            <w:webHidden/>
          </w:rPr>
          <w:t>23</w:t>
        </w:r>
        <w:r w:rsidR="00146DCD">
          <w:rPr>
            <w:noProof/>
            <w:webHidden/>
          </w:rPr>
          <w:fldChar w:fldCharType="end"/>
        </w:r>
      </w:hyperlink>
    </w:p>
    <w:p w14:paraId="6A79C66D" w14:textId="77777777" w:rsidR="00146DCD" w:rsidRDefault="00584911">
      <w:pPr>
        <w:pStyle w:val="TOC3"/>
        <w:rPr>
          <w:rFonts w:asciiTheme="minorHAnsi" w:eastAsiaTheme="minorEastAsia" w:hAnsiTheme="minorHAnsi" w:cstheme="minorBidi"/>
          <w:noProof/>
          <w:sz w:val="22"/>
          <w:szCs w:val="22"/>
          <w:lang w:eastAsia="en-GB"/>
        </w:rPr>
      </w:pPr>
      <w:hyperlink w:anchor="_Toc431435" w:history="1">
        <w:r w:rsidR="00146DCD" w:rsidRPr="007A4C1A">
          <w:rPr>
            <w:rStyle w:val="Hyperlink"/>
            <w:noProof/>
          </w:rPr>
          <w:t>Childcare</w:t>
        </w:r>
        <w:r w:rsidR="00146DCD">
          <w:rPr>
            <w:noProof/>
            <w:webHidden/>
          </w:rPr>
          <w:tab/>
        </w:r>
        <w:r w:rsidR="00146DCD">
          <w:rPr>
            <w:noProof/>
            <w:webHidden/>
          </w:rPr>
          <w:fldChar w:fldCharType="begin"/>
        </w:r>
        <w:r w:rsidR="00146DCD">
          <w:rPr>
            <w:noProof/>
            <w:webHidden/>
          </w:rPr>
          <w:instrText xml:space="preserve"> PAGEREF _Toc431435 \h </w:instrText>
        </w:r>
        <w:r w:rsidR="00146DCD">
          <w:rPr>
            <w:noProof/>
            <w:webHidden/>
          </w:rPr>
        </w:r>
        <w:r w:rsidR="00146DCD">
          <w:rPr>
            <w:noProof/>
            <w:webHidden/>
          </w:rPr>
          <w:fldChar w:fldCharType="separate"/>
        </w:r>
        <w:r w:rsidR="003128E1">
          <w:rPr>
            <w:noProof/>
            <w:webHidden/>
          </w:rPr>
          <w:t>23</w:t>
        </w:r>
        <w:r w:rsidR="00146DCD">
          <w:rPr>
            <w:noProof/>
            <w:webHidden/>
          </w:rPr>
          <w:fldChar w:fldCharType="end"/>
        </w:r>
      </w:hyperlink>
    </w:p>
    <w:p w14:paraId="5CBE4080" w14:textId="77777777" w:rsidR="00146DCD" w:rsidRDefault="00584911">
      <w:pPr>
        <w:pStyle w:val="TOC3"/>
        <w:rPr>
          <w:rFonts w:asciiTheme="minorHAnsi" w:eastAsiaTheme="minorEastAsia" w:hAnsiTheme="minorHAnsi" w:cstheme="minorBidi"/>
          <w:noProof/>
          <w:sz w:val="22"/>
          <w:szCs w:val="22"/>
          <w:lang w:eastAsia="en-GB"/>
        </w:rPr>
      </w:pPr>
      <w:hyperlink w:anchor="_Toc431436" w:history="1">
        <w:r w:rsidR="00146DCD" w:rsidRPr="007A4C1A">
          <w:rPr>
            <w:rStyle w:val="Hyperlink"/>
            <w:noProof/>
          </w:rPr>
          <w:t>Poor health</w:t>
        </w:r>
        <w:r w:rsidR="00146DCD">
          <w:rPr>
            <w:noProof/>
            <w:webHidden/>
          </w:rPr>
          <w:tab/>
        </w:r>
        <w:r w:rsidR="00146DCD">
          <w:rPr>
            <w:noProof/>
            <w:webHidden/>
          </w:rPr>
          <w:fldChar w:fldCharType="begin"/>
        </w:r>
        <w:r w:rsidR="00146DCD">
          <w:rPr>
            <w:noProof/>
            <w:webHidden/>
          </w:rPr>
          <w:instrText xml:space="preserve"> PAGEREF _Toc431436 \h </w:instrText>
        </w:r>
        <w:r w:rsidR="00146DCD">
          <w:rPr>
            <w:noProof/>
            <w:webHidden/>
          </w:rPr>
        </w:r>
        <w:r w:rsidR="00146DCD">
          <w:rPr>
            <w:noProof/>
            <w:webHidden/>
          </w:rPr>
          <w:fldChar w:fldCharType="separate"/>
        </w:r>
        <w:r w:rsidR="003128E1">
          <w:rPr>
            <w:noProof/>
            <w:webHidden/>
          </w:rPr>
          <w:t>25</w:t>
        </w:r>
        <w:r w:rsidR="00146DCD">
          <w:rPr>
            <w:noProof/>
            <w:webHidden/>
          </w:rPr>
          <w:fldChar w:fldCharType="end"/>
        </w:r>
      </w:hyperlink>
    </w:p>
    <w:p w14:paraId="09BD66D7" w14:textId="77777777" w:rsidR="00146DCD" w:rsidRDefault="00584911">
      <w:pPr>
        <w:pStyle w:val="TOC3"/>
        <w:rPr>
          <w:rFonts w:asciiTheme="minorHAnsi" w:eastAsiaTheme="minorEastAsia" w:hAnsiTheme="minorHAnsi" w:cstheme="minorBidi"/>
          <w:noProof/>
          <w:sz w:val="22"/>
          <w:szCs w:val="22"/>
          <w:lang w:eastAsia="en-GB"/>
        </w:rPr>
      </w:pPr>
      <w:hyperlink w:anchor="_Toc431437" w:history="1">
        <w:r w:rsidR="00146DCD" w:rsidRPr="007A4C1A">
          <w:rPr>
            <w:rStyle w:val="Hyperlink"/>
            <w:noProof/>
          </w:rPr>
          <w:t>Department's rationale for capping households not subject to conditionality</w:t>
        </w:r>
        <w:r w:rsidR="00146DCD">
          <w:rPr>
            <w:noProof/>
            <w:webHidden/>
          </w:rPr>
          <w:tab/>
        </w:r>
        <w:r w:rsidR="00146DCD">
          <w:rPr>
            <w:noProof/>
            <w:webHidden/>
          </w:rPr>
          <w:fldChar w:fldCharType="begin"/>
        </w:r>
        <w:r w:rsidR="00146DCD">
          <w:rPr>
            <w:noProof/>
            <w:webHidden/>
          </w:rPr>
          <w:instrText xml:space="preserve"> PAGEREF _Toc431437 \h </w:instrText>
        </w:r>
        <w:r w:rsidR="00146DCD">
          <w:rPr>
            <w:noProof/>
            <w:webHidden/>
          </w:rPr>
        </w:r>
        <w:r w:rsidR="00146DCD">
          <w:rPr>
            <w:noProof/>
            <w:webHidden/>
          </w:rPr>
          <w:fldChar w:fldCharType="separate"/>
        </w:r>
        <w:r w:rsidR="003128E1">
          <w:rPr>
            <w:noProof/>
            <w:webHidden/>
          </w:rPr>
          <w:t>28</w:t>
        </w:r>
        <w:r w:rsidR="00146DCD">
          <w:rPr>
            <w:noProof/>
            <w:webHidden/>
          </w:rPr>
          <w:fldChar w:fldCharType="end"/>
        </w:r>
      </w:hyperlink>
    </w:p>
    <w:p w14:paraId="421EEEA4" w14:textId="77777777" w:rsidR="00146DCD" w:rsidRDefault="00584911">
      <w:pPr>
        <w:pStyle w:val="TOC2"/>
        <w:rPr>
          <w:rFonts w:asciiTheme="minorHAnsi" w:eastAsiaTheme="minorEastAsia" w:hAnsiTheme="minorHAnsi" w:cstheme="minorBidi"/>
          <w:noProof/>
          <w:sz w:val="22"/>
          <w:szCs w:val="22"/>
          <w:lang w:eastAsia="en-GB"/>
        </w:rPr>
      </w:pPr>
      <w:hyperlink w:anchor="_Toc431438" w:history="1">
        <w:r w:rsidR="00146DCD" w:rsidRPr="007A4C1A">
          <w:rPr>
            <w:rStyle w:val="Hyperlink"/>
            <w:noProof/>
          </w:rPr>
          <w:t>Other ways to escape the cap</w:t>
        </w:r>
        <w:r w:rsidR="00146DCD">
          <w:rPr>
            <w:noProof/>
            <w:webHidden/>
          </w:rPr>
          <w:tab/>
        </w:r>
        <w:r w:rsidR="00146DCD">
          <w:rPr>
            <w:noProof/>
            <w:webHidden/>
          </w:rPr>
          <w:fldChar w:fldCharType="begin"/>
        </w:r>
        <w:r w:rsidR="00146DCD">
          <w:rPr>
            <w:noProof/>
            <w:webHidden/>
          </w:rPr>
          <w:instrText xml:space="preserve"> PAGEREF _Toc431438 \h </w:instrText>
        </w:r>
        <w:r w:rsidR="00146DCD">
          <w:rPr>
            <w:noProof/>
            <w:webHidden/>
          </w:rPr>
        </w:r>
        <w:r w:rsidR="00146DCD">
          <w:rPr>
            <w:noProof/>
            <w:webHidden/>
          </w:rPr>
          <w:fldChar w:fldCharType="separate"/>
        </w:r>
        <w:r w:rsidR="003128E1">
          <w:rPr>
            <w:noProof/>
            <w:webHidden/>
          </w:rPr>
          <w:t>29</w:t>
        </w:r>
        <w:r w:rsidR="00146DCD">
          <w:rPr>
            <w:noProof/>
            <w:webHidden/>
          </w:rPr>
          <w:fldChar w:fldCharType="end"/>
        </w:r>
      </w:hyperlink>
    </w:p>
    <w:p w14:paraId="37B5EDAF" w14:textId="77777777" w:rsidR="00146DCD" w:rsidRDefault="00584911">
      <w:pPr>
        <w:pStyle w:val="TOC3"/>
        <w:rPr>
          <w:rFonts w:asciiTheme="minorHAnsi" w:eastAsiaTheme="minorEastAsia" w:hAnsiTheme="minorHAnsi" w:cstheme="minorBidi"/>
          <w:noProof/>
          <w:sz w:val="22"/>
          <w:szCs w:val="22"/>
          <w:lang w:eastAsia="en-GB"/>
        </w:rPr>
      </w:pPr>
      <w:hyperlink w:anchor="_Toc431439" w:history="1">
        <w:r w:rsidR="00146DCD" w:rsidRPr="007A4C1A">
          <w:rPr>
            <w:rStyle w:val="Hyperlink"/>
            <w:noProof/>
          </w:rPr>
          <w:t>Moving house</w:t>
        </w:r>
        <w:r w:rsidR="00146DCD">
          <w:rPr>
            <w:noProof/>
            <w:webHidden/>
          </w:rPr>
          <w:tab/>
        </w:r>
        <w:r w:rsidR="00146DCD">
          <w:rPr>
            <w:noProof/>
            <w:webHidden/>
          </w:rPr>
          <w:fldChar w:fldCharType="begin"/>
        </w:r>
        <w:r w:rsidR="00146DCD">
          <w:rPr>
            <w:noProof/>
            <w:webHidden/>
          </w:rPr>
          <w:instrText xml:space="preserve"> PAGEREF _Toc431439 \h </w:instrText>
        </w:r>
        <w:r w:rsidR="00146DCD">
          <w:rPr>
            <w:noProof/>
            <w:webHidden/>
          </w:rPr>
        </w:r>
        <w:r w:rsidR="00146DCD">
          <w:rPr>
            <w:noProof/>
            <w:webHidden/>
          </w:rPr>
          <w:fldChar w:fldCharType="separate"/>
        </w:r>
        <w:r w:rsidR="003128E1">
          <w:rPr>
            <w:noProof/>
            <w:webHidden/>
          </w:rPr>
          <w:t>29</w:t>
        </w:r>
        <w:r w:rsidR="00146DCD">
          <w:rPr>
            <w:noProof/>
            <w:webHidden/>
          </w:rPr>
          <w:fldChar w:fldCharType="end"/>
        </w:r>
      </w:hyperlink>
    </w:p>
    <w:p w14:paraId="596C1FD3" w14:textId="77777777" w:rsidR="00146DCD" w:rsidRDefault="00584911">
      <w:pPr>
        <w:pStyle w:val="TOC3"/>
        <w:rPr>
          <w:rFonts w:asciiTheme="minorHAnsi" w:eastAsiaTheme="minorEastAsia" w:hAnsiTheme="minorHAnsi" w:cstheme="minorBidi"/>
          <w:noProof/>
          <w:sz w:val="22"/>
          <w:szCs w:val="22"/>
          <w:lang w:eastAsia="en-GB"/>
        </w:rPr>
      </w:pPr>
      <w:hyperlink w:anchor="_Toc431440" w:history="1">
        <w:r w:rsidR="00146DCD" w:rsidRPr="007A4C1A">
          <w:rPr>
            <w:rStyle w:val="Hyperlink"/>
            <w:noProof/>
          </w:rPr>
          <w:t>Negotiating a cheaper rent</w:t>
        </w:r>
        <w:r w:rsidR="00146DCD">
          <w:rPr>
            <w:noProof/>
            <w:webHidden/>
          </w:rPr>
          <w:tab/>
        </w:r>
        <w:r w:rsidR="00146DCD">
          <w:rPr>
            <w:noProof/>
            <w:webHidden/>
          </w:rPr>
          <w:fldChar w:fldCharType="begin"/>
        </w:r>
        <w:r w:rsidR="00146DCD">
          <w:rPr>
            <w:noProof/>
            <w:webHidden/>
          </w:rPr>
          <w:instrText xml:space="preserve"> PAGEREF _Toc431440 \h </w:instrText>
        </w:r>
        <w:r w:rsidR="00146DCD">
          <w:rPr>
            <w:noProof/>
            <w:webHidden/>
          </w:rPr>
        </w:r>
        <w:r w:rsidR="00146DCD">
          <w:rPr>
            <w:noProof/>
            <w:webHidden/>
          </w:rPr>
          <w:fldChar w:fldCharType="separate"/>
        </w:r>
        <w:r w:rsidR="003128E1">
          <w:rPr>
            <w:noProof/>
            <w:webHidden/>
          </w:rPr>
          <w:t>31</w:t>
        </w:r>
        <w:r w:rsidR="00146DCD">
          <w:rPr>
            <w:noProof/>
            <w:webHidden/>
          </w:rPr>
          <w:fldChar w:fldCharType="end"/>
        </w:r>
      </w:hyperlink>
    </w:p>
    <w:p w14:paraId="240DC5E9" w14:textId="77777777" w:rsidR="00146DCD" w:rsidRDefault="00584911">
      <w:pPr>
        <w:pStyle w:val="TOC3"/>
        <w:rPr>
          <w:rFonts w:asciiTheme="minorHAnsi" w:eastAsiaTheme="minorEastAsia" w:hAnsiTheme="minorHAnsi" w:cstheme="minorBidi"/>
          <w:noProof/>
          <w:sz w:val="22"/>
          <w:szCs w:val="22"/>
          <w:lang w:eastAsia="en-GB"/>
        </w:rPr>
      </w:pPr>
      <w:hyperlink w:anchor="_Toc431441" w:history="1">
        <w:r w:rsidR="00146DCD" w:rsidRPr="007A4C1A">
          <w:rPr>
            <w:rStyle w:val="Hyperlink"/>
            <w:noProof/>
          </w:rPr>
          <w:t>Taking in a lodger</w:t>
        </w:r>
        <w:r w:rsidR="00146DCD">
          <w:rPr>
            <w:noProof/>
            <w:webHidden/>
          </w:rPr>
          <w:tab/>
        </w:r>
        <w:r w:rsidR="00146DCD">
          <w:rPr>
            <w:noProof/>
            <w:webHidden/>
          </w:rPr>
          <w:fldChar w:fldCharType="begin"/>
        </w:r>
        <w:r w:rsidR="00146DCD">
          <w:rPr>
            <w:noProof/>
            <w:webHidden/>
          </w:rPr>
          <w:instrText xml:space="preserve"> PAGEREF _Toc431441 \h </w:instrText>
        </w:r>
        <w:r w:rsidR="00146DCD">
          <w:rPr>
            <w:noProof/>
            <w:webHidden/>
          </w:rPr>
        </w:r>
        <w:r w:rsidR="00146DCD">
          <w:rPr>
            <w:noProof/>
            <w:webHidden/>
          </w:rPr>
          <w:fldChar w:fldCharType="separate"/>
        </w:r>
        <w:r w:rsidR="003128E1">
          <w:rPr>
            <w:noProof/>
            <w:webHidden/>
          </w:rPr>
          <w:t>32</w:t>
        </w:r>
        <w:r w:rsidR="00146DCD">
          <w:rPr>
            <w:noProof/>
            <w:webHidden/>
          </w:rPr>
          <w:fldChar w:fldCharType="end"/>
        </w:r>
      </w:hyperlink>
    </w:p>
    <w:p w14:paraId="3F6E3078" w14:textId="77777777" w:rsidR="00146DCD" w:rsidRDefault="00584911">
      <w:pPr>
        <w:pStyle w:val="TOC1"/>
        <w:rPr>
          <w:rFonts w:asciiTheme="minorHAnsi" w:eastAsiaTheme="minorEastAsia" w:hAnsiTheme="minorHAnsi" w:cstheme="minorBidi"/>
          <w:b w:val="0"/>
          <w:noProof/>
          <w:color w:val="auto"/>
          <w:sz w:val="22"/>
          <w:szCs w:val="22"/>
          <w:lang w:eastAsia="en-GB"/>
        </w:rPr>
      </w:pPr>
      <w:hyperlink w:anchor="_Toc431442" w:history="1">
        <w:r w:rsidR="00146DCD" w:rsidRPr="007A4C1A">
          <w:rPr>
            <w:rStyle w:val="Hyperlink"/>
            <w:noProof/>
          </w:rPr>
          <w:t>Chapter 3: Is the benefit cap fair?</w:t>
        </w:r>
        <w:r w:rsidR="00146DCD">
          <w:rPr>
            <w:noProof/>
            <w:webHidden/>
          </w:rPr>
          <w:tab/>
        </w:r>
        <w:r w:rsidR="00146DCD">
          <w:rPr>
            <w:noProof/>
            <w:webHidden/>
          </w:rPr>
          <w:fldChar w:fldCharType="begin"/>
        </w:r>
        <w:r w:rsidR="00146DCD">
          <w:rPr>
            <w:noProof/>
            <w:webHidden/>
          </w:rPr>
          <w:instrText xml:space="preserve"> PAGEREF _Toc431442 \h </w:instrText>
        </w:r>
        <w:r w:rsidR="00146DCD">
          <w:rPr>
            <w:noProof/>
            <w:webHidden/>
          </w:rPr>
        </w:r>
        <w:r w:rsidR="00146DCD">
          <w:rPr>
            <w:noProof/>
            <w:webHidden/>
          </w:rPr>
          <w:fldChar w:fldCharType="separate"/>
        </w:r>
        <w:r w:rsidR="003128E1">
          <w:rPr>
            <w:noProof/>
            <w:webHidden/>
          </w:rPr>
          <w:t>33</w:t>
        </w:r>
        <w:r w:rsidR="00146DCD">
          <w:rPr>
            <w:noProof/>
            <w:webHidden/>
          </w:rPr>
          <w:fldChar w:fldCharType="end"/>
        </w:r>
      </w:hyperlink>
    </w:p>
    <w:p w14:paraId="0146479C" w14:textId="77777777" w:rsidR="00146DCD" w:rsidRDefault="00584911">
      <w:pPr>
        <w:pStyle w:val="TOC2"/>
        <w:rPr>
          <w:rFonts w:asciiTheme="minorHAnsi" w:eastAsiaTheme="minorEastAsia" w:hAnsiTheme="minorHAnsi" w:cstheme="minorBidi"/>
          <w:noProof/>
          <w:sz w:val="22"/>
          <w:szCs w:val="22"/>
          <w:lang w:eastAsia="en-GB"/>
        </w:rPr>
      </w:pPr>
      <w:hyperlink w:anchor="_Toc431443" w:history="1">
        <w:r w:rsidR="00146DCD" w:rsidRPr="007A4C1A">
          <w:rPr>
            <w:rStyle w:val="Hyperlink"/>
            <w:noProof/>
          </w:rPr>
          <w:t>Fairness in the existing benefit system</w:t>
        </w:r>
        <w:r w:rsidR="00146DCD">
          <w:rPr>
            <w:noProof/>
            <w:webHidden/>
          </w:rPr>
          <w:tab/>
        </w:r>
        <w:r w:rsidR="00146DCD">
          <w:rPr>
            <w:noProof/>
            <w:webHidden/>
          </w:rPr>
          <w:fldChar w:fldCharType="begin"/>
        </w:r>
        <w:r w:rsidR="00146DCD">
          <w:rPr>
            <w:noProof/>
            <w:webHidden/>
          </w:rPr>
          <w:instrText xml:space="preserve"> PAGEREF _Toc431443 \h </w:instrText>
        </w:r>
        <w:r w:rsidR="00146DCD">
          <w:rPr>
            <w:noProof/>
            <w:webHidden/>
          </w:rPr>
        </w:r>
        <w:r w:rsidR="00146DCD">
          <w:rPr>
            <w:noProof/>
            <w:webHidden/>
          </w:rPr>
          <w:fldChar w:fldCharType="separate"/>
        </w:r>
        <w:r w:rsidR="003128E1">
          <w:rPr>
            <w:noProof/>
            <w:webHidden/>
          </w:rPr>
          <w:t>34</w:t>
        </w:r>
        <w:r w:rsidR="00146DCD">
          <w:rPr>
            <w:noProof/>
            <w:webHidden/>
          </w:rPr>
          <w:fldChar w:fldCharType="end"/>
        </w:r>
      </w:hyperlink>
    </w:p>
    <w:p w14:paraId="0035E140" w14:textId="77777777" w:rsidR="00146DCD" w:rsidRDefault="00584911">
      <w:pPr>
        <w:pStyle w:val="TOC3"/>
        <w:rPr>
          <w:rFonts w:asciiTheme="minorHAnsi" w:eastAsiaTheme="minorEastAsia" w:hAnsiTheme="minorHAnsi" w:cstheme="minorBidi"/>
          <w:noProof/>
          <w:sz w:val="22"/>
          <w:szCs w:val="22"/>
          <w:lang w:eastAsia="en-GB"/>
        </w:rPr>
      </w:pPr>
      <w:hyperlink w:anchor="_Toc431444" w:history="1">
        <w:r w:rsidR="00146DCD" w:rsidRPr="007A4C1A">
          <w:rPr>
            <w:rStyle w:val="Hyperlink"/>
            <w:noProof/>
          </w:rPr>
          <w:t>Interaction with the two-child limit</w:t>
        </w:r>
        <w:r w:rsidR="00146DCD">
          <w:rPr>
            <w:noProof/>
            <w:webHidden/>
          </w:rPr>
          <w:tab/>
        </w:r>
        <w:r w:rsidR="00146DCD">
          <w:rPr>
            <w:noProof/>
            <w:webHidden/>
          </w:rPr>
          <w:fldChar w:fldCharType="begin"/>
        </w:r>
        <w:r w:rsidR="00146DCD">
          <w:rPr>
            <w:noProof/>
            <w:webHidden/>
          </w:rPr>
          <w:instrText xml:space="preserve"> PAGEREF _Toc431444 \h </w:instrText>
        </w:r>
        <w:r w:rsidR="00146DCD">
          <w:rPr>
            <w:noProof/>
            <w:webHidden/>
          </w:rPr>
        </w:r>
        <w:r w:rsidR="00146DCD">
          <w:rPr>
            <w:noProof/>
            <w:webHidden/>
          </w:rPr>
          <w:fldChar w:fldCharType="separate"/>
        </w:r>
        <w:r w:rsidR="003128E1">
          <w:rPr>
            <w:noProof/>
            <w:webHidden/>
          </w:rPr>
          <w:t>36</w:t>
        </w:r>
        <w:r w:rsidR="00146DCD">
          <w:rPr>
            <w:noProof/>
            <w:webHidden/>
          </w:rPr>
          <w:fldChar w:fldCharType="end"/>
        </w:r>
      </w:hyperlink>
    </w:p>
    <w:p w14:paraId="2E0F02DC" w14:textId="77777777" w:rsidR="00146DCD" w:rsidRDefault="00584911">
      <w:pPr>
        <w:pStyle w:val="TOC2"/>
        <w:rPr>
          <w:rFonts w:asciiTheme="minorHAnsi" w:eastAsiaTheme="minorEastAsia" w:hAnsiTheme="minorHAnsi" w:cstheme="minorBidi"/>
          <w:noProof/>
          <w:sz w:val="22"/>
          <w:szCs w:val="22"/>
          <w:lang w:eastAsia="en-GB"/>
        </w:rPr>
      </w:pPr>
      <w:hyperlink w:anchor="_Toc431445" w:history="1">
        <w:r w:rsidR="00146DCD" w:rsidRPr="007A4C1A">
          <w:rPr>
            <w:rStyle w:val="Hyperlink"/>
            <w:noProof/>
          </w:rPr>
          <w:t>Impact on claimants unable to escape the cap</w:t>
        </w:r>
        <w:r w:rsidR="00146DCD">
          <w:rPr>
            <w:noProof/>
            <w:webHidden/>
          </w:rPr>
          <w:tab/>
        </w:r>
        <w:r w:rsidR="00146DCD">
          <w:rPr>
            <w:noProof/>
            <w:webHidden/>
          </w:rPr>
          <w:fldChar w:fldCharType="begin"/>
        </w:r>
        <w:r w:rsidR="00146DCD">
          <w:rPr>
            <w:noProof/>
            <w:webHidden/>
          </w:rPr>
          <w:instrText xml:space="preserve"> PAGEREF _Toc431445 \h </w:instrText>
        </w:r>
        <w:r w:rsidR="00146DCD">
          <w:rPr>
            <w:noProof/>
            <w:webHidden/>
          </w:rPr>
        </w:r>
        <w:r w:rsidR="00146DCD">
          <w:rPr>
            <w:noProof/>
            <w:webHidden/>
          </w:rPr>
          <w:fldChar w:fldCharType="separate"/>
        </w:r>
        <w:r w:rsidR="003128E1">
          <w:rPr>
            <w:noProof/>
            <w:webHidden/>
          </w:rPr>
          <w:t>38</w:t>
        </w:r>
        <w:r w:rsidR="00146DCD">
          <w:rPr>
            <w:noProof/>
            <w:webHidden/>
          </w:rPr>
          <w:fldChar w:fldCharType="end"/>
        </w:r>
      </w:hyperlink>
    </w:p>
    <w:p w14:paraId="10ED7027" w14:textId="77777777" w:rsidR="00146DCD" w:rsidRDefault="00584911">
      <w:pPr>
        <w:pStyle w:val="TOC3"/>
        <w:rPr>
          <w:rFonts w:asciiTheme="minorHAnsi" w:eastAsiaTheme="minorEastAsia" w:hAnsiTheme="minorHAnsi" w:cstheme="minorBidi"/>
          <w:noProof/>
          <w:sz w:val="22"/>
          <w:szCs w:val="22"/>
          <w:lang w:eastAsia="en-GB"/>
        </w:rPr>
      </w:pPr>
      <w:hyperlink w:anchor="_Toc431446" w:history="1">
        <w:r w:rsidR="00146DCD" w:rsidRPr="007A4C1A">
          <w:rPr>
            <w:rStyle w:val="Hyperlink"/>
            <w:noProof/>
          </w:rPr>
          <w:t>Financial shortfalls</w:t>
        </w:r>
        <w:r w:rsidR="00146DCD">
          <w:rPr>
            <w:noProof/>
            <w:webHidden/>
          </w:rPr>
          <w:tab/>
        </w:r>
        <w:r w:rsidR="00146DCD">
          <w:rPr>
            <w:noProof/>
            <w:webHidden/>
          </w:rPr>
          <w:fldChar w:fldCharType="begin"/>
        </w:r>
        <w:r w:rsidR="00146DCD">
          <w:rPr>
            <w:noProof/>
            <w:webHidden/>
          </w:rPr>
          <w:instrText xml:space="preserve"> PAGEREF _Toc431446 \h </w:instrText>
        </w:r>
        <w:r w:rsidR="00146DCD">
          <w:rPr>
            <w:noProof/>
            <w:webHidden/>
          </w:rPr>
        </w:r>
        <w:r w:rsidR="00146DCD">
          <w:rPr>
            <w:noProof/>
            <w:webHidden/>
          </w:rPr>
          <w:fldChar w:fldCharType="separate"/>
        </w:r>
        <w:r w:rsidR="003128E1">
          <w:rPr>
            <w:noProof/>
            <w:webHidden/>
          </w:rPr>
          <w:t>39</w:t>
        </w:r>
        <w:r w:rsidR="00146DCD">
          <w:rPr>
            <w:noProof/>
            <w:webHidden/>
          </w:rPr>
          <w:fldChar w:fldCharType="end"/>
        </w:r>
      </w:hyperlink>
    </w:p>
    <w:p w14:paraId="7FF4350C" w14:textId="77777777" w:rsidR="00146DCD" w:rsidRDefault="00584911">
      <w:pPr>
        <w:pStyle w:val="TOC3"/>
        <w:rPr>
          <w:rFonts w:asciiTheme="minorHAnsi" w:eastAsiaTheme="minorEastAsia" w:hAnsiTheme="minorHAnsi" w:cstheme="minorBidi"/>
          <w:noProof/>
          <w:sz w:val="22"/>
          <w:szCs w:val="22"/>
          <w:lang w:eastAsia="en-GB"/>
        </w:rPr>
      </w:pPr>
      <w:hyperlink w:anchor="_Toc431447" w:history="1">
        <w:r w:rsidR="00146DCD" w:rsidRPr="007A4C1A">
          <w:rPr>
            <w:rStyle w:val="Hyperlink"/>
            <w:noProof/>
          </w:rPr>
          <w:t>Impact</w:t>
        </w:r>
        <w:r w:rsidR="00146DCD">
          <w:rPr>
            <w:noProof/>
            <w:webHidden/>
          </w:rPr>
          <w:tab/>
        </w:r>
        <w:r w:rsidR="00146DCD">
          <w:rPr>
            <w:noProof/>
            <w:webHidden/>
          </w:rPr>
          <w:fldChar w:fldCharType="begin"/>
        </w:r>
        <w:r w:rsidR="00146DCD">
          <w:rPr>
            <w:noProof/>
            <w:webHidden/>
          </w:rPr>
          <w:instrText xml:space="preserve"> PAGEREF _Toc431447 \h </w:instrText>
        </w:r>
        <w:r w:rsidR="00146DCD">
          <w:rPr>
            <w:noProof/>
            <w:webHidden/>
          </w:rPr>
        </w:r>
        <w:r w:rsidR="00146DCD">
          <w:rPr>
            <w:noProof/>
            <w:webHidden/>
          </w:rPr>
          <w:fldChar w:fldCharType="separate"/>
        </w:r>
        <w:r w:rsidR="003128E1">
          <w:rPr>
            <w:noProof/>
            <w:webHidden/>
          </w:rPr>
          <w:t>41</w:t>
        </w:r>
        <w:r w:rsidR="00146DCD">
          <w:rPr>
            <w:noProof/>
            <w:webHidden/>
          </w:rPr>
          <w:fldChar w:fldCharType="end"/>
        </w:r>
      </w:hyperlink>
    </w:p>
    <w:p w14:paraId="56A405FE" w14:textId="77777777" w:rsidR="00146DCD" w:rsidRDefault="00584911">
      <w:pPr>
        <w:pStyle w:val="TOC3"/>
        <w:rPr>
          <w:rFonts w:asciiTheme="minorHAnsi" w:eastAsiaTheme="minorEastAsia" w:hAnsiTheme="minorHAnsi" w:cstheme="minorBidi"/>
          <w:noProof/>
          <w:sz w:val="22"/>
          <w:szCs w:val="22"/>
          <w:lang w:eastAsia="en-GB"/>
        </w:rPr>
      </w:pPr>
      <w:hyperlink w:anchor="_Toc431448" w:history="1">
        <w:r w:rsidR="00146DCD" w:rsidRPr="007A4C1A">
          <w:rPr>
            <w:rStyle w:val="Hyperlink"/>
            <w:noProof/>
          </w:rPr>
          <w:t>Impact on children</w:t>
        </w:r>
        <w:r w:rsidR="00146DCD">
          <w:rPr>
            <w:noProof/>
            <w:webHidden/>
          </w:rPr>
          <w:tab/>
        </w:r>
        <w:r w:rsidR="00146DCD">
          <w:rPr>
            <w:noProof/>
            <w:webHidden/>
          </w:rPr>
          <w:fldChar w:fldCharType="begin"/>
        </w:r>
        <w:r w:rsidR="00146DCD">
          <w:rPr>
            <w:noProof/>
            <w:webHidden/>
          </w:rPr>
          <w:instrText xml:space="preserve"> PAGEREF _Toc431448 \h </w:instrText>
        </w:r>
        <w:r w:rsidR="00146DCD">
          <w:rPr>
            <w:noProof/>
            <w:webHidden/>
          </w:rPr>
        </w:r>
        <w:r w:rsidR="00146DCD">
          <w:rPr>
            <w:noProof/>
            <w:webHidden/>
          </w:rPr>
          <w:fldChar w:fldCharType="separate"/>
        </w:r>
        <w:r w:rsidR="003128E1">
          <w:rPr>
            <w:noProof/>
            <w:webHidden/>
          </w:rPr>
          <w:t>43</w:t>
        </w:r>
        <w:r w:rsidR="00146DCD">
          <w:rPr>
            <w:noProof/>
            <w:webHidden/>
          </w:rPr>
          <w:fldChar w:fldCharType="end"/>
        </w:r>
      </w:hyperlink>
    </w:p>
    <w:p w14:paraId="6D86CC32" w14:textId="77777777" w:rsidR="00146DCD" w:rsidRDefault="00584911">
      <w:pPr>
        <w:pStyle w:val="TOC2"/>
        <w:rPr>
          <w:rFonts w:asciiTheme="minorHAnsi" w:eastAsiaTheme="minorEastAsia" w:hAnsiTheme="minorHAnsi" w:cstheme="minorBidi"/>
          <w:noProof/>
          <w:sz w:val="22"/>
          <w:szCs w:val="22"/>
          <w:lang w:eastAsia="en-GB"/>
        </w:rPr>
      </w:pPr>
      <w:hyperlink w:anchor="_Toc431449" w:history="1">
        <w:r w:rsidR="00146DCD" w:rsidRPr="007A4C1A">
          <w:rPr>
            <w:rStyle w:val="Hyperlink"/>
            <w:noProof/>
          </w:rPr>
          <w:t>Monitoring the impact of the cap</w:t>
        </w:r>
        <w:r w:rsidR="00146DCD">
          <w:rPr>
            <w:noProof/>
            <w:webHidden/>
          </w:rPr>
          <w:tab/>
        </w:r>
        <w:r w:rsidR="00146DCD">
          <w:rPr>
            <w:noProof/>
            <w:webHidden/>
          </w:rPr>
          <w:fldChar w:fldCharType="begin"/>
        </w:r>
        <w:r w:rsidR="00146DCD">
          <w:rPr>
            <w:noProof/>
            <w:webHidden/>
          </w:rPr>
          <w:instrText xml:space="preserve"> PAGEREF _Toc431449 \h </w:instrText>
        </w:r>
        <w:r w:rsidR="00146DCD">
          <w:rPr>
            <w:noProof/>
            <w:webHidden/>
          </w:rPr>
        </w:r>
        <w:r w:rsidR="00146DCD">
          <w:rPr>
            <w:noProof/>
            <w:webHidden/>
          </w:rPr>
          <w:fldChar w:fldCharType="separate"/>
        </w:r>
        <w:r w:rsidR="003128E1">
          <w:rPr>
            <w:noProof/>
            <w:webHidden/>
          </w:rPr>
          <w:t>45</w:t>
        </w:r>
        <w:r w:rsidR="00146DCD">
          <w:rPr>
            <w:noProof/>
            <w:webHidden/>
          </w:rPr>
          <w:fldChar w:fldCharType="end"/>
        </w:r>
      </w:hyperlink>
    </w:p>
    <w:p w14:paraId="67547BB8" w14:textId="77777777" w:rsidR="00146DCD" w:rsidRDefault="00584911">
      <w:pPr>
        <w:pStyle w:val="TOC3"/>
        <w:rPr>
          <w:rFonts w:asciiTheme="minorHAnsi" w:eastAsiaTheme="minorEastAsia" w:hAnsiTheme="minorHAnsi" w:cstheme="minorBidi"/>
          <w:noProof/>
          <w:sz w:val="22"/>
          <w:szCs w:val="22"/>
          <w:lang w:eastAsia="en-GB"/>
        </w:rPr>
      </w:pPr>
      <w:hyperlink w:anchor="_Toc431450" w:history="1">
        <w:r w:rsidR="00146DCD" w:rsidRPr="007A4C1A">
          <w:rPr>
            <w:rStyle w:val="Hyperlink"/>
            <w:noProof/>
          </w:rPr>
          <w:t>Reassessing the cap limits</w:t>
        </w:r>
        <w:r w:rsidR="00146DCD">
          <w:rPr>
            <w:noProof/>
            <w:webHidden/>
          </w:rPr>
          <w:tab/>
        </w:r>
        <w:r w:rsidR="00146DCD">
          <w:rPr>
            <w:noProof/>
            <w:webHidden/>
          </w:rPr>
          <w:fldChar w:fldCharType="begin"/>
        </w:r>
        <w:r w:rsidR="00146DCD">
          <w:rPr>
            <w:noProof/>
            <w:webHidden/>
          </w:rPr>
          <w:instrText xml:space="preserve"> PAGEREF _Toc431450 \h </w:instrText>
        </w:r>
        <w:r w:rsidR="00146DCD">
          <w:rPr>
            <w:noProof/>
            <w:webHidden/>
          </w:rPr>
        </w:r>
        <w:r w:rsidR="00146DCD">
          <w:rPr>
            <w:noProof/>
            <w:webHidden/>
          </w:rPr>
          <w:fldChar w:fldCharType="separate"/>
        </w:r>
        <w:r w:rsidR="003128E1">
          <w:rPr>
            <w:noProof/>
            <w:webHidden/>
          </w:rPr>
          <w:t>46</w:t>
        </w:r>
        <w:r w:rsidR="00146DCD">
          <w:rPr>
            <w:noProof/>
            <w:webHidden/>
          </w:rPr>
          <w:fldChar w:fldCharType="end"/>
        </w:r>
      </w:hyperlink>
    </w:p>
    <w:p w14:paraId="2F1B2EDE" w14:textId="77777777" w:rsidR="00146DCD" w:rsidRDefault="00584911">
      <w:pPr>
        <w:pStyle w:val="TOC2"/>
        <w:rPr>
          <w:rFonts w:asciiTheme="minorHAnsi" w:eastAsiaTheme="minorEastAsia" w:hAnsiTheme="minorHAnsi" w:cstheme="minorBidi"/>
          <w:noProof/>
          <w:sz w:val="22"/>
          <w:szCs w:val="22"/>
          <w:lang w:eastAsia="en-GB"/>
        </w:rPr>
      </w:pPr>
      <w:hyperlink w:anchor="_Toc431451" w:history="1">
        <w:r w:rsidR="00146DCD" w:rsidRPr="007A4C1A">
          <w:rPr>
            <w:rStyle w:val="Hyperlink"/>
            <w:noProof/>
          </w:rPr>
          <w:t>Temporary accommodation</w:t>
        </w:r>
        <w:r w:rsidR="00146DCD">
          <w:rPr>
            <w:noProof/>
            <w:webHidden/>
          </w:rPr>
          <w:tab/>
        </w:r>
        <w:r w:rsidR="00146DCD">
          <w:rPr>
            <w:noProof/>
            <w:webHidden/>
          </w:rPr>
          <w:fldChar w:fldCharType="begin"/>
        </w:r>
        <w:r w:rsidR="00146DCD">
          <w:rPr>
            <w:noProof/>
            <w:webHidden/>
          </w:rPr>
          <w:instrText xml:space="preserve"> PAGEREF _Toc431451 \h </w:instrText>
        </w:r>
        <w:r w:rsidR="00146DCD">
          <w:rPr>
            <w:noProof/>
            <w:webHidden/>
          </w:rPr>
        </w:r>
        <w:r w:rsidR="00146DCD">
          <w:rPr>
            <w:noProof/>
            <w:webHidden/>
          </w:rPr>
          <w:fldChar w:fldCharType="separate"/>
        </w:r>
        <w:r w:rsidR="003128E1">
          <w:rPr>
            <w:noProof/>
            <w:webHidden/>
          </w:rPr>
          <w:t>46</w:t>
        </w:r>
        <w:r w:rsidR="00146DCD">
          <w:rPr>
            <w:noProof/>
            <w:webHidden/>
          </w:rPr>
          <w:fldChar w:fldCharType="end"/>
        </w:r>
      </w:hyperlink>
    </w:p>
    <w:p w14:paraId="40E1B924" w14:textId="77777777" w:rsidR="00146DCD" w:rsidRDefault="00584911">
      <w:pPr>
        <w:pStyle w:val="TOC3"/>
        <w:rPr>
          <w:rFonts w:asciiTheme="minorHAnsi" w:eastAsiaTheme="minorEastAsia" w:hAnsiTheme="minorHAnsi" w:cstheme="minorBidi"/>
          <w:noProof/>
          <w:sz w:val="22"/>
          <w:szCs w:val="22"/>
          <w:lang w:eastAsia="en-GB"/>
        </w:rPr>
      </w:pPr>
      <w:hyperlink w:anchor="_Toc431452" w:history="1">
        <w:r w:rsidR="00146DCD" w:rsidRPr="007A4C1A">
          <w:rPr>
            <w:rStyle w:val="Hyperlink"/>
            <w:noProof/>
          </w:rPr>
          <w:t>Department's rationale for capping households in temporary accommodation</w:t>
        </w:r>
        <w:r w:rsidR="00146DCD">
          <w:rPr>
            <w:noProof/>
            <w:webHidden/>
          </w:rPr>
          <w:tab/>
        </w:r>
        <w:r w:rsidR="00146DCD">
          <w:rPr>
            <w:noProof/>
            <w:webHidden/>
          </w:rPr>
          <w:fldChar w:fldCharType="begin"/>
        </w:r>
        <w:r w:rsidR="00146DCD">
          <w:rPr>
            <w:noProof/>
            <w:webHidden/>
          </w:rPr>
          <w:instrText xml:space="preserve"> PAGEREF _Toc431452 \h </w:instrText>
        </w:r>
        <w:r w:rsidR="00146DCD">
          <w:rPr>
            <w:noProof/>
            <w:webHidden/>
          </w:rPr>
        </w:r>
        <w:r w:rsidR="00146DCD">
          <w:rPr>
            <w:noProof/>
            <w:webHidden/>
          </w:rPr>
          <w:fldChar w:fldCharType="separate"/>
        </w:r>
        <w:r w:rsidR="003128E1">
          <w:rPr>
            <w:noProof/>
            <w:webHidden/>
          </w:rPr>
          <w:t>48</w:t>
        </w:r>
        <w:r w:rsidR="00146DCD">
          <w:rPr>
            <w:noProof/>
            <w:webHidden/>
          </w:rPr>
          <w:fldChar w:fldCharType="end"/>
        </w:r>
      </w:hyperlink>
    </w:p>
    <w:p w14:paraId="2E88604A" w14:textId="77777777" w:rsidR="00146DCD" w:rsidRDefault="00584911">
      <w:pPr>
        <w:pStyle w:val="TOC2"/>
        <w:rPr>
          <w:rFonts w:asciiTheme="minorHAnsi" w:eastAsiaTheme="minorEastAsia" w:hAnsiTheme="minorHAnsi" w:cstheme="minorBidi"/>
          <w:noProof/>
          <w:sz w:val="22"/>
          <w:szCs w:val="22"/>
          <w:lang w:eastAsia="en-GB"/>
        </w:rPr>
      </w:pPr>
      <w:hyperlink w:anchor="_Toc431453" w:history="1">
        <w:r w:rsidR="00146DCD" w:rsidRPr="007A4C1A">
          <w:rPr>
            <w:rStyle w:val="Hyperlink"/>
            <w:noProof/>
          </w:rPr>
          <w:t>UC claimants</w:t>
        </w:r>
        <w:r w:rsidR="00146DCD">
          <w:rPr>
            <w:noProof/>
            <w:webHidden/>
          </w:rPr>
          <w:tab/>
        </w:r>
        <w:r w:rsidR="00146DCD">
          <w:rPr>
            <w:noProof/>
            <w:webHidden/>
          </w:rPr>
          <w:fldChar w:fldCharType="begin"/>
        </w:r>
        <w:r w:rsidR="00146DCD">
          <w:rPr>
            <w:noProof/>
            <w:webHidden/>
          </w:rPr>
          <w:instrText xml:space="preserve"> PAGEREF _Toc431453 \h </w:instrText>
        </w:r>
        <w:r w:rsidR="00146DCD">
          <w:rPr>
            <w:noProof/>
            <w:webHidden/>
          </w:rPr>
        </w:r>
        <w:r w:rsidR="00146DCD">
          <w:rPr>
            <w:noProof/>
            <w:webHidden/>
          </w:rPr>
          <w:fldChar w:fldCharType="separate"/>
        </w:r>
        <w:r w:rsidR="003128E1">
          <w:rPr>
            <w:noProof/>
            <w:webHidden/>
          </w:rPr>
          <w:t>49</w:t>
        </w:r>
        <w:r w:rsidR="00146DCD">
          <w:rPr>
            <w:noProof/>
            <w:webHidden/>
          </w:rPr>
          <w:fldChar w:fldCharType="end"/>
        </w:r>
      </w:hyperlink>
    </w:p>
    <w:p w14:paraId="40E2B1ED" w14:textId="77777777" w:rsidR="00146DCD" w:rsidRDefault="00584911">
      <w:pPr>
        <w:pStyle w:val="TOC3"/>
        <w:rPr>
          <w:rFonts w:asciiTheme="minorHAnsi" w:eastAsiaTheme="minorEastAsia" w:hAnsiTheme="minorHAnsi" w:cstheme="minorBidi"/>
          <w:noProof/>
          <w:sz w:val="22"/>
          <w:szCs w:val="22"/>
          <w:lang w:eastAsia="en-GB"/>
        </w:rPr>
      </w:pPr>
      <w:hyperlink w:anchor="_Toc431454" w:history="1">
        <w:r w:rsidR="00146DCD" w:rsidRPr="007A4C1A">
          <w:rPr>
            <w:rStyle w:val="Hyperlink"/>
            <w:noProof/>
          </w:rPr>
          <w:t>Direct rent payments</w:t>
        </w:r>
        <w:r w:rsidR="00146DCD">
          <w:rPr>
            <w:noProof/>
            <w:webHidden/>
          </w:rPr>
          <w:tab/>
        </w:r>
        <w:r w:rsidR="00146DCD">
          <w:rPr>
            <w:noProof/>
            <w:webHidden/>
          </w:rPr>
          <w:fldChar w:fldCharType="begin"/>
        </w:r>
        <w:r w:rsidR="00146DCD">
          <w:rPr>
            <w:noProof/>
            <w:webHidden/>
          </w:rPr>
          <w:instrText xml:space="preserve"> PAGEREF _Toc431454 \h </w:instrText>
        </w:r>
        <w:r w:rsidR="00146DCD">
          <w:rPr>
            <w:noProof/>
            <w:webHidden/>
          </w:rPr>
        </w:r>
        <w:r w:rsidR="00146DCD">
          <w:rPr>
            <w:noProof/>
            <w:webHidden/>
          </w:rPr>
          <w:fldChar w:fldCharType="separate"/>
        </w:r>
        <w:r w:rsidR="003128E1">
          <w:rPr>
            <w:noProof/>
            <w:webHidden/>
          </w:rPr>
          <w:t>51</w:t>
        </w:r>
        <w:r w:rsidR="00146DCD">
          <w:rPr>
            <w:noProof/>
            <w:webHidden/>
          </w:rPr>
          <w:fldChar w:fldCharType="end"/>
        </w:r>
      </w:hyperlink>
    </w:p>
    <w:p w14:paraId="53D0B008" w14:textId="77777777" w:rsidR="00146DCD" w:rsidRDefault="00584911">
      <w:pPr>
        <w:pStyle w:val="TOC3"/>
        <w:rPr>
          <w:rFonts w:asciiTheme="minorHAnsi" w:eastAsiaTheme="minorEastAsia" w:hAnsiTheme="minorHAnsi" w:cstheme="minorBidi"/>
          <w:noProof/>
          <w:sz w:val="22"/>
          <w:szCs w:val="22"/>
          <w:lang w:eastAsia="en-GB"/>
        </w:rPr>
      </w:pPr>
      <w:hyperlink w:anchor="_Toc431455" w:history="1">
        <w:r w:rsidR="00146DCD" w:rsidRPr="007A4C1A">
          <w:rPr>
            <w:rStyle w:val="Hyperlink"/>
            <w:noProof/>
          </w:rPr>
          <w:t>UC assessment periods</w:t>
        </w:r>
        <w:r w:rsidR="00146DCD">
          <w:rPr>
            <w:noProof/>
            <w:webHidden/>
          </w:rPr>
          <w:tab/>
        </w:r>
        <w:r w:rsidR="00146DCD">
          <w:rPr>
            <w:noProof/>
            <w:webHidden/>
          </w:rPr>
          <w:fldChar w:fldCharType="begin"/>
        </w:r>
        <w:r w:rsidR="00146DCD">
          <w:rPr>
            <w:noProof/>
            <w:webHidden/>
          </w:rPr>
          <w:instrText xml:space="preserve"> PAGEREF _Toc431455 \h </w:instrText>
        </w:r>
        <w:r w:rsidR="00146DCD">
          <w:rPr>
            <w:noProof/>
            <w:webHidden/>
          </w:rPr>
        </w:r>
        <w:r w:rsidR="00146DCD">
          <w:rPr>
            <w:noProof/>
            <w:webHidden/>
          </w:rPr>
          <w:fldChar w:fldCharType="separate"/>
        </w:r>
        <w:r w:rsidR="003128E1">
          <w:rPr>
            <w:noProof/>
            <w:webHidden/>
          </w:rPr>
          <w:t>53</w:t>
        </w:r>
        <w:r w:rsidR="00146DCD">
          <w:rPr>
            <w:noProof/>
            <w:webHidden/>
          </w:rPr>
          <w:fldChar w:fldCharType="end"/>
        </w:r>
      </w:hyperlink>
    </w:p>
    <w:p w14:paraId="07FE0212" w14:textId="77777777" w:rsidR="00146DCD" w:rsidRDefault="00584911">
      <w:pPr>
        <w:pStyle w:val="TOC2"/>
        <w:rPr>
          <w:rFonts w:asciiTheme="minorHAnsi" w:eastAsiaTheme="minorEastAsia" w:hAnsiTheme="minorHAnsi" w:cstheme="minorBidi"/>
          <w:noProof/>
          <w:sz w:val="22"/>
          <w:szCs w:val="22"/>
          <w:lang w:eastAsia="en-GB"/>
        </w:rPr>
      </w:pPr>
      <w:hyperlink w:anchor="_Toc431456" w:history="1">
        <w:r w:rsidR="00146DCD" w:rsidRPr="007A4C1A">
          <w:rPr>
            <w:rStyle w:val="Hyperlink"/>
            <w:noProof/>
          </w:rPr>
          <w:t>Discretionary Housing Payments as a safety net</w:t>
        </w:r>
        <w:r w:rsidR="00146DCD">
          <w:rPr>
            <w:noProof/>
            <w:webHidden/>
          </w:rPr>
          <w:tab/>
        </w:r>
        <w:r w:rsidR="00146DCD">
          <w:rPr>
            <w:noProof/>
            <w:webHidden/>
          </w:rPr>
          <w:fldChar w:fldCharType="begin"/>
        </w:r>
        <w:r w:rsidR="00146DCD">
          <w:rPr>
            <w:noProof/>
            <w:webHidden/>
          </w:rPr>
          <w:instrText xml:space="preserve"> PAGEREF _Toc431456 \h </w:instrText>
        </w:r>
        <w:r w:rsidR="00146DCD">
          <w:rPr>
            <w:noProof/>
            <w:webHidden/>
          </w:rPr>
        </w:r>
        <w:r w:rsidR="00146DCD">
          <w:rPr>
            <w:noProof/>
            <w:webHidden/>
          </w:rPr>
          <w:fldChar w:fldCharType="separate"/>
        </w:r>
        <w:r w:rsidR="003128E1">
          <w:rPr>
            <w:noProof/>
            <w:webHidden/>
          </w:rPr>
          <w:t>56</w:t>
        </w:r>
        <w:r w:rsidR="00146DCD">
          <w:rPr>
            <w:noProof/>
            <w:webHidden/>
          </w:rPr>
          <w:fldChar w:fldCharType="end"/>
        </w:r>
      </w:hyperlink>
    </w:p>
    <w:p w14:paraId="36A213E1" w14:textId="77777777" w:rsidR="00146DCD" w:rsidRDefault="00584911">
      <w:pPr>
        <w:pStyle w:val="TOC1"/>
        <w:rPr>
          <w:rFonts w:asciiTheme="minorHAnsi" w:eastAsiaTheme="minorEastAsia" w:hAnsiTheme="minorHAnsi" w:cstheme="minorBidi"/>
          <w:b w:val="0"/>
          <w:noProof/>
          <w:color w:val="auto"/>
          <w:sz w:val="22"/>
          <w:szCs w:val="22"/>
          <w:lang w:eastAsia="en-GB"/>
        </w:rPr>
      </w:pPr>
      <w:hyperlink w:anchor="_Toc431457" w:history="1">
        <w:r w:rsidR="00146DCD" w:rsidRPr="007A4C1A">
          <w:rPr>
            <w:rStyle w:val="Hyperlink"/>
            <w:noProof/>
          </w:rPr>
          <w:t>Chapter 4: Financial savings</w:t>
        </w:r>
        <w:r w:rsidR="00146DCD">
          <w:rPr>
            <w:noProof/>
            <w:webHidden/>
          </w:rPr>
          <w:tab/>
        </w:r>
        <w:r w:rsidR="00146DCD">
          <w:rPr>
            <w:noProof/>
            <w:webHidden/>
          </w:rPr>
          <w:fldChar w:fldCharType="begin"/>
        </w:r>
        <w:r w:rsidR="00146DCD">
          <w:rPr>
            <w:noProof/>
            <w:webHidden/>
          </w:rPr>
          <w:instrText xml:space="preserve"> PAGEREF _Toc431457 \h </w:instrText>
        </w:r>
        <w:r w:rsidR="00146DCD">
          <w:rPr>
            <w:noProof/>
            <w:webHidden/>
          </w:rPr>
        </w:r>
        <w:r w:rsidR="00146DCD">
          <w:rPr>
            <w:noProof/>
            <w:webHidden/>
          </w:rPr>
          <w:fldChar w:fldCharType="separate"/>
        </w:r>
        <w:r w:rsidR="003128E1">
          <w:rPr>
            <w:noProof/>
            <w:webHidden/>
          </w:rPr>
          <w:t>58</w:t>
        </w:r>
        <w:r w:rsidR="00146DCD">
          <w:rPr>
            <w:noProof/>
            <w:webHidden/>
          </w:rPr>
          <w:fldChar w:fldCharType="end"/>
        </w:r>
      </w:hyperlink>
    </w:p>
    <w:p w14:paraId="02E16014" w14:textId="77777777" w:rsidR="00146DCD" w:rsidRDefault="00584911">
      <w:pPr>
        <w:pStyle w:val="TOC3"/>
        <w:rPr>
          <w:rFonts w:asciiTheme="minorHAnsi" w:eastAsiaTheme="minorEastAsia" w:hAnsiTheme="minorHAnsi" w:cstheme="minorBidi"/>
          <w:noProof/>
          <w:sz w:val="22"/>
          <w:szCs w:val="22"/>
          <w:lang w:eastAsia="en-GB"/>
        </w:rPr>
      </w:pPr>
      <w:hyperlink w:anchor="_Toc431458" w:history="1">
        <w:r w:rsidR="00146DCD" w:rsidRPr="007A4C1A">
          <w:rPr>
            <w:rStyle w:val="Hyperlink"/>
            <w:noProof/>
          </w:rPr>
          <w:t>Expected savings</w:t>
        </w:r>
        <w:r w:rsidR="00146DCD">
          <w:rPr>
            <w:noProof/>
            <w:webHidden/>
          </w:rPr>
          <w:tab/>
        </w:r>
        <w:r w:rsidR="00146DCD">
          <w:rPr>
            <w:noProof/>
            <w:webHidden/>
          </w:rPr>
          <w:fldChar w:fldCharType="begin"/>
        </w:r>
        <w:r w:rsidR="00146DCD">
          <w:rPr>
            <w:noProof/>
            <w:webHidden/>
          </w:rPr>
          <w:instrText xml:space="preserve"> PAGEREF _Toc431458 \h </w:instrText>
        </w:r>
        <w:r w:rsidR="00146DCD">
          <w:rPr>
            <w:noProof/>
            <w:webHidden/>
          </w:rPr>
        </w:r>
        <w:r w:rsidR="00146DCD">
          <w:rPr>
            <w:noProof/>
            <w:webHidden/>
          </w:rPr>
          <w:fldChar w:fldCharType="separate"/>
        </w:r>
        <w:r w:rsidR="003128E1">
          <w:rPr>
            <w:noProof/>
            <w:webHidden/>
          </w:rPr>
          <w:t>60</w:t>
        </w:r>
        <w:r w:rsidR="00146DCD">
          <w:rPr>
            <w:noProof/>
            <w:webHidden/>
          </w:rPr>
          <w:fldChar w:fldCharType="end"/>
        </w:r>
      </w:hyperlink>
    </w:p>
    <w:p w14:paraId="1B2FA1BB" w14:textId="77777777" w:rsidR="00146DCD" w:rsidRDefault="00584911">
      <w:pPr>
        <w:pStyle w:val="TOC3"/>
        <w:rPr>
          <w:rFonts w:asciiTheme="minorHAnsi" w:eastAsiaTheme="minorEastAsia" w:hAnsiTheme="minorHAnsi" w:cstheme="minorBidi"/>
          <w:noProof/>
          <w:sz w:val="22"/>
          <w:szCs w:val="22"/>
          <w:lang w:eastAsia="en-GB"/>
        </w:rPr>
      </w:pPr>
      <w:hyperlink w:anchor="_Toc431459" w:history="1">
        <w:r w:rsidR="00146DCD" w:rsidRPr="007A4C1A">
          <w:rPr>
            <w:rStyle w:val="Hyperlink"/>
            <w:noProof/>
          </w:rPr>
          <w:t>How much has it saved?</w:t>
        </w:r>
        <w:r w:rsidR="00146DCD">
          <w:rPr>
            <w:noProof/>
            <w:webHidden/>
          </w:rPr>
          <w:tab/>
        </w:r>
        <w:r w:rsidR="00146DCD">
          <w:rPr>
            <w:noProof/>
            <w:webHidden/>
          </w:rPr>
          <w:fldChar w:fldCharType="begin"/>
        </w:r>
        <w:r w:rsidR="00146DCD">
          <w:rPr>
            <w:noProof/>
            <w:webHidden/>
          </w:rPr>
          <w:instrText xml:space="preserve"> PAGEREF _Toc431459 \h </w:instrText>
        </w:r>
        <w:r w:rsidR="00146DCD">
          <w:rPr>
            <w:noProof/>
            <w:webHidden/>
          </w:rPr>
        </w:r>
        <w:r w:rsidR="00146DCD">
          <w:rPr>
            <w:noProof/>
            <w:webHidden/>
          </w:rPr>
          <w:fldChar w:fldCharType="separate"/>
        </w:r>
        <w:r w:rsidR="003128E1">
          <w:rPr>
            <w:noProof/>
            <w:webHidden/>
          </w:rPr>
          <w:t>61</w:t>
        </w:r>
        <w:r w:rsidR="00146DCD">
          <w:rPr>
            <w:noProof/>
            <w:webHidden/>
          </w:rPr>
          <w:fldChar w:fldCharType="end"/>
        </w:r>
      </w:hyperlink>
    </w:p>
    <w:p w14:paraId="0D5C3AD6" w14:textId="77777777" w:rsidR="00146DCD" w:rsidRDefault="00584911">
      <w:pPr>
        <w:pStyle w:val="TOC3"/>
        <w:rPr>
          <w:rFonts w:asciiTheme="minorHAnsi" w:eastAsiaTheme="minorEastAsia" w:hAnsiTheme="minorHAnsi" w:cstheme="minorBidi"/>
          <w:noProof/>
          <w:sz w:val="22"/>
          <w:szCs w:val="22"/>
          <w:lang w:eastAsia="en-GB"/>
        </w:rPr>
      </w:pPr>
      <w:hyperlink w:anchor="_Toc431460" w:history="1">
        <w:r w:rsidR="00146DCD" w:rsidRPr="007A4C1A">
          <w:rPr>
            <w:rStyle w:val="Hyperlink"/>
            <w:noProof/>
          </w:rPr>
          <w:t>Full picture of savings</w:t>
        </w:r>
        <w:r w:rsidR="00146DCD">
          <w:rPr>
            <w:noProof/>
            <w:webHidden/>
          </w:rPr>
          <w:tab/>
        </w:r>
        <w:r w:rsidR="00146DCD">
          <w:rPr>
            <w:noProof/>
            <w:webHidden/>
          </w:rPr>
          <w:fldChar w:fldCharType="begin"/>
        </w:r>
        <w:r w:rsidR="00146DCD">
          <w:rPr>
            <w:noProof/>
            <w:webHidden/>
          </w:rPr>
          <w:instrText xml:space="preserve"> PAGEREF _Toc431460 \h </w:instrText>
        </w:r>
        <w:r w:rsidR="00146DCD">
          <w:rPr>
            <w:noProof/>
            <w:webHidden/>
          </w:rPr>
        </w:r>
        <w:r w:rsidR="00146DCD">
          <w:rPr>
            <w:noProof/>
            <w:webHidden/>
          </w:rPr>
          <w:fldChar w:fldCharType="separate"/>
        </w:r>
        <w:r w:rsidR="003128E1">
          <w:rPr>
            <w:noProof/>
            <w:webHidden/>
          </w:rPr>
          <w:t>61</w:t>
        </w:r>
        <w:r w:rsidR="00146DCD">
          <w:rPr>
            <w:noProof/>
            <w:webHidden/>
          </w:rPr>
          <w:fldChar w:fldCharType="end"/>
        </w:r>
      </w:hyperlink>
    </w:p>
    <w:p w14:paraId="2649DB31" w14:textId="77777777" w:rsidR="00146DCD" w:rsidRDefault="00584911">
      <w:pPr>
        <w:pStyle w:val="TOC2"/>
        <w:rPr>
          <w:rFonts w:asciiTheme="minorHAnsi" w:eastAsiaTheme="minorEastAsia" w:hAnsiTheme="minorHAnsi" w:cstheme="minorBidi"/>
          <w:noProof/>
          <w:sz w:val="22"/>
          <w:szCs w:val="22"/>
          <w:lang w:eastAsia="en-GB"/>
        </w:rPr>
      </w:pPr>
      <w:hyperlink w:anchor="_Toc431461" w:history="1">
        <w:r w:rsidR="00146DCD" w:rsidRPr="007A4C1A">
          <w:rPr>
            <w:rStyle w:val="Hyperlink"/>
            <w:noProof/>
          </w:rPr>
          <w:t>Additional costs to local authorities</w:t>
        </w:r>
        <w:r w:rsidR="00146DCD">
          <w:rPr>
            <w:noProof/>
            <w:webHidden/>
          </w:rPr>
          <w:tab/>
        </w:r>
        <w:r w:rsidR="00146DCD">
          <w:rPr>
            <w:noProof/>
            <w:webHidden/>
          </w:rPr>
          <w:fldChar w:fldCharType="begin"/>
        </w:r>
        <w:r w:rsidR="00146DCD">
          <w:rPr>
            <w:noProof/>
            <w:webHidden/>
          </w:rPr>
          <w:instrText xml:space="preserve"> PAGEREF _Toc431461 \h </w:instrText>
        </w:r>
        <w:r w:rsidR="00146DCD">
          <w:rPr>
            <w:noProof/>
            <w:webHidden/>
          </w:rPr>
        </w:r>
        <w:r w:rsidR="00146DCD">
          <w:rPr>
            <w:noProof/>
            <w:webHidden/>
          </w:rPr>
          <w:fldChar w:fldCharType="separate"/>
        </w:r>
        <w:r w:rsidR="003128E1">
          <w:rPr>
            <w:noProof/>
            <w:webHidden/>
          </w:rPr>
          <w:t>63</w:t>
        </w:r>
        <w:r w:rsidR="00146DCD">
          <w:rPr>
            <w:noProof/>
            <w:webHidden/>
          </w:rPr>
          <w:fldChar w:fldCharType="end"/>
        </w:r>
      </w:hyperlink>
    </w:p>
    <w:p w14:paraId="7A6AAA28" w14:textId="77777777" w:rsidR="00146DCD" w:rsidRDefault="00584911">
      <w:pPr>
        <w:pStyle w:val="TOC3"/>
        <w:rPr>
          <w:rFonts w:asciiTheme="minorHAnsi" w:eastAsiaTheme="minorEastAsia" w:hAnsiTheme="minorHAnsi" w:cstheme="minorBidi"/>
          <w:noProof/>
          <w:sz w:val="22"/>
          <w:szCs w:val="22"/>
          <w:lang w:eastAsia="en-GB"/>
        </w:rPr>
      </w:pPr>
      <w:hyperlink w:anchor="_Toc431462" w:history="1">
        <w:r w:rsidR="00146DCD" w:rsidRPr="007A4C1A">
          <w:rPr>
            <w:rStyle w:val="Hyperlink"/>
            <w:noProof/>
          </w:rPr>
          <w:t>Additional Resource</w:t>
        </w:r>
        <w:r w:rsidR="00146DCD">
          <w:rPr>
            <w:noProof/>
            <w:webHidden/>
          </w:rPr>
          <w:tab/>
        </w:r>
        <w:r w:rsidR="00146DCD">
          <w:rPr>
            <w:noProof/>
            <w:webHidden/>
          </w:rPr>
          <w:fldChar w:fldCharType="begin"/>
        </w:r>
        <w:r w:rsidR="00146DCD">
          <w:rPr>
            <w:noProof/>
            <w:webHidden/>
          </w:rPr>
          <w:instrText xml:space="preserve"> PAGEREF _Toc431462 \h </w:instrText>
        </w:r>
        <w:r w:rsidR="00146DCD">
          <w:rPr>
            <w:noProof/>
            <w:webHidden/>
          </w:rPr>
        </w:r>
        <w:r w:rsidR="00146DCD">
          <w:rPr>
            <w:noProof/>
            <w:webHidden/>
          </w:rPr>
          <w:fldChar w:fldCharType="separate"/>
        </w:r>
        <w:r w:rsidR="003128E1">
          <w:rPr>
            <w:noProof/>
            <w:webHidden/>
          </w:rPr>
          <w:t>63</w:t>
        </w:r>
        <w:r w:rsidR="00146DCD">
          <w:rPr>
            <w:noProof/>
            <w:webHidden/>
          </w:rPr>
          <w:fldChar w:fldCharType="end"/>
        </w:r>
      </w:hyperlink>
    </w:p>
    <w:p w14:paraId="690ECC0C" w14:textId="77777777" w:rsidR="00146DCD" w:rsidRDefault="00584911">
      <w:pPr>
        <w:pStyle w:val="TOC3"/>
        <w:rPr>
          <w:rFonts w:asciiTheme="minorHAnsi" w:eastAsiaTheme="minorEastAsia" w:hAnsiTheme="minorHAnsi" w:cstheme="minorBidi"/>
          <w:noProof/>
          <w:sz w:val="22"/>
          <w:szCs w:val="22"/>
          <w:lang w:eastAsia="en-GB"/>
        </w:rPr>
      </w:pPr>
      <w:hyperlink w:anchor="_Toc431463" w:history="1">
        <w:r w:rsidR="00146DCD" w:rsidRPr="007A4C1A">
          <w:rPr>
            <w:rStyle w:val="Hyperlink"/>
            <w:noProof/>
          </w:rPr>
          <w:t>Temporary Accommodation</w:t>
        </w:r>
        <w:r w:rsidR="00146DCD">
          <w:rPr>
            <w:noProof/>
            <w:webHidden/>
          </w:rPr>
          <w:tab/>
        </w:r>
        <w:r w:rsidR="00146DCD">
          <w:rPr>
            <w:noProof/>
            <w:webHidden/>
          </w:rPr>
          <w:fldChar w:fldCharType="begin"/>
        </w:r>
        <w:r w:rsidR="00146DCD">
          <w:rPr>
            <w:noProof/>
            <w:webHidden/>
          </w:rPr>
          <w:instrText xml:space="preserve"> PAGEREF _Toc431463 \h </w:instrText>
        </w:r>
        <w:r w:rsidR="00146DCD">
          <w:rPr>
            <w:noProof/>
            <w:webHidden/>
          </w:rPr>
        </w:r>
        <w:r w:rsidR="00146DCD">
          <w:rPr>
            <w:noProof/>
            <w:webHidden/>
          </w:rPr>
          <w:fldChar w:fldCharType="separate"/>
        </w:r>
        <w:r w:rsidR="003128E1">
          <w:rPr>
            <w:noProof/>
            <w:webHidden/>
          </w:rPr>
          <w:t>66</w:t>
        </w:r>
        <w:r w:rsidR="00146DCD">
          <w:rPr>
            <w:noProof/>
            <w:webHidden/>
          </w:rPr>
          <w:fldChar w:fldCharType="end"/>
        </w:r>
      </w:hyperlink>
    </w:p>
    <w:p w14:paraId="77B6CA96" w14:textId="77777777" w:rsidR="00146DCD" w:rsidRDefault="00584911">
      <w:pPr>
        <w:pStyle w:val="TOC3"/>
        <w:rPr>
          <w:rFonts w:asciiTheme="minorHAnsi" w:eastAsiaTheme="minorEastAsia" w:hAnsiTheme="minorHAnsi" w:cstheme="minorBidi"/>
          <w:noProof/>
          <w:sz w:val="22"/>
          <w:szCs w:val="22"/>
          <w:lang w:eastAsia="en-GB"/>
        </w:rPr>
      </w:pPr>
      <w:hyperlink w:anchor="_Toc431464" w:history="1">
        <w:r w:rsidR="00146DCD" w:rsidRPr="007A4C1A">
          <w:rPr>
            <w:rStyle w:val="Hyperlink"/>
            <w:noProof/>
          </w:rPr>
          <w:t>Wider costs</w:t>
        </w:r>
        <w:r w:rsidR="00146DCD">
          <w:rPr>
            <w:noProof/>
            <w:webHidden/>
          </w:rPr>
          <w:tab/>
        </w:r>
        <w:r w:rsidR="00146DCD">
          <w:rPr>
            <w:noProof/>
            <w:webHidden/>
          </w:rPr>
          <w:fldChar w:fldCharType="begin"/>
        </w:r>
        <w:r w:rsidR="00146DCD">
          <w:rPr>
            <w:noProof/>
            <w:webHidden/>
          </w:rPr>
          <w:instrText xml:space="preserve"> PAGEREF _Toc431464 \h </w:instrText>
        </w:r>
        <w:r w:rsidR="00146DCD">
          <w:rPr>
            <w:noProof/>
            <w:webHidden/>
          </w:rPr>
        </w:r>
        <w:r w:rsidR="00146DCD">
          <w:rPr>
            <w:noProof/>
            <w:webHidden/>
          </w:rPr>
          <w:fldChar w:fldCharType="separate"/>
        </w:r>
        <w:r w:rsidR="003128E1">
          <w:rPr>
            <w:noProof/>
            <w:webHidden/>
          </w:rPr>
          <w:t>67</w:t>
        </w:r>
        <w:r w:rsidR="00146DCD">
          <w:rPr>
            <w:noProof/>
            <w:webHidden/>
          </w:rPr>
          <w:fldChar w:fldCharType="end"/>
        </w:r>
      </w:hyperlink>
    </w:p>
    <w:p w14:paraId="3A86E1B7" w14:textId="77777777" w:rsidR="00146DCD" w:rsidRDefault="00584911">
      <w:pPr>
        <w:pStyle w:val="TOC2"/>
        <w:rPr>
          <w:rFonts w:asciiTheme="minorHAnsi" w:eastAsiaTheme="minorEastAsia" w:hAnsiTheme="minorHAnsi" w:cstheme="minorBidi"/>
          <w:noProof/>
          <w:sz w:val="22"/>
          <w:szCs w:val="22"/>
          <w:lang w:eastAsia="en-GB"/>
        </w:rPr>
      </w:pPr>
      <w:hyperlink w:anchor="_Toc431465" w:history="1">
        <w:r w:rsidR="00146DCD" w:rsidRPr="007A4C1A">
          <w:rPr>
            <w:rStyle w:val="Hyperlink"/>
            <w:noProof/>
          </w:rPr>
          <w:t>Discretionary Housing Payments: funding for local authorities</w:t>
        </w:r>
        <w:r w:rsidR="00146DCD">
          <w:rPr>
            <w:noProof/>
            <w:webHidden/>
          </w:rPr>
          <w:tab/>
        </w:r>
        <w:r w:rsidR="00146DCD">
          <w:rPr>
            <w:noProof/>
            <w:webHidden/>
          </w:rPr>
          <w:fldChar w:fldCharType="begin"/>
        </w:r>
        <w:r w:rsidR="00146DCD">
          <w:rPr>
            <w:noProof/>
            <w:webHidden/>
          </w:rPr>
          <w:instrText xml:space="preserve"> PAGEREF _Toc431465 \h </w:instrText>
        </w:r>
        <w:r w:rsidR="00146DCD">
          <w:rPr>
            <w:noProof/>
            <w:webHidden/>
          </w:rPr>
        </w:r>
        <w:r w:rsidR="00146DCD">
          <w:rPr>
            <w:noProof/>
            <w:webHidden/>
          </w:rPr>
          <w:fldChar w:fldCharType="separate"/>
        </w:r>
        <w:r w:rsidR="003128E1">
          <w:rPr>
            <w:noProof/>
            <w:webHidden/>
          </w:rPr>
          <w:t>67</w:t>
        </w:r>
        <w:r w:rsidR="00146DCD">
          <w:rPr>
            <w:noProof/>
            <w:webHidden/>
          </w:rPr>
          <w:fldChar w:fldCharType="end"/>
        </w:r>
      </w:hyperlink>
    </w:p>
    <w:p w14:paraId="638E01D2" w14:textId="77777777" w:rsidR="00146DCD" w:rsidRDefault="00584911">
      <w:pPr>
        <w:pStyle w:val="TOC1"/>
        <w:rPr>
          <w:rFonts w:asciiTheme="minorHAnsi" w:eastAsiaTheme="minorEastAsia" w:hAnsiTheme="minorHAnsi" w:cstheme="minorBidi"/>
          <w:b w:val="0"/>
          <w:noProof/>
          <w:color w:val="auto"/>
          <w:sz w:val="22"/>
          <w:szCs w:val="22"/>
          <w:lang w:eastAsia="en-GB"/>
        </w:rPr>
      </w:pPr>
      <w:hyperlink w:anchor="_Toc431466" w:history="1">
        <w:r w:rsidR="00146DCD" w:rsidRPr="007A4C1A">
          <w:rPr>
            <w:rStyle w:val="Hyperlink"/>
            <w:noProof/>
          </w:rPr>
          <w:t>Chapter 5: Conclusion</w:t>
        </w:r>
        <w:r w:rsidR="00146DCD">
          <w:rPr>
            <w:noProof/>
            <w:webHidden/>
          </w:rPr>
          <w:tab/>
        </w:r>
        <w:r w:rsidR="00146DCD">
          <w:rPr>
            <w:noProof/>
            <w:webHidden/>
          </w:rPr>
          <w:fldChar w:fldCharType="begin"/>
        </w:r>
        <w:r w:rsidR="00146DCD">
          <w:rPr>
            <w:noProof/>
            <w:webHidden/>
          </w:rPr>
          <w:instrText xml:space="preserve"> PAGEREF _Toc431466 \h </w:instrText>
        </w:r>
        <w:r w:rsidR="00146DCD">
          <w:rPr>
            <w:noProof/>
            <w:webHidden/>
          </w:rPr>
        </w:r>
        <w:r w:rsidR="00146DCD">
          <w:rPr>
            <w:noProof/>
            <w:webHidden/>
          </w:rPr>
          <w:fldChar w:fldCharType="separate"/>
        </w:r>
        <w:r w:rsidR="003128E1">
          <w:rPr>
            <w:noProof/>
            <w:webHidden/>
          </w:rPr>
          <w:t>73</w:t>
        </w:r>
        <w:r w:rsidR="00146DCD">
          <w:rPr>
            <w:noProof/>
            <w:webHidden/>
          </w:rPr>
          <w:fldChar w:fldCharType="end"/>
        </w:r>
      </w:hyperlink>
    </w:p>
    <w:p w14:paraId="59E8B50C" w14:textId="77777777" w:rsidR="00382C07" w:rsidRPr="001B5651" w:rsidRDefault="00A11F76" w:rsidP="00916B32">
      <w:pPr>
        <w:pStyle w:val="Para"/>
      </w:pPr>
      <w:r>
        <w:rPr>
          <w:rFonts w:asciiTheme="majorHAnsi" w:eastAsiaTheme="minorEastAsia" w:hAnsiTheme="majorHAnsi"/>
          <w:color w:val="5A3C84" w:themeColor="accent1"/>
          <w:sz w:val="22"/>
          <w:szCs w:val="20"/>
        </w:rPr>
        <w:fldChar w:fldCharType="end"/>
      </w:r>
    </w:p>
    <w:p w14:paraId="4F766C71" w14:textId="77777777" w:rsidR="008341A7" w:rsidRPr="00D96F6D" w:rsidRDefault="007641AE" w:rsidP="00151879">
      <w:pPr>
        <w:pStyle w:val="ChapterHeading1"/>
      </w:pPr>
      <w:bookmarkStart w:id="12" w:name="_Toc431414"/>
      <w:bookmarkEnd w:id="0"/>
      <w:bookmarkEnd w:id="1"/>
      <w:bookmarkEnd w:id="2"/>
      <w:bookmarkEnd w:id="3"/>
      <w:bookmarkEnd w:id="4"/>
      <w:bookmarkEnd w:id="5"/>
      <w:bookmarkEnd w:id="6"/>
      <w:bookmarkEnd w:id="7"/>
      <w:bookmarkEnd w:id="8"/>
      <w:bookmarkEnd w:id="9"/>
      <w:bookmarkEnd w:id="10"/>
      <w:r>
        <w:t>Introduction</w:t>
      </w:r>
      <w:bookmarkEnd w:id="12"/>
    </w:p>
    <w:p w14:paraId="0D2B1826" w14:textId="77777777" w:rsidR="00C51C49" w:rsidRDefault="00C51C49" w:rsidP="00C51C49">
      <w:pPr>
        <w:pStyle w:val="Heading2"/>
      </w:pPr>
      <w:bookmarkStart w:id="13" w:name="_Toc431415"/>
      <w:r>
        <w:t>History of the cap</w:t>
      </w:r>
      <w:bookmarkEnd w:id="13"/>
    </w:p>
    <w:p w14:paraId="494A2F43" w14:textId="77777777" w:rsidR="00284921" w:rsidRDefault="008D6279" w:rsidP="000341D2">
      <w:pPr>
        <w:pStyle w:val="Para1"/>
      </w:pPr>
      <w:r>
        <w:t>As part of the</w:t>
      </w:r>
      <w:r w:rsidR="00A85EAD">
        <w:t xml:space="preserve"> October 2010 Spending Review</w:t>
      </w:r>
      <w:r w:rsidR="005A37D2">
        <w:t>,</w:t>
      </w:r>
      <w:r w:rsidR="00A85EAD">
        <w:t xml:space="preserve"> the </w:t>
      </w:r>
      <w:r w:rsidR="00E518BA">
        <w:t xml:space="preserve">Coalition </w:t>
      </w:r>
      <w:r w:rsidR="00A85EAD">
        <w:t xml:space="preserve">Government announced </w:t>
      </w:r>
      <w:r>
        <w:t>plans to restrict</w:t>
      </w:r>
      <w:r w:rsidR="008B3223">
        <w:t xml:space="preserve"> the </w:t>
      </w:r>
      <w:r>
        <w:t>total</w:t>
      </w:r>
      <w:r w:rsidR="008B3223">
        <w:t xml:space="preserve"> be</w:t>
      </w:r>
      <w:r w:rsidR="00204F7F">
        <w:t>nefits</w:t>
      </w:r>
      <w:r w:rsidR="0026650A">
        <w:t xml:space="preserve"> paid to</w:t>
      </w:r>
      <w:r w:rsidR="00F3089F">
        <w:t xml:space="preserve"> </w:t>
      </w:r>
      <w:r w:rsidR="006F79F5">
        <w:t xml:space="preserve">most </w:t>
      </w:r>
      <w:r w:rsidR="00F3089F">
        <w:t>people of working age</w:t>
      </w:r>
      <w:r w:rsidR="008B3223">
        <w:t>.</w:t>
      </w:r>
      <w:r w:rsidR="001D6B7B">
        <w:t xml:space="preserve"> </w:t>
      </w:r>
      <w:r w:rsidR="00195BED">
        <w:t xml:space="preserve">The </w:t>
      </w:r>
      <w:r w:rsidR="001957FA">
        <w:t xml:space="preserve">cap would limit </w:t>
      </w:r>
      <w:r w:rsidR="00195BED">
        <w:t>the total amount of money a household could receive to the average earned income of a working household's take-home pay. This equated to £500 per week (£26,000 per year) for a family and £350 per week (£18,200 per year) for a single person with no children.</w:t>
      </w:r>
      <w:r w:rsidR="006E4F18">
        <w:t xml:space="preserve"> </w:t>
      </w:r>
      <w:r w:rsidR="00195BED">
        <w:t xml:space="preserve">The cap was part of a wider series of welfare reforms aimed at making the system "fairer and more affordable". </w:t>
      </w:r>
      <w:r w:rsidR="008F2D5C">
        <w:rPr>
          <w:rStyle w:val="FootnoteReference"/>
        </w:rPr>
        <w:footnoteReference w:id="2"/>
      </w:r>
      <w:r w:rsidR="00195BED">
        <w:t xml:space="preserve"> </w:t>
      </w:r>
      <w:r w:rsidR="00D65252">
        <w:t>The Government said that t</w:t>
      </w:r>
      <w:r w:rsidR="00195BED">
        <w:t>he key aims of the cap were</w:t>
      </w:r>
      <w:r w:rsidR="00284921">
        <w:t xml:space="preserve"> to:</w:t>
      </w:r>
    </w:p>
    <w:p w14:paraId="45633EAC" w14:textId="77777777" w:rsidR="00284921" w:rsidRDefault="00284921" w:rsidP="00284921">
      <w:pPr>
        <w:pStyle w:val="UnorderedList1"/>
      </w:pPr>
      <w:r>
        <w:t>Increase incentives to work;</w:t>
      </w:r>
    </w:p>
    <w:p w14:paraId="0B68170B" w14:textId="77777777" w:rsidR="00284921" w:rsidRPr="00284921" w:rsidRDefault="008B3223" w:rsidP="00284921">
      <w:pPr>
        <w:pStyle w:val="UnorderedList1"/>
      </w:pPr>
      <w:r>
        <w:t xml:space="preserve"> </w:t>
      </w:r>
      <w:r w:rsidR="00284921" w:rsidRPr="00284921">
        <w:t>Introduce greater fairness between those on out-of-work benefits and taxpayers in employment; and</w:t>
      </w:r>
    </w:p>
    <w:p w14:paraId="3348AA35" w14:textId="77777777" w:rsidR="00284921" w:rsidRDefault="00284921" w:rsidP="00284921">
      <w:pPr>
        <w:pStyle w:val="UnorderedList1"/>
      </w:pPr>
      <w:r w:rsidRPr="00284921">
        <w:t>Make financial savings and incentivise behaviours that reduce long-term dependency on benefits</w:t>
      </w:r>
      <w:r w:rsidR="00EF3D85">
        <w:t>.</w:t>
      </w:r>
    </w:p>
    <w:p w14:paraId="05B6895A" w14:textId="77777777" w:rsidR="00115B40" w:rsidRDefault="00115B40" w:rsidP="00AB2582">
      <w:pPr>
        <w:pStyle w:val="Para"/>
      </w:pPr>
      <w:r w:rsidRPr="00A7206D">
        <w:t>The cap</w:t>
      </w:r>
      <w:r w:rsidR="00AB2582">
        <w:t xml:space="preserve"> </w:t>
      </w:r>
      <w:r w:rsidRPr="00A7206D">
        <w:t xml:space="preserve">was </w:t>
      </w:r>
      <w:r w:rsidR="00F62656">
        <w:t xml:space="preserve">first </w:t>
      </w:r>
      <w:r>
        <w:t>introduced across the UK</w:t>
      </w:r>
      <w:r w:rsidRPr="00A7206D">
        <w:t xml:space="preserve"> between April and September 2013.</w:t>
      </w:r>
    </w:p>
    <w:p w14:paraId="46BFE9DB" w14:textId="77777777" w:rsidR="00E212EF" w:rsidRDefault="00E212EF" w:rsidP="00E212EF">
      <w:pPr>
        <w:pStyle w:val="Para1"/>
      </w:pPr>
      <w:r w:rsidRPr="00EA30D7">
        <w:t>A commitment to reduce the cap from £26,000 to £23,000 was included in the Conservative Party’s 2015 Manifesto</w:t>
      </w:r>
      <w:r w:rsidR="008E792B">
        <w:t>.</w:t>
      </w:r>
      <w:r w:rsidRPr="00EA30D7">
        <w:t xml:space="preserve"> </w:t>
      </w:r>
      <w:r w:rsidRPr="00E212EF">
        <w:t>The Summer Budget 2015 confirmed the Government’s intention to reduce the cap for families to £23,000 in London (£15,410 for single people) and £20,000 (£13,400 for single people) in the rest of the UK</w:t>
      </w:r>
      <w:r w:rsidR="004656C6">
        <w:t>.</w:t>
      </w:r>
      <w:r w:rsidR="001D6B7B">
        <w:t xml:space="preserve"> </w:t>
      </w:r>
      <w:r w:rsidR="006D0389">
        <w:t>The new, l</w:t>
      </w:r>
      <w:r w:rsidR="008E792B">
        <w:t xml:space="preserve">ower cap levels were applied to all households that were already capped on </w:t>
      </w:r>
      <w:r w:rsidR="00835A41">
        <w:t>7 November 2016 and</w:t>
      </w:r>
      <w:r w:rsidR="008E792B">
        <w:t xml:space="preserve"> were then rolled out across the UK to newly affected households between November 2016 and January 2017.</w:t>
      </w:r>
      <w:r w:rsidR="00360815">
        <w:rPr>
          <w:rStyle w:val="FootnoteReference"/>
        </w:rPr>
        <w:footnoteReference w:id="3"/>
      </w:r>
      <w:r w:rsidRPr="00E212EF">
        <w:t xml:space="preserve"> </w:t>
      </w:r>
    </w:p>
    <w:p w14:paraId="56D912EE" w14:textId="77777777" w:rsidR="00115B40" w:rsidRDefault="00A50AE5" w:rsidP="00115B40">
      <w:pPr>
        <w:pStyle w:val="Heading2"/>
      </w:pPr>
      <w:bookmarkStart w:id="14" w:name="_Toc431416"/>
      <w:r>
        <w:t>Original cap</w:t>
      </w:r>
      <w:bookmarkEnd w:id="14"/>
    </w:p>
    <w:p w14:paraId="60B816D7" w14:textId="77777777" w:rsidR="00A50AE5" w:rsidRPr="00A50AE5" w:rsidRDefault="00A50AE5" w:rsidP="00A50AE5">
      <w:pPr>
        <w:pStyle w:val="Heading3"/>
      </w:pPr>
      <w:bookmarkStart w:id="15" w:name="_Toc431417"/>
      <w:r>
        <w:t>Rationale</w:t>
      </w:r>
      <w:bookmarkEnd w:id="15"/>
    </w:p>
    <w:p w14:paraId="115122E8" w14:textId="77777777" w:rsidR="00781A98" w:rsidRDefault="00F3089F" w:rsidP="008B3223">
      <w:pPr>
        <w:pStyle w:val="Para1"/>
      </w:pPr>
      <w:r>
        <w:t>T</w:t>
      </w:r>
      <w:r w:rsidR="001617DF">
        <w:t>he policy</w:t>
      </w:r>
      <w:r w:rsidR="00781A98">
        <w:t xml:space="preserve"> was introduced</w:t>
      </w:r>
      <w:r w:rsidR="003E24E4">
        <w:t xml:space="preserve"> </w:t>
      </w:r>
      <w:r w:rsidR="00284921">
        <w:t>to Parliament</w:t>
      </w:r>
      <w:r w:rsidR="00A7206D">
        <w:t xml:space="preserve"> </w:t>
      </w:r>
      <w:r w:rsidR="00781A98">
        <w:t xml:space="preserve">with </w:t>
      </w:r>
      <w:r>
        <w:t>a</w:t>
      </w:r>
      <w:r w:rsidR="00A52D65">
        <w:t>n emphasis on fairness</w:t>
      </w:r>
      <w:r w:rsidR="000C5B88">
        <w:t>:</w:t>
      </w:r>
      <w:r w:rsidR="00960201">
        <w:t xml:space="preserve"> </w:t>
      </w:r>
      <w:proofErr w:type="gramStart"/>
      <w:r w:rsidR="00A52D65">
        <w:t>the</w:t>
      </w:r>
      <w:proofErr w:type="gramEnd"/>
      <w:r w:rsidR="00A52D65">
        <w:t xml:space="preserve"> Government argued that</w:t>
      </w:r>
      <w:r w:rsidR="007C2736">
        <w:t xml:space="preserve"> no out of work family should receive more in benefits than the average working family</w:t>
      </w:r>
      <w:r w:rsidR="00A52D65">
        <w:t xml:space="preserve"> earns</w:t>
      </w:r>
      <w:r w:rsidR="00204F7F">
        <w:t>.</w:t>
      </w:r>
      <w:r w:rsidR="001D6B7B">
        <w:t xml:space="preserve"> </w:t>
      </w:r>
      <w:r w:rsidR="003E24E4">
        <w:t>The then Secretary of State for Work and Pensions,</w:t>
      </w:r>
      <w:r w:rsidR="007F59A5">
        <w:t xml:space="preserve"> Rt.</w:t>
      </w:r>
      <w:r w:rsidR="008B4D88">
        <w:t xml:space="preserve"> </w:t>
      </w:r>
      <w:r w:rsidR="007F59A5">
        <w:t>Hon</w:t>
      </w:r>
      <w:r w:rsidR="003E24E4">
        <w:t xml:space="preserve"> Iain Duncan-Smith</w:t>
      </w:r>
      <w:r w:rsidR="00454E6C">
        <w:t>,</w:t>
      </w:r>
      <w:r w:rsidR="003E24E4">
        <w:t xml:space="preserve"> </w:t>
      </w:r>
      <w:r w:rsidR="00F56F29">
        <w:t>said</w:t>
      </w:r>
      <w:r w:rsidR="003E24E4">
        <w:t>:</w:t>
      </w:r>
    </w:p>
    <w:p w14:paraId="70B4C7DD" w14:textId="77777777" w:rsidR="003E24E4" w:rsidRPr="00960594" w:rsidRDefault="003E24E4" w:rsidP="003E24E4">
      <w:pPr>
        <w:pStyle w:val="Quote"/>
        <w:rPr>
          <w:rStyle w:val="Emphasis"/>
        </w:rPr>
      </w:pPr>
      <w:r w:rsidRPr="00960594">
        <w:rPr>
          <w:rStyle w:val="Emphasis"/>
        </w:rPr>
        <w:t xml:space="preserve">The principle is that people who are unemployed </w:t>
      </w:r>
      <w:bookmarkStart w:id="16" w:name="column_922"/>
      <w:bookmarkEnd w:id="16"/>
      <w:r w:rsidRPr="00960594">
        <w:rPr>
          <w:rStyle w:val="Emphasis"/>
        </w:rPr>
        <w:t xml:space="preserve">and on benefits should not be receiving more than average earnings. It is a matter of fairness, so that those who are working hard and paying their taxes do not feel that someone else will benefit more by not playing a full part in society. </w:t>
      </w:r>
      <w:r w:rsidR="00284921" w:rsidRPr="009D4EA1">
        <w:rPr>
          <w:rStyle w:val="FootnoteReference"/>
        </w:rPr>
        <w:footnoteReference w:id="4"/>
      </w:r>
    </w:p>
    <w:p w14:paraId="4018DEC7" w14:textId="77777777" w:rsidR="008B4D88" w:rsidRPr="004F1640" w:rsidRDefault="008B4D88" w:rsidP="00AD619B">
      <w:pPr>
        <w:pStyle w:val="Para1"/>
        <w:numPr>
          <w:ilvl w:val="0"/>
          <w:numId w:val="0"/>
        </w:numPr>
      </w:pPr>
      <w:r>
        <w:t>He also said explicitly that</w:t>
      </w:r>
      <w:r w:rsidRPr="004F1640">
        <w:t xml:space="preserve"> the cap was </w:t>
      </w:r>
      <w:r>
        <w:t xml:space="preserve">intended to apply to people who could go to </w:t>
      </w:r>
      <w:r w:rsidRPr="004F1640">
        <w:t>work:</w:t>
      </w:r>
    </w:p>
    <w:p w14:paraId="1527495E" w14:textId="77777777" w:rsidR="008B4D88" w:rsidRDefault="008B4D88" w:rsidP="008B4D88">
      <w:pPr>
        <w:pStyle w:val="Quote"/>
      </w:pPr>
      <w:r w:rsidRPr="00AD619B">
        <w:rPr>
          <w:rStyle w:val="Emphasis"/>
        </w:rPr>
        <w:t>If the hon. Lady had looked at what the cap covers, she would know that those on tax credit will be exempt, as will those on DLA, widows and others who are in difficulties. The cap is about those who we believe should be able to go to work but are not doing so</w:t>
      </w:r>
      <w:r w:rsidRPr="004F1640">
        <w:t>.</w:t>
      </w:r>
      <w:r w:rsidRPr="004F1640">
        <w:rPr>
          <w:rStyle w:val="FootnoteReference"/>
        </w:rPr>
        <w:footnoteReference w:id="5"/>
      </w:r>
    </w:p>
    <w:p w14:paraId="0486BE5E" w14:textId="77777777" w:rsidR="00B5534D" w:rsidRDefault="00C91158" w:rsidP="00812FF1">
      <w:pPr>
        <w:pStyle w:val="Para"/>
      </w:pPr>
      <w:r>
        <w:t xml:space="preserve">The Department reiterated the </w:t>
      </w:r>
      <w:r w:rsidR="00D071C9">
        <w:t xml:space="preserve">aim </w:t>
      </w:r>
      <w:r>
        <w:t>of fairness in</w:t>
      </w:r>
      <w:r w:rsidR="00D273D7">
        <w:t xml:space="preserve"> its</w:t>
      </w:r>
      <w:r w:rsidR="0008222D">
        <w:t xml:space="preserve"> written evidence. I</w:t>
      </w:r>
      <w:r w:rsidR="00403D93">
        <w:t>t</w:t>
      </w:r>
      <w:r w:rsidR="00C16A41">
        <w:t xml:space="preserve"> said:</w:t>
      </w:r>
    </w:p>
    <w:p w14:paraId="4041BE8A" w14:textId="77777777" w:rsidR="00A33E4F" w:rsidRPr="00960594" w:rsidRDefault="00A33E4F" w:rsidP="00A33E4F">
      <w:pPr>
        <w:pStyle w:val="Quote"/>
        <w:rPr>
          <w:rStyle w:val="Emphasis"/>
        </w:rPr>
      </w:pPr>
      <w:r w:rsidRPr="00960594">
        <w:rPr>
          <w:rStyle w:val="Emphasis"/>
        </w:rPr>
        <w:t>The Government considers that the cap imposes a reasonable limit on the amount of welfare benefits an out-of-work household should receive; in the Government’s view, this restores fairness between working households and taxpayers and those in receipt of out of work benefits.</w:t>
      </w:r>
      <w:r w:rsidR="00403D93" w:rsidRPr="00960594">
        <w:rPr>
          <w:rStyle w:val="Emphasis"/>
        </w:rPr>
        <w:t xml:space="preserve"> </w:t>
      </w:r>
      <w:r w:rsidR="00403D93" w:rsidRPr="006E4F18">
        <w:rPr>
          <w:rStyle w:val="FootnoteReference"/>
        </w:rPr>
        <w:footnoteReference w:id="6"/>
      </w:r>
    </w:p>
    <w:p w14:paraId="3173626E" w14:textId="77777777" w:rsidR="00A50AE5" w:rsidRDefault="00A50AE5" w:rsidP="00A50AE5">
      <w:pPr>
        <w:pStyle w:val="Heading3"/>
      </w:pPr>
      <w:bookmarkStart w:id="17" w:name="_Toc431418"/>
      <w:r>
        <w:t>Who was affected?</w:t>
      </w:r>
      <w:bookmarkEnd w:id="17"/>
    </w:p>
    <w:p w14:paraId="3293DB7F" w14:textId="77777777" w:rsidR="00A50AE5" w:rsidRDefault="00A50AE5" w:rsidP="00A50AE5">
      <w:pPr>
        <w:pStyle w:val="Para1"/>
      </w:pPr>
      <w:r w:rsidRPr="00C01CEF">
        <w:t xml:space="preserve">Between </w:t>
      </w:r>
      <w:r>
        <w:t xml:space="preserve">the </w:t>
      </w:r>
      <w:r w:rsidR="000862C3">
        <w:t xml:space="preserve">2013 </w:t>
      </w:r>
      <w:r>
        <w:t>cap's</w:t>
      </w:r>
      <w:r w:rsidRPr="00C01CEF">
        <w:t xml:space="preserve"> introduction and </w:t>
      </w:r>
      <w:r>
        <w:t xml:space="preserve">November 2016, 84,000 </w:t>
      </w:r>
      <w:r w:rsidRPr="00C01CEF">
        <w:t xml:space="preserve">households </w:t>
      </w:r>
      <w:r>
        <w:t xml:space="preserve">had their benefits capped </w:t>
      </w:r>
      <w:r w:rsidR="00523060">
        <w:t>at some point</w:t>
      </w:r>
      <w:r>
        <w:t>.</w:t>
      </w:r>
      <w:r w:rsidR="006E4F18">
        <w:t xml:space="preserve"> </w:t>
      </w:r>
      <w:r w:rsidR="00E41752">
        <w:t>A</w:t>
      </w:r>
      <w:r w:rsidR="00523060">
        <w:t>lmost all households affected</w:t>
      </w:r>
      <w:r w:rsidR="00840B3B">
        <w:t xml:space="preserve"> by the cap</w:t>
      </w:r>
      <w:r w:rsidR="00523060">
        <w:t xml:space="preserve"> (9</w:t>
      </w:r>
      <w:r w:rsidR="008A0CAA">
        <w:t>4</w:t>
      </w:r>
      <w:r w:rsidR="00523060">
        <w:t>%) had dependant</w:t>
      </w:r>
      <w:r w:rsidR="007072BC">
        <w:t xml:space="preserve"> children</w:t>
      </w:r>
      <w:r w:rsidR="00523060">
        <w:t>.</w:t>
      </w:r>
      <w:r w:rsidR="008A0CAA">
        <w:rPr>
          <w:rStyle w:val="FootnoteReference"/>
        </w:rPr>
        <w:footnoteReference w:id="7"/>
      </w:r>
      <w:r w:rsidR="006E4F18">
        <w:t xml:space="preserve"> </w:t>
      </w:r>
      <w:r w:rsidR="00523060">
        <w:t>The cap affected mainly single</w:t>
      </w:r>
      <w:r w:rsidR="00AA0457">
        <w:t xml:space="preserve"> </w:t>
      </w:r>
      <w:r w:rsidR="00523060">
        <w:t>parents and larger families.</w:t>
      </w:r>
      <w:r w:rsidR="006E4F18">
        <w:t xml:space="preserve"> </w:t>
      </w:r>
      <w:r w:rsidR="00796FA2" w:rsidRPr="00796FA2">
        <w:t xml:space="preserve">Single parents are more likely to be affected by the cap </w:t>
      </w:r>
      <w:r w:rsidR="007B0511">
        <w:t>because</w:t>
      </w:r>
      <w:r w:rsidR="00796FA2" w:rsidRPr="00796FA2">
        <w:t xml:space="preserve"> they are less likely to be in employment than parents in a couple, particularly when they have young children.</w:t>
      </w:r>
      <w:r w:rsidR="007B0511">
        <w:rPr>
          <w:rStyle w:val="FootnoteReference"/>
        </w:rPr>
        <w:footnoteReference w:id="8"/>
      </w:r>
      <w:r w:rsidR="00796FA2" w:rsidRPr="00796FA2">
        <w:t xml:space="preserve">  </w:t>
      </w:r>
      <w:r w:rsidR="00995D9D">
        <w:t>Of the households affected</w:t>
      </w:r>
      <w:r w:rsidR="00AA0457">
        <w:t>,</w:t>
      </w:r>
      <w:r>
        <w:t xml:space="preserve"> </w:t>
      </w:r>
      <w:r w:rsidR="00995D9D">
        <w:t>62%</w:t>
      </w:r>
      <w:r>
        <w:t xml:space="preserve"> were single</w:t>
      </w:r>
      <w:r w:rsidR="00AA0457">
        <w:t xml:space="preserve"> </w:t>
      </w:r>
      <w:r>
        <w:t>pa</w:t>
      </w:r>
      <w:r w:rsidR="00523060">
        <w:t xml:space="preserve">rents, of </w:t>
      </w:r>
      <w:r w:rsidR="00AA0457">
        <w:t>whom</w:t>
      </w:r>
      <w:r w:rsidR="00AD619B">
        <w:t xml:space="preserve"> </w:t>
      </w:r>
      <w:r w:rsidR="00995D9D">
        <w:t>86</w:t>
      </w:r>
      <w:r w:rsidR="00523060">
        <w:t>% were women; and</w:t>
      </w:r>
      <w:r>
        <w:t xml:space="preserve"> over three quarters (77%)</w:t>
      </w:r>
      <w:r w:rsidR="00523060">
        <w:t xml:space="preserve"> of all households affected</w:t>
      </w:r>
      <w:r>
        <w:t xml:space="preserve"> had three or more children.</w:t>
      </w:r>
      <w:r w:rsidR="006E4F18">
        <w:t xml:space="preserve"> </w:t>
      </w:r>
      <w:r w:rsidR="00523060">
        <w:t>There was a disproportionate impact on households in London</w:t>
      </w:r>
      <w:r w:rsidR="00840B3B">
        <w:t>. A</w:t>
      </w:r>
      <w:r w:rsidRPr="004552C6">
        <w:t xml:space="preserve">lmost half (44%) </w:t>
      </w:r>
      <w:r w:rsidR="00523060">
        <w:t xml:space="preserve">of </w:t>
      </w:r>
      <w:r w:rsidR="00F52BFD">
        <w:t xml:space="preserve">all </w:t>
      </w:r>
      <w:r w:rsidR="00840B3B">
        <w:t>capped households were</w:t>
      </w:r>
      <w:r w:rsidR="0034721E">
        <w:t xml:space="preserve"> located in the capital</w:t>
      </w:r>
      <w:r w:rsidRPr="004552C6">
        <w:t xml:space="preserve">. </w:t>
      </w:r>
      <w:r w:rsidR="00F52BFD">
        <w:t>In</w:t>
      </w:r>
      <w:r>
        <w:t xml:space="preserve"> November 2016, just before the lower cap was introduced, 20,000 households had their benefits capped.</w:t>
      </w:r>
      <w:r w:rsidR="008A2760">
        <w:rPr>
          <w:rStyle w:val="FootnoteReference"/>
        </w:rPr>
        <w:footnoteReference w:id="9"/>
      </w:r>
      <w:r w:rsidR="001D6B7B">
        <w:t xml:space="preserve"> </w:t>
      </w:r>
    </w:p>
    <w:p w14:paraId="047852E2" w14:textId="77777777" w:rsidR="00A50AE5" w:rsidRDefault="00A50AE5" w:rsidP="00A50AE5">
      <w:pPr>
        <w:pStyle w:val="Heading2"/>
      </w:pPr>
      <w:bookmarkStart w:id="18" w:name="_Toc431419"/>
      <w:r>
        <w:t>Lower cap</w:t>
      </w:r>
      <w:bookmarkEnd w:id="18"/>
    </w:p>
    <w:p w14:paraId="171061CD" w14:textId="77777777" w:rsidR="00A50AE5" w:rsidRDefault="00A50AE5" w:rsidP="00A50AE5">
      <w:pPr>
        <w:pStyle w:val="Heading3"/>
      </w:pPr>
      <w:bookmarkStart w:id="19" w:name="_Toc431420"/>
      <w:r>
        <w:t>Rationale</w:t>
      </w:r>
      <w:bookmarkEnd w:id="19"/>
    </w:p>
    <w:p w14:paraId="6A84A3B3" w14:textId="77777777" w:rsidR="00A50AE5" w:rsidRDefault="00A50AE5" w:rsidP="00A50AE5">
      <w:pPr>
        <w:pStyle w:val="Para1"/>
      </w:pPr>
      <w:r>
        <w:t>In its August 2016 impact assessment of the lower cap, the Government argued that the original cap had been successful in getting people into work and that the lower cap was designed to "strengthen" work incentives for those on benefits and help in "tackling the deficit".</w:t>
      </w:r>
      <w:r w:rsidR="006E4F18">
        <w:t xml:space="preserve"> </w:t>
      </w:r>
      <w:r>
        <w:t>It said</w:t>
      </w:r>
      <w:r w:rsidR="00EB7652">
        <w:t>:</w:t>
      </w:r>
    </w:p>
    <w:p w14:paraId="7D890D00" w14:textId="77777777" w:rsidR="00FB2B64" w:rsidRPr="00960594" w:rsidRDefault="00EB7652" w:rsidP="00FB2B64">
      <w:pPr>
        <w:pStyle w:val="Quote"/>
        <w:rPr>
          <w:rStyle w:val="Emphasis"/>
        </w:rPr>
      </w:pPr>
      <w:r w:rsidRPr="00960594">
        <w:rPr>
          <w:rStyle w:val="Emphasis"/>
        </w:rPr>
        <w:t xml:space="preserve">The objective of the policy change is to build on the successes of the existing benefit cap, as shown by evaluation evidence. We will do this by restricting the total amount of benefits that a household can receive to £20,000 in Great Britain and £23,000 in Greater London (and 67% of these levels for single people without children). By doing this the policy will: </w:t>
      </w:r>
    </w:p>
    <w:p w14:paraId="0DC4A653" w14:textId="77777777" w:rsidR="00FB2B64" w:rsidRPr="00960594" w:rsidRDefault="00EB7652" w:rsidP="00FB2B64">
      <w:pPr>
        <w:pStyle w:val="Quote"/>
        <w:rPr>
          <w:rStyle w:val="Emphasis"/>
        </w:rPr>
      </w:pPr>
      <w:r w:rsidRPr="00960594">
        <w:rPr>
          <w:rStyle w:val="Emphasis"/>
        </w:rPr>
        <w:t xml:space="preserve">1. Further improve work incentives for those on benefits </w:t>
      </w:r>
    </w:p>
    <w:p w14:paraId="4C2D723A" w14:textId="77777777" w:rsidR="00FB2B64" w:rsidRPr="00960594" w:rsidRDefault="00EB7652" w:rsidP="00FB2B64">
      <w:pPr>
        <w:pStyle w:val="Quote"/>
        <w:rPr>
          <w:rStyle w:val="Emphasis"/>
        </w:rPr>
      </w:pPr>
      <w:r w:rsidRPr="00960594">
        <w:rPr>
          <w:rStyle w:val="Emphasis"/>
        </w:rPr>
        <w:t xml:space="preserve">2. Promote even greater fairness between those on out of work benefits and tax payers in employment (who largely support the current benefit cap), whist providing support to the most vulnerable </w:t>
      </w:r>
    </w:p>
    <w:p w14:paraId="0683FE21" w14:textId="77777777" w:rsidR="00A50AE5" w:rsidRPr="00960594" w:rsidRDefault="00EB7652" w:rsidP="00EE2F8C">
      <w:pPr>
        <w:pStyle w:val="Quote"/>
        <w:rPr>
          <w:rStyle w:val="Emphasis"/>
        </w:rPr>
      </w:pPr>
      <w:r w:rsidRPr="00960594">
        <w:rPr>
          <w:rStyle w:val="Emphasis"/>
        </w:rPr>
        <w:t xml:space="preserve">3. Further reduce benefit expenditure and continue to help tackle the </w:t>
      </w:r>
      <w:r w:rsidRPr="002B3F92">
        <w:rPr>
          <w:rStyle w:val="Emphasis"/>
        </w:rPr>
        <w:t>financial deficit</w:t>
      </w:r>
      <w:r w:rsidRPr="00960594">
        <w:rPr>
          <w:rStyle w:val="Emphasis"/>
        </w:rPr>
        <w:t>.</w:t>
      </w:r>
      <w:r w:rsidR="00A50AE5" w:rsidRPr="002B3F92">
        <w:rPr>
          <w:rStyle w:val="FootnoteReference"/>
        </w:rPr>
        <w:footnoteReference w:id="10"/>
      </w:r>
    </w:p>
    <w:p w14:paraId="21EBBD5E" w14:textId="77777777" w:rsidR="00A50AE5" w:rsidRPr="00A0527D" w:rsidRDefault="00A50AE5" w:rsidP="00A50AE5">
      <w:pPr>
        <w:pStyle w:val="Heading3"/>
      </w:pPr>
      <w:bookmarkStart w:id="20" w:name="_Toc431421"/>
      <w:r>
        <w:t>Who is affected?</w:t>
      </w:r>
      <w:bookmarkEnd w:id="20"/>
    </w:p>
    <w:p w14:paraId="6BCC9517" w14:textId="77777777" w:rsidR="00A50AE5" w:rsidRPr="00BC0A13" w:rsidRDefault="00A50AE5" w:rsidP="00A50AE5">
      <w:pPr>
        <w:pStyle w:val="Para1"/>
      </w:pPr>
      <w:r w:rsidRPr="00BC0A13">
        <w:t>The Government’s</w:t>
      </w:r>
      <w:r>
        <w:t xml:space="preserve"> August 2016</w:t>
      </w:r>
      <w:r w:rsidRPr="00BC0A13">
        <w:t xml:space="preserve"> impact assessment estimated that around 88,000 claimants would be affected by the lower benefit cap once </w:t>
      </w:r>
      <w:r>
        <w:t xml:space="preserve">it was </w:t>
      </w:r>
      <w:r w:rsidRPr="00BC0A13">
        <w:t>fully implemented</w:t>
      </w:r>
      <w:r w:rsidR="00D14465">
        <w:t>—</w:t>
      </w:r>
      <w:r w:rsidRPr="00BC0A13">
        <w:t xml:space="preserve">64,000 of </w:t>
      </w:r>
      <w:r>
        <w:t>whom</w:t>
      </w:r>
      <w:r w:rsidRPr="00BC0A13">
        <w:t xml:space="preserve"> would be newly affected. It said </w:t>
      </w:r>
      <w:r>
        <w:t xml:space="preserve">that </w:t>
      </w:r>
      <w:r w:rsidRPr="00BC0A13">
        <w:t xml:space="preserve">the </w:t>
      </w:r>
      <w:r>
        <w:t>new tiered approach</w:t>
      </w:r>
      <w:r w:rsidR="00D14465">
        <w:t>, with a cap</w:t>
      </w:r>
      <w:r>
        <w:t xml:space="preserve"> of £23,000 in London and £20,000 </w:t>
      </w:r>
      <w:r w:rsidR="00D14465">
        <w:t xml:space="preserve">in </w:t>
      </w:r>
      <w:r>
        <w:t>the rest of the UK</w:t>
      </w:r>
      <w:r w:rsidR="00D14465">
        <w:t>,</w:t>
      </w:r>
      <w:r w:rsidRPr="00BC0A13">
        <w:t xml:space="preserve"> would more evenly distribute its effect across the country. Under the original cap </w:t>
      </w:r>
      <w:r>
        <w:t xml:space="preserve">around </w:t>
      </w:r>
      <w:r w:rsidRPr="00BC0A13">
        <w:t>40% of capped households were in London, but this was expected to fall to 22% under the lower cap.</w:t>
      </w:r>
      <w:r>
        <w:rPr>
          <w:rStyle w:val="FootnoteReference"/>
        </w:rPr>
        <w:footnoteReference w:id="11"/>
      </w:r>
    </w:p>
    <w:p w14:paraId="35E0F25B" w14:textId="77777777" w:rsidR="00A50AE5" w:rsidRDefault="00A50AE5" w:rsidP="00A50AE5">
      <w:pPr>
        <w:pStyle w:val="Para1"/>
      </w:pPr>
      <w:r>
        <w:t xml:space="preserve">Following the </w:t>
      </w:r>
      <w:r w:rsidR="003D1A2C">
        <w:t>rollout</w:t>
      </w:r>
      <w:r>
        <w:t xml:space="preserve"> of the lower cap, the number of households affected by the cap </w:t>
      </w:r>
      <w:r w:rsidR="002D17F3">
        <w:t>more than trebled</w:t>
      </w:r>
      <w:r>
        <w:t>.</w:t>
      </w:r>
      <w:r w:rsidR="006E4F18">
        <w:t xml:space="preserve"> </w:t>
      </w:r>
      <w:r>
        <w:t xml:space="preserve">As of </w:t>
      </w:r>
      <w:r w:rsidR="00D67ECC">
        <w:t>November</w:t>
      </w:r>
      <w:r w:rsidRPr="00BC0A13">
        <w:t xml:space="preserve"> 2018 (the latest data available)</w:t>
      </w:r>
      <w:r>
        <w:t>,</w:t>
      </w:r>
      <w:r w:rsidRPr="00BC0A13">
        <w:t xml:space="preserve"> </w:t>
      </w:r>
      <w:r>
        <w:t>5</w:t>
      </w:r>
      <w:r w:rsidR="00D67ECC">
        <w:t>3</w:t>
      </w:r>
      <w:r w:rsidRPr="00BC0A13">
        <w:t xml:space="preserve">,000 households were capped under Housing Benefit and </w:t>
      </w:r>
      <w:r w:rsidR="00D67ECC">
        <w:t>9</w:t>
      </w:r>
      <w:r>
        <w:t xml:space="preserve">,800 under </w:t>
      </w:r>
      <w:r w:rsidR="00183A5E">
        <w:t xml:space="preserve">Universal Credit </w:t>
      </w:r>
      <w:r w:rsidR="008A2E27">
        <w:t>(UC)</w:t>
      </w:r>
      <w:r>
        <w:t>.</w:t>
      </w:r>
      <w:r w:rsidR="001D6B7B">
        <w:t xml:space="preserve"> </w:t>
      </w:r>
      <w:r>
        <w:t xml:space="preserve">The vast majority of those who had their Housing Benefit capped (79%) were capped only </w:t>
      </w:r>
      <w:r w:rsidR="003A0DFD">
        <w:t>because of</w:t>
      </w:r>
      <w:r>
        <w:t xml:space="preserve"> the</w:t>
      </w:r>
      <w:r w:rsidRPr="00BC0A13">
        <w:t xml:space="preserve"> introd</w:t>
      </w:r>
      <w:r>
        <w:t>uction of the lower cap levels.</w:t>
      </w:r>
      <w:r w:rsidR="001D6B7B">
        <w:t xml:space="preserve"> </w:t>
      </w:r>
      <w:r w:rsidR="00FD6AF5">
        <w:t>Figure</w:t>
      </w:r>
      <w:r>
        <w:t xml:space="preserve"> </w:t>
      </w:r>
      <w:r w:rsidR="0081564C">
        <w:t>1</w:t>
      </w:r>
      <w:r>
        <w:t xml:space="preserve"> shows the number of households that had their </w:t>
      </w:r>
      <w:r w:rsidR="00BB0814">
        <w:t>benefits</w:t>
      </w:r>
      <w:r>
        <w:t xml:space="preserve"> capped</w:t>
      </w:r>
      <w:r w:rsidR="008F36D6">
        <w:t xml:space="preserve"> at each month</w:t>
      </w:r>
      <w:r>
        <w:t xml:space="preserve"> </w:t>
      </w:r>
      <w:r w:rsidR="001F0752">
        <w:t xml:space="preserve">from its introduction </w:t>
      </w:r>
      <w:r>
        <w:t xml:space="preserve">to </w:t>
      </w:r>
      <w:r w:rsidR="00BB1EB0">
        <w:t>November</w:t>
      </w:r>
      <w:r>
        <w:t xml:space="preserve"> 2018.</w:t>
      </w:r>
      <w:r w:rsidR="0083137B">
        <w:rPr>
          <w:rStyle w:val="FootnoteReference"/>
        </w:rPr>
        <w:footnoteReference w:id="12"/>
      </w:r>
    </w:p>
    <w:p w14:paraId="4DEC14D7" w14:textId="77777777" w:rsidR="00E123DA" w:rsidRDefault="00E123DA" w:rsidP="00E123DA">
      <w:pPr>
        <w:pStyle w:val="Caption"/>
      </w:pPr>
      <w:r>
        <w:t>Figur</w:t>
      </w:r>
      <w:r w:rsidR="00CC7909">
        <w:t xml:space="preserve">e </w:t>
      </w:r>
      <w:r w:rsidR="00DC24AB">
        <w:t>1</w:t>
      </w:r>
      <w:r>
        <w:t xml:space="preserve">: Capped </w:t>
      </w:r>
      <w:r w:rsidR="000C62DA">
        <w:t xml:space="preserve">households at each month from April 2013 to </w:t>
      </w:r>
      <w:r w:rsidR="00EF7A05">
        <w:t>November</w:t>
      </w:r>
      <w:r w:rsidR="000C62DA">
        <w:t xml:space="preserve"> 2018</w:t>
      </w:r>
    </w:p>
    <w:p w14:paraId="74E86C7F" w14:textId="77777777" w:rsidR="00B93A8C" w:rsidRDefault="00FD5167" w:rsidP="00FD5167">
      <w:pPr>
        <w:pStyle w:val="GraphicPara"/>
      </w:pPr>
      <w:r w:rsidRPr="00FD5167">
        <w:rPr>
          <w:noProof/>
        </w:rPr>
        <w:drawing>
          <wp:inline distT="0" distB="0" distL="0" distR="0" wp14:anchorId="41CA1EA4" wp14:editId="61E48872">
            <wp:extent cx="5400040" cy="3089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089910"/>
                    </a:xfrm>
                    <a:prstGeom prst="rect">
                      <a:avLst/>
                    </a:prstGeom>
                  </pic:spPr>
                </pic:pic>
              </a:graphicData>
            </a:graphic>
          </wp:inline>
        </w:drawing>
      </w:r>
    </w:p>
    <w:p w14:paraId="13972FA9" w14:textId="77777777" w:rsidR="001F1038" w:rsidRPr="0042175A" w:rsidRDefault="001F1038" w:rsidP="0042175A">
      <w:pPr>
        <w:pStyle w:val="Source"/>
      </w:pPr>
      <w:r w:rsidRPr="0042175A">
        <w:t>Source:</w:t>
      </w:r>
      <w:r w:rsidR="000E69E5" w:rsidRPr="0042175A">
        <w:t xml:space="preserve"> </w:t>
      </w:r>
      <w:r w:rsidR="00845D21" w:rsidRPr="0042175A">
        <w:t>Department for Work and Pensions</w:t>
      </w:r>
      <w:r w:rsidR="000475D7" w:rsidRPr="0042175A">
        <w:t xml:space="preserve">: Benefit </w:t>
      </w:r>
      <w:r w:rsidR="00223552" w:rsidRPr="0042175A">
        <w:t>c</w:t>
      </w:r>
      <w:r w:rsidR="000475D7" w:rsidRPr="0042175A">
        <w:t>ap</w:t>
      </w:r>
      <w:r w:rsidR="00223552" w:rsidRPr="0042175A">
        <w:t xml:space="preserve"> quarterly</w:t>
      </w:r>
      <w:r w:rsidR="000475D7" w:rsidRPr="0042175A">
        <w:t xml:space="preserve"> </w:t>
      </w:r>
      <w:r w:rsidR="00223552" w:rsidRPr="0042175A">
        <w:t>s</w:t>
      </w:r>
      <w:r w:rsidR="000475D7" w:rsidRPr="0042175A">
        <w:t>tatistics</w:t>
      </w:r>
      <w:r w:rsidR="00223552" w:rsidRPr="0042175A">
        <w:t xml:space="preserve"> to November 2018</w:t>
      </w:r>
    </w:p>
    <w:p w14:paraId="2A0C330C" w14:textId="77777777" w:rsidR="00A50AE5" w:rsidRDefault="00A50AE5" w:rsidP="00DD455B">
      <w:pPr>
        <w:pStyle w:val="Para1"/>
      </w:pPr>
      <w:r>
        <w:t xml:space="preserve">The lower cap did </w:t>
      </w:r>
      <w:r w:rsidR="00E429A3">
        <w:t xml:space="preserve">result in a more even distribution of households affected by the cap </w:t>
      </w:r>
      <w:r>
        <w:t>across the UK, with the proportion of households affected in London down to 24%</w:t>
      </w:r>
      <w:r w:rsidR="00E429A3">
        <w:t xml:space="preserve"> in </w:t>
      </w:r>
      <w:r w:rsidR="008505B0">
        <w:t>November</w:t>
      </w:r>
      <w:r w:rsidR="00E429A3">
        <w:t xml:space="preserve"> 2018</w:t>
      </w:r>
      <w:r w:rsidR="00B12034">
        <w:t xml:space="preserve">, </w:t>
      </w:r>
      <w:r w:rsidR="00E429A3">
        <w:t>compared to 4</w:t>
      </w:r>
      <w:r>
        <w:t>0%</w:t>
      </w:r>
      <w:r w:rsidR="00E429A3">
        <w:t xml:space="preserve"> before the</w:t>
      </w:r>
      <w:r w:rsidR="00D508B7">
        <w:t xml:space="preserve"> lower</w:t>
      </w:r>
      <w:r w:rsidR="00E429A3">
        <w:t xml:space="preserve"> cap was implemented</w:t>
      </w:r>
      <w:r w:rsidRPr="00BC0A13">
        <w:t>.</w:t>
      </w:r>
      <w:r w:rsidR="00FF43BE">
        <w:rPr>
          <w:rStyle w:val="FootnoteReference"/>
        </w:rPr>
        <w:footnoteReference w:id="13"/>
      </w:r>
      <w:r>
        <w:t xml:space="preserve"> DWP's statistics for </w:t>
      </w:r>
      <w:r w:rsidR="008505B0">
        <w:t>November</w:t>
      </w:r>
      <w:r>
        <w:t xml:space="preserve"> 2018 show that the majority of </w:t>
      </w:r>
      <w:r w:rsidR="00595AFF">
        <w:t>households who had their Housing Benefit capped</w:t>
      </w:r>
      <w:r>
        <w:t xml:space="preserve"> </w:t>
      </w:r>
      <w:r w:rsidR="00E429A3">
        <w:t>were</w:t>
      </w:r>
      <w:r>
        <w:t xml:space="preserve"> still largely single</w:t>
      </w:r>
      <w:r w:rsidR="00B12034">
        <w:t xml:space="preserve"> </w:t>
      </w:r>
      <w:r>
        <w:t>parents (</w:t>
      </w:r>
      <w:r w:rsidR="00F27FC8">
        <w:t>74</w:t>
      </w:r>
      <w:r>
        <w:t xml:space="preserve">%), of </w:t>
      </w:r>
      <w:r w:rsidR="002A7591">
        <w:t xml:space="preserve">whom </w:t>
      </w:r>
      <w:r>
        <w:t xml:space="preserve">96% </w:t>
      </w:r>
      <w:r w:rsidR="00E429A3">
        <w:t>were</w:t>
      </w:r>
      <w:r>
        <w:t xml:space="preserve"> women.</w:t>
      </w:r>
      <w:r w:rsidR="006E4F18">
        <w:t xml:space="preserve"> </w:t>
      </w:r>
      <w:r>
        <w:t xml:space="preserve">Similarly, </w:t>
      </w:r>
      <w:r w:rsidR="002A7591">
        <w:t>the cap</w:t>
      </w:r>
      <w:r>
        <w:t xml:space="preserve"> </w:t>
      </w:r>
      <w:r w:rsidR="000229DD">
        <w:t xml:space="preserve">was still mainly </w:t>
      </w:r>
      <w:r w:rsidR="00B12034">
        <w:t>affec</w:t>
      </w:r>
      <w:r w:rsidR="000229DD">
        <w:t>ting</w:t>
      </w:r>
      <w:r>
        <w:t xml:space="preserve"> larger f</w:t>
      </w:r>
      <w:r w:rsidR="00E429A3">
        <w:t>amilies.</w:t>
      </w:r>
      <w:r w:rsidR="006E4F18">
        <w:t xml:space="preserve"> </w:t>
      </w:r>
      <w:r w:rsidR="00E429A3">
        <w:t xml:space="preserve">In </w:t>
      </w:r>
      <w:r w:rsidR="008505B0">
        <w:t>November</w:t>
      </w:r>
      <w:r w:rsidR="00E429A3">
        <w:t xml:space="preserve"> 2018, three quarters of </w:t>
      </w:r>
      <w:r w:rsidR="002A7591">
        <w:t xml:space="preserve">capped </w:t>
      </w:r>
      <w:r w:rsidR="00E429A3">
        <w:t>households had</w:t>
      </w:r>
      <w:r>
        <w:t xml:space="preserve"> three or more children.</w:t>
      </w:r>
      <w:r w:rsidR="00025711">
        <w:rPr>
          <w:rStyle w:val="FootnoteReference"/>
        </w:rPr>
        <w:footnoteReference w:id="14"/>
      </w:r>
      <w:r>
        <w:t xml:space="preserve"> </w:t>
      </w:r>
    </w:p>
    <w:p w14:paraId="37963916" w14:textId="77777777" w:rsidR="00A0527D" w:rsidRDefault="00C16A41" w:rsidP="00A50AE5">
      <w:pPr>
        <w:pStyle w:val="Heading2"/>
      </w:pPr>
      <w:r>
        <w:tab/>
      </w:r>
      <w:bookmarkStart w:id="21" w:name="_Toc431422"/>
      <w:r w:rsidR="005E665A">
        <w:t>Applying the cap</w:t>
      </w:r>
      <w:bookmarkEnd w:id="21"/>
    </w:p>
    <w:p w14:paraId="1918D2BE" w14:textId="77777777" w:rsidR="008B3223" w:rsidRDefault="00AB476A" w:rsidP="008B3223">
      <w:pPr>
        <w:pStyle w:val="Para1"/>
      </w:pPr>
      <w:r>
        <w:t>Whether</w:t>
      </w:r>
      <w:r w:rsidR="008B3223">
        <w:t xml:space="preserve"> a household's benefit income exceeds the cap</w:t>
      </w:r>
      <w:r>
        <w:t xml:space="preserve"> is determined</w:t>
      </w:r>
      <w:r w:rsidR="008B3223">
        <w:t xml:space="preserve"> by adding together the </w:t>
      </w:r>
      <w:r w:rsidR="00710E8F">
        <w:t>'</w:t>
      </w:r>
      <w:r w:rsidR="008B3223">
        <w:t>included</w:t>
      </w:r>
      <w:r w:rsidR="00710E8F">
        <w:t>'</w:t>
      </w:r>
      <w:r w:rsidR="008B3223">
        <w:t xml:space="preserve"> benefits that an individual, their partner and any </w:t>
      </w:r>
      <w:r w:rsidR="007B2EEB">
        <w:t xml:space="preserve">dependant </w:t>
      </w:r>
      <w:r w:rsidR="008B3223">
        <w:t xml:space="preserve">children </w:t>
      </w:r>
      <w:r w:rsidR="007B2EEB">
        <w:t>a</w:t>
      </w:r>
      <w:r w:rsidR="008B3223">
        <w:t>re entitled to.</w:t>
      </w:r>
      <w:r w:rsidR="001D6B7B">
        <w:t xml:space="preserve"> </w:t>
      </w:r>
      <w:r w:rsidR="008B3223">
        <w:t>It does not include the benefits of non-dependants, such as adult children or friends who live with the claimant.</w:t>
      </w:r>
      <w:r w:rsidR="006E4F18">
        <w:t xml:space="preserve"> </w:t>
      </w:r>
      <w:r w:rsidR="008B3223">
        <w:t xml:space="preserve">The </w:t>
      </w:r>
      <w:r w:rsidR="00C31C11">
        <w:t>figure below shows which</w:t>
      </w:r>
      <w:r w:rsidR="008B3223">
        <w:t xml:space="preserve"> benefits are </w:t>
      </w:r>
      <w:r w:rsidR="00710E8F">
        <w:t>included</w:t>
      </w:r>
      <w:r w:rsidR="00C31C11">
        <w:t xml:space="preserve"> </w:t>
      </w:r>
      <w:r w:rsidR="00320259">
        <w:t>when calculating if a household's benefits exceed the cap</w:t>
      </w:r>
      <w:r w:rsidR="008B3223">
        <w:t>:</w:t>
      </w:r>
    </w:p>
    <w:p w14:paraId="68597D04" w14:textId="77777777" w:rsidR="00042B13" w:rsidRDefault="00042B13" w:rsidP="00042B13">
      <w:pPr>
        <w:pStyle w:val="Caption"/>
      </w:pPr>
      <w:r>
        <w:t>Figure 2:  Benefits included in cap calculations</w:t>
      </w:r>
    </w:p>
    <w:p w14:paraId="4C1DF2EC" w14:textId="77777777" w:rsidR="004B0BA2" w:rsidRDefault="009E3830" w:rsidP="00042B13">
      <w:pPr>
        <w:pStyle w:val="Caption"/>
      </w:pPr>
      <w:r w:rsidRPr="009E3830">
        <w:rPr>
          <w:noProof/>
        </w:rPr>
        <w:drawing>
          <wp:inline distT="0" distB="0" distL="0" distR="0" wp14:anchorId="3F594DC0" wp14:editId="2A603D1D">
            <wp:extent cx="5400040" cy="31737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173730"/>
                    </a:xfrm>
                    <a:prstGeom prst="rect">
                      <a:avLst/>
                    </a:prstGeom>
                  </pic:spPr>
                </pic:pic>
              </a:graphicData>
            </a:graphic>
          </wp:inline>
        </w:drawing>
      </w:r>
    </w:p>
    <w:p w14:paraId="33FD13DD" w14:textId="77777777" w:rsidR="00986AD3" w:rsidRDefault="004B0BA2" w:rsidP="004B0BA2">
      <w:pPr>
        <w:pStyle w:val="Source"/>
      </w:pPr>
      <w:r>
        <w:t>Source: GOV.UK, Department for Work and Pensions (BEC0023)</w:t>
      </w:r>
    </w:p>
    <w:p w14:paraId="0EEFCDBE" w14:textId="77777777" w:rsidR="000A6D57" w:rsidRDefault="00414398" w:rsidP="00F52E43">
      <w:pPr>
        <w:pStyle w:val="Para1"/>
        <w:numPr>
          <w:ilvl w:val="0"/>
          <w:numId w:val="0"/>
        </w:numPr>
        <w:ind w:left="578"/>
      </w:pPr>
      <w:r>
        <w:t>Until</w:t>
      </w:r>
      <w:r w:rsidR="000A6D57">
        <w:t xml:space="preserve"> November 2016, Carer's Allowance and Guardian's Allowance were includ</w:t>
      </w:r>
      <w:r w:rsidR="002D17F3">
        <w:t>ed in the cap calculations.</w:t>
      </w:r>
      <w:r w:rsidR="006E4F18">
        <w:t xml:space="preserve"> </w:t>
      </w:r>
      <w:r w:rsidR="002D17F3">
        <w:t>Since then</w:t>
      </w:r>
      <w:r w:rsidR="00885A15">
        <w:t>,</w:t>
      </w:r>
      <w:r w:rsidR="002D17F3">
        <w:t xml:space="preserve"> </w:t>
      </w:r>
      <w:r w:rsidR="000A6D57">
        <w:t xml:space="preserve">households including someone entitled to one of these elements, or </w:t>
      </w:r>
      <w:r>
        <w:t xml:space="preserve">to </w:t>
      </w:r>
      <w:r w:rsidR="000A6D57">
        <w:t xml:space="preserve">the carer element in </w:t>
      </w:r>
      <w:r w:rsidR="00183A5E">
        <w:t>UC</w:t>
      </w:r>
      <w:r w:rsidR="002910FE">
        <w:t>,</w:t>
      </w:r>
      <w:r w:rsidR="000A6D57">
        <w:t xml:space="preserve"> have been exempt from the cap. </w:t>
      </w:r>
    </w:p>
    <w:p w14:paraId="20B4BE4D" w14:textId="77777777" w:rsidR="003C1A77" w:rsidRDefault="003C1A77" w:rsidP="003C1A77">
      <w:pPr>
        <w:pStyle w:val="Heading3"/>
      </w:pPr>
      <w:bookmarkStart w:id="22" w:name="_Toc431423"/>
      <w:r>
        <w:t xml:space="preserve">Housing Benefit vs </w:t>
      </w:r>
      <w:r w:rsidR="00183A5E">
        <w:t>UC</w:t>
      </w:r>
      <w:bookmarkEnd w:id="22"/>
    </w:p>
    <w:p w14:paraId="50F5665D" w14:textId="77777777" w:rsidR="00DD65BE" w:rsidRPr="00DD65BE" w:rsidRDefault="005C75A4" w:rsidP="00DD65BE">
      <w:pPr>
        <w:pStyle w:val="Para1"/>
      </w:pPr>
      <w:r>
        <w:t>The cap operates by applying d</w:t>
      </w:r>
      <w:r w:rsidR="00DD65BE" w:rsidRPr="00DD65BE">
        <w:t xml:space="preserve">eductions to </w:t>
      </w:r>
      <w:r w:rsidR="00C942F4">
        <w:t xml:space="preserve">a </w:t>
      </w:r>
      <w:r w:rsidR="00DD65BE" w:rsidRPr="00DD65BE">
        <w:t>household</w:t>
      </w:r>
      <w:r w:rsidR="00172E29">
        <w:t>'s</w:t>
      </w:r>
      <w:r w:rsidR="00DD65BE" w:rsidRPr="00DD65BE">
        <w:t xml:space="preserve"> bene</w:t>
      </w:r>
      <w:r>
        <w:t>fits</w:t>
      </w:r>
      <w:r w:rsidR="00885A15">
        <w:t>. The way in which this is done depends</w:t>
      </w:r>
      <w:r w:rsidR="00146CED">
        <w:t xml:space="preserve"> on the whether </w:t>
      </w:r>
      <w:r w:rsidR="00303198">
        <w:t>the household receives</w:t>
      </w:r>
      <w:r w:rsidR="00146CED">
        <w:t xml:space="preserve"> Housing Benefit or </w:t>
      </w:r>
      <w:r w:rsidR="00183A5E">
        <w:t>UC</w:t>
      </w:r>
      <w:r>
        <w:t>.</w:t>
      </w:r>
      <w:r w:rsidR="006E4F18">
        <w:t xml:space="preserve"> </w:t>
      </w:r>
      <w:r w:rsidR="00DD65BE" w:rsidRPr="00DD65BE">
        <w:t>For Housing Benefit claimants, the cap is administered by local authorities who reduce the amount of Housing Benefit the</w:t>
      </w:r>
      <w:r w:rsidR="00A04E99">
        <w:t xml:space="preserve"> claimant</w:t>
      </w:r>
      <w:r w:rsidR="00DD65BE" w:rsidRPr="00DD65BE">
        <w:t xml:space="preserve"> receive</w:t>
      </w:r>
      <w:r w:rsidR="00A04E99">
        <w:t>s</w:t>
      </w:r>
      <w:r w:rsidR="00DD65BE" w:rsidRPr="00DD65BE">
        <w:t>.</w:t>
      </w:r>
      <w:r w:rsidR="006E4F18">
        <w:t xml:space="preserve"> </w:t>
      </w:r>
      <w:r w:rsidR="00337B4A" w:rsidRPr="00621450">
        <w:t xml:space="preserve">The Department explained that </w:t>
      </w:r>
      <w:r w:rsidR="00934C88" w:rsidRPr="00621450">
        <w:t>it had taken</w:t>
      </w:r>
      <w:r w:rsidR="00337B4A" w:rsidRPr="00621450">
        <w:t xml:space="preserve"> the initial approach of reducing only a claimant's Housing Benefit because of the practical difficulties of  reducing their total income under legacy benefits</w:t>
      </w:r>
      <w:r w:rsidR="00337B4A">
        <w:t>.</w:t>
      </w:r>
      <w:r w:rsidR="00337B4A">
        <w:rPr>
          <w:rStyle w:val="FootnoteReference"/>
        </w:rPr>
        <w:footnoteReference w:id="15"/>
      </w:r>
      <w:r w:rsidR="00337B4A">
        <w:t xml:space="preserve"> </w:t>
      </w:r>
      <w:r w:rsidR="00DD65BE" w:rsidRPr="00DD65BE">
        <w:t xml:space="preserve">For claimants </w:t>
      </w:r>
      <w:r w:rsidR="00812FF1">
        <w:t>on</w:t>
      </w:r>
      <w:r w:rsidR="00A91642">
        <w:t xml:space="preserve"> </w:t>
      </w:r>
      <w:r w:rsidR="00183A5E">
        <w:t>UC</w:t>
      </w:r>
      <w:r w:rsidR="00A04E99">
        <w:t>,</w:t>
      </w:r>
      <w:r w:rsidR="00DD65BE" w:rsidRPr="00DD65BE">
        <w:t xml:space="preserve"> </w:t>
      </w:r>
      <w:r>
        <w:t>reductions</w:t>
      </w:r>
      <w:r w:rsidR="00DD65BE" w:rsidRPr="00DD65BE">
        <w:t xml:space="preserve"> </w:t>
      </w:r>
      <w:r w:rsidR="00A91642">
        <w:t>are</w:t>
      </w:r>
      <w:r w:rsidR="00DD65BE" w:rsidRPr="00DD65BE">
        <w:t xml:space="preserve"> applied to their total </w:t>
      </w:r>
      <w:r w:rsidR="00183A5E">
        <w:t>UC</w:t>
      </w:r>
      <w:r w:rsidR="00DD65BE" w:rsidRPr="00DD65BE">
        <w:t xml:space="preserve"> award.</w:t>
      </w:r>
      <w:r w:rsidR="001D6B7B">
        <w:t xml:space="preserve"> </w:t>
      </w:r>
      <w:r w:rsidR="00303198">
        <w:t>Of the 2</w:t>
      </w:r>
      <w:r w:rsidR="00A2796C">
        <w:t>20</w:t>
      </w:r>
      <w:r w:rsidR="00303198">
        <w:t>,000 households that have been capped at some point between the cap's introduction and</w:t>
      </w:r>
      <w:r w:rsidR="00DD65BE" w:rsidRPr="00DD65BE">
        <w:t xml:space="preserve"> </w:t>
      </w:r>
      <w:r w:rsidR="00A2796C">
        <w:t>November</w:t>
      </w:r>
      <w:r w:rsidR="00DD65BE" w:rsidRPr="00DD65BE">
        <w:t xml:space="preserve"> 2018, </w:t>
      </w:r>
      <w:r w:rsidR="00964EFC">
        <w:t>the majority (</w:t>
      </w:r>
      <w:r w:rsidR="00303198">
        <w:t>9</w:t>
      </w:r>
      <w:r w:rsidR="00A2796C">
        <w:t>1</w:t>
      </w:r>
      <w:r w:rsidR="006105C0">
        <w:t>%</w:t>
      </w:r>
      <w:r w:rsidR="00964EFC">
        <w:t>)</w:t>
      </w:r>
      <w:r w:rsidR="00B276AF">
        <w:t xml:space="preserve"> </w:t>
      </w:r>
      <w:r w:rsidR="006105C0">
        <w:t>were capped via their Housing Benefit, while just</w:t>
      </w:r>
      <w:r w:rsidR="006E4F18">
        <w:t xml:space="preserve"> </w:t>
      </w:r>
      <w:r w:rsidR="00046B24">
        <w:t>9</w:t>
      </w:r>
      <w:r w:rsidR="006105C0">
        <w:t>% were capped via</w:t>
      </w:r>
      <w:r w:rsidR="00DD65BE" w:rsidRPr="00DD65BE">
        <w:t xml:space="preserve"> their </w:t>
      </w:r>
      <w:r w:rsidR="00183A5E">
        <w:t>UC</w:t>
      </w:r>
      <w:r w:rsidR="00D5615B">
        <w:t xml:space="preserve"> award</w:t>
      </w:r>
      <w:r w:rsidR="00DD65BE" w:rsidRPr="00DD65BE">
        <w:t xml:space="preserve">. </w:t>
      </w:r>
      <w:r w:rsidR="0008401B">
        <w:rPr>
          <w:rStyle w:val="FootnoteReference"/>
        </w:rPr>
        <w:footnoteReference w:id="16"/>
      </w:r>
      <w:r w:rsidR="006E4F18">
        <w:t xml:space="preserve"> </w:t>
      </w:r>
      <w:r w:rsidR="00864752">
        <w:t xml:space="preserve">The number of households </w:t>
      </w:r>
      <w:r w:rsidR="00BC3559">
        <w:t xml:space="preserve">who </w:t>
      </w:r>
      <w:r w:rsidR="002B1071">
        <w:t xml:space="preserve">are capped via </w:t>
      </w:r>
      <w:r w:rsidR="00183A5E">
        <w:t>UC</w:t>
      </w:r>
      <w:r w:rsidR="002B1071">
        <w:t xml:space="preserve"> </w:t>
      </w:r>
      <w:r w:rsidR="00864752">
        <w:t>will increase as more people move onto the benefit.</w:t>
      </w:r>
    </w:p>
    <w:p w14:paraId="045C636A" w14:textId="77777777" w:rsidR="00DD65BE" w:rsidRPr="00DD65BE" w:rsidRDefault="00DD65BE" w:rsidP="00DD65BE">
      <w:pPr>
        <w:pStyle w:val="Heading3"/>
      </w:pPr>
      <w:bookmarkStart w:id="23" w:name="_Toc431424"/>
      <w:r w:rsidRPr="00DD65BE">
        <w:t>Exemptions</w:t>
      </w:r>
      <w:bookmarkEnd w:id="23"/>
    </w:p>
    <w:p w14:paraId="675E8E68" w14:textId="77777777" w:rsidR="00405EAD" w:rsidRDefault="00DD65BE" w:rsidP="00DD65BE">
      <w:pPr>
        <w:pStyle w:val="Para1"/>
      </w:pPr>
      <w:r w:rsidRPr="00DD65BE">
        <w:t xml:space="preserve"> There are some circumstances in which the cap does not apply.</w:t>
      </w:r>
      <w:r w:rsidR="006E4F18">
        <w:t xml:space="preserve"> </w:t>
      </w:r>
      <w:r w:rsidR="00405EAD">
        <w:t xml:space="preserve">The full list of exemptions </w:t>
      </w:r>
      <w:r w:rsidR="00046D8A">
        <w:t xml:space="preserve">is </w:t>
      </w:r>
      <w:r w:rsidR="00D5615B">
        <w:t>set out in the figure below</w:t>
      </w:r>
      <w:r w:rsidR="00405EAD">
        <w:t>.</w:t>
      </w:r>
      <w:r w:rsidR="006E4F18">
        <w:t xml:space="preserve"> </w:t>
      </w:r>
      <w:r w:rsidR="000E40D6">
        <w:t>In its written evidence</w:t>
      </w:r>
      <w:r w:rsidR="00831163">
        <w:t>,</w:t>
      </w:r>
      <w:r w:rsidR="000E40D6">
        <w:t xml:space="preserve"> the Department </w:t>
      </w:r>
      <w:r w:rsidR="00291E5F">
        <w:t>explained that the</w:t>
      </w:r>
      <w:r w:rsidR="000E40D6">
        <w:t xml:space="preserve"> main reasons for exemptions are:</w:t>
      </w:r>
    </w:p>
    <w:p w14:paraId="318A0EC3" w14:textId="77777777" w:rsidR="00405EAD" w:rsidRDefault="00405EAD" w:rsidP="000E40D6">
      <w:pPr>
        <w:pStyle w:val="UnorderedList1"/>
      </w:pPr>
      <w:r>
        <w:t>To support the work incentive</w:t>
      </w:r>
      <w:r w:rsidR="00E13BFC">
        <w:t>—</w:t>
      </w:r>
      <w:r>
        <w:t>claimants who work and receive Working Tax Credits (WTC) or earn over £542 a week</w:t>
      </w:r>
      <w:r w:rsidR="00333C46">
        <w:t xml:space="preserve"> and are</w:t>
      </w:r>
      <w:r>
        <w:t xml:space="preserve"> </w:t>
      </w:r>
      <w:r w:rsidR="00F07A35">
        <w:t xml:space="preserve">on </w:t>
      </w:r>
      <w:r w:rsidR="00183A5E">
        <w:t>UC</w:t>
      </w:r>
      <w:r w:rsidR="00F07A35">
        <w:t xml:space="preserve"> </w:t>
      </w:r>
      <w:r>
        <w:t>are exempt</w:t>
      </w:r>
      <w:r w:rsidR="00F07A35">
        <w:t xml:space="preserve"> from the cap</w:t>
      </w:r>
      <w:r>
        <w:t>;</w:t>
      </w:r>
      <w:r w:rsidR="006B78D2">
        <w:t xml:space="preserve"> and</w:t>
      </w:r>
    </w:p>
    <w:p w14:paraId="186526A9" w14:textId="77777777" w:rsidR="000E40D6" w:rsidRDefault="00291E5F" w:rsidP="008F1D58">
      <w:pPr>
        <w:pStyle w:val="UnorderedList1"/>
      </w:pPr>
      <w:r>
        <w:t>T</w:t>
      </w:r>
      <w:r w:rsidR="000E40D6">
        <w:t>o ensure a safety net for the most vulnerable</w:t>
      </w:r>
      <w:r w:rsidR="00E13BFC">
        <w:t>—</w:t>
      </w:r>
      <w:r w:rsidR="000E40D6">
        <w:t xml:space="preserve">households are exempt </w:t>
      </w:r>
      <w:r>
        <w:t>if</w:t>
      </w:r>
      <w:r w:rsidR="000E40D6">
        <w:t xml:space="preserve"> someone in the household is in receipt of a disability benefit such as </w:t>
      </w:r>
      <w:r w:rsidR="00951868">
        <w:t>Personal Independence Payment (</w:t>
      </w:r>
      <w:r w:rsidR="000E40D6">
        <w:t>PIP</w:t>
      </w:r>
      <w:r w:rsidR="00951868">
        <w:t>)</w:t>
      </w:r>
      <w:r w:rsidR="000E40D6">
        <w:t xml:space="preserve"> or </w:t>
      </w:r>
      <w:r w:rsidR="00951868">
        <w:t>Disability Living Allowance (</w:t>
      </w:r>
      <w:r w:rsidR="000E40D6">
        <w:t>DLA</w:t>
      </w:r>
      <w:r w:rsidR="00951868">
        <w:t>)</w:t>
      </w:r>
      <w:r w:rsidR="000E40D6">
        <w:t>.</w:t>
      </w:r>
      <w:r w:rsidR="006E4F18">
        <w:t xml:space="preserve"> </w:t>
      </w:r>
      <w:r w:rsidR="000E40D6">
        <w:t>Households in receipt of Carer's Allowance and Guardian's Allowance have</w:t>
      </w:r>
      <w:r w:rsidR="00951868">
        <w:t xml:space="preserve"> also</w:t>
      </w:r>
      <w:r w:rsidR="000E40D6">
        <w:t xml:space="preserve"> been exempt from the cap since November 2016.</w:t>
      </w:r>
      <w:r w:rsidR="0099287D">
        <w:rPr>
          <w:rStyle w:val="FootnoteReference"/>
        </w:rPr>
        <w:footnoteReference w:id="17"/>
      </w:r>
    </w:p>
    <w:p w14:paraId="4AAEC871" w14:textId="77777777" w:rsidR="00F128C4" w:rsidRDefault="00F128C4" w:rsidP="00F128C4">
      <w:pPr>
        <w:pStyle w:val="Caption"/>
      </w:pPr>
      <w:r>
        <w:t>Figure 3: Exemptions from the benefit cap</w:t>
      </w:r>
    </w:p>
    <w:p w14:paraId="2E4C81AD" w14:textId="77777777" w:rsidR="00967F7B" w:rsidRDefault="00B64A5E" w:rsidP="00E432B5">
      <w:pPr>
        <w:pStyle w:val="Source"/>
      </w:pPr>
      <w:r w:rsidRPr="00B64A5E">
        <w:rPr>
          <w:noProof/>
        </w:rPr>
        <w:drawing>
          <wp:inline distT="0" distB="0" distL="0" distR="0" wp14:anchorId="40B0AF85" wp14:editId="79CE6237">
            <wp:extent cx="5575300" cy="3174365"/>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300" cy="3174365"/>
                    </a:xfrm>
                    <a:prstGeom prst="rect">
                      <a:avLst/>
                    </a:prstGeom>
                  </pic:spPr>
                </pic:pic>
              </a:graphicData>
            </a:graphic>
          </wp:inline>
        </w:drawing>
      </w:r>
      <w:r w:rsidR="00967F7B">
        <w:t>Source: GOV.UK</w:t>
      </w:r>
    </w:p>
    <w:p w14:paraId="48178F88" w14:textId="77777777" w:rsidR="00164C5C" w:rsidRDefault="00646D57" w:rsidP="00164C5C">
      <w:pPr>
        <w:pStyle w:val="Heading3"/>
      </w:pPr>
      <w:bookmarkStart w:id="24" w:name="_Toc431425"/>
      <w:r>
        <w:t>Grace p</w:t>
      </w:r>
      <w:r w:rsidR="00164C5C">
        <w:t>eriod</w:t>
      </w:r>
      <w:bookmarkEnd w:id="24"/>
    </w:p>
    <w:p w14:paraId="4AEA2B66" w14:textId="77777777" w:rsidR="00115B40" w:rsidRDefault="00831163" w:rsidP="00504452">
      <w:pPr>
        <w:pStyle w:val="Para1"/>
      </w:pPr>
      <w:r>
        <w:t>I</w:t>
      </w:r>
      <w:r w:rsidR="00646D57">
        <w:t xml:space="preserve">f </w:t>
      </w:r>
      <w:r w:rsidR="00EC6F6A">
        <w:t xml:space="preserve">a </w:t>
      </w:r>
      <w:r w:rsidR="00251FCF">
        <w:t>claimant or their partner</w:t>
      </w:r>
      <w:r w:rsidR="00EC6F6A">
        <w:t xml:space="preserve"> was </w:t>
      </w:r>
      <w:r w:rsidR="00B80CB4">
        <w:t>in work</w:t>
      </w:r>
      <w:r w:rsidR="00EC6F6A">
        <w:t xml:space="preserve"> consistently for the last 12 months</w:t>
      </w:r>
      <w:r>
        <w:t>, there is a 'grace period' during which the benefit cap is not applied</w:t>
      </w:r>
      <w:r w:rsidR="00EC6F6A">
        <w:t>.</w:t>
      </w:r>
      <w:r w:rsidR="001D6B7B">
        <w:t xml:space="preserve"> </w:t>
      </w:r>
      <w:r w:rsidR="00504452">
        <w:t xml:space="preserve">The grace period lasts for 39 weeks for Housing Benefit claimants </w:t>
      </w:r>
      <w:r w:rsidR="008A576E">
        <w:t>and</w:t>
      </w:r>
      <w:r w:rsidR="00504452">
        <w:t xml:space="preserve"> 9 months for </w:t>
      </w:r>
      <w:r w:rsidR="00183A5E">
        <w:t>UC</w:t>
      </w:r>
      <w:r w:rsidR="00504452">
        <w:t xml:space="preserve"> claimants.</w:t>
      </w:r>
    </w:p>
    <w:p w14:paraId="148FBD7A" w14:textId="77777777" w:rsidR="00962F82" w:rsidRDefault="00917FCF" w:rsidP="00917FCF">
      <w:pPr>
        <w:pStyle w:val="Heading2"/>
      </w:pPr>
      <w:bookmarkStart w:id="25" w:name="_Toc431426"/>
      <w:r>
        <w:t>Our inquiry</w:t>
      </w:r>
      <w:bookmarkEnd w:id="25"/>
    </w:p>
    <w:p w14:paraId="6964A77E" w14:textId="77777777" w:rsidR="00A56FB9" w:rsidRPr="00A56FB9" w:rsidRDefault="00A56FB9" w:rsidP="00A56FB9">
      <w:pPr>
        <w:pStyle w:val="Para1"/>
      </w:pPr>
      <w:r>
        <w:t>We initially began our inquiry into th</w:t>
      </w:r>
      <w:r w:rsidR="00627995">
        <w:t xml:space="preserve">e benefit cap in February 2017, </w:t>
      </w:r>
      <w:r>
        <w:t xml:space="preserve">following </w:t>
      </w:r>
      <w:r w:rsidR="00CF7D8E">
        <w:t>concerns a</w:t>
      </w:r>
      <w:r w:rsidR="00EB0069">
        <w:t>bout</w:t>
      </w:r>
      <w:r w:rsidR="00CF7D8E">
        <w:t xml:space="preserve"> how the cap was working in practice and the impact it was having on claimants</w:t>
      </w:r>
      <w:r w:rsidR="00E32E5D">
        <w:t>.</w:t>
      </w:r>
      <w:r w:rsidR="006E4F18">
        <w:t xml:space="preserve"> </w:t>
      </w:r>
      <w:r w:rsidR="00F3316C">
        <w:t>Our</w:t>
      </w:r>
      <w:r w:rsidR="00E32E5D">
        <w:t xml:space="preserve"> initial inquiry </w:t>
      </w:r>
      <w:r w:rsidR="00EB6441">
        <w:t xml:space="preserve">could not continue </w:t>
      </w:r>
      <w:r w:rsidR="00EB0069">
        <w:t>because of th</w:t>
      </w:r>
      <w:r w:rsidR="00EB6441">
        <w:t>e 2017</w:t>
      </w:r>
      <w:r w:rsidR="00E32E5D">
        <w:t xml:space="preserve"> General Election.</w:t>
      </w:r>
      <w:r w:rsidR="006E4F18">
        <w:t xml:space="preserve"> </w:t>
      </w:r>
      <w:r>
        <w:t>We re-launched the inquiry in September 2018</w:t>
      </w:r>
      <w:r w:rsidR="00E32E5D">
        <w:t>.</w:t>
      </w:r>
      <w:r>
        <w:tab/>
      </w:r>
    </w:p>
    <w:p w14:paraId="557A7320" w14:textId="77777777" w:rsidR="00A56FB9" w:rsidRPr="00917FCF" w:rsidRDefault="00E32E5D" w:rsidP="00A43062">
      <w:pPr>
        <w:pStyle w:val="Para1"/>
      </w:pPr>
      <w:r>
        <w:t xml:space="preserve">We would like to thank everyone who provided </w:t>
      </w:r>
      <w:r w:rsidR="00B64A5E">
        <w:t xml:space="preserve">both </w:t>
      </w:r>
      <w:r>
        <w:t xml:space="preserve">written and oral evidence to the Committee. </w:t>
      </w:r>
      <w:r w:rsidR="00A56FB9">
        <w:t>We are grateful</w:t>
      </w:r>
      <w:r w:rsidR="008A576E">
        <w:t xml:space="preserve"> in particular</w:t>
      </w:r>
      <w:r w:rsidR="00A56FB9">
        <w:t xml:space="preserve"> </w:t>
      </w:r>
      <w:r w:rsidR="00B64A5E">
        <w:t>to Sally, Emma</w:t>
      </w:r>
      <w:r w:rsidR="001744A8">
        <w:t xml:space="preserve">, </w:t>
      </w:r>
      <w:r w:rsidR="00B64A5E">
        <w:t>Paula</w:t>
      </w:r>
      <w:r w:rsidR="001744A8">
        <w:t xml:space="preserve"> and Jo </w:t>
      </w:r>
      <w:r w:rsidR="00FE5ED9">
        <w:t>who shared their personal experiences of the cap so candidly</w:t>
      </w:r>
      <w:r>
        <w:t>.</w:t>
      </w:r>
      <w:r w:rsidR="006E4F18">
        <w:t xml:space="preserve"> </w:t>
      </w:r>
      <w:r w:rsidR="00FE5ED9">
        <w:t>Their evidence was invaluable to our inquiry.</w:t>
      </w:r>
    </w:p>
    <w:p w14:paraId="559F711C" w14:textId="77777777" w:rsidR="00962F82" w:rsidRDefault="009F59E1" w:rsidP="00962F82">
      <w:pPr>
        <w:pStyle w:val="ChapterHeading1"/>
      </w:pPr>
      <w:bookmarkStart w:id="26" w:name="_Toc431427"/>
      <w:r>
        <w:t xml:space="preserve"> </w:t>
      </w:r>
      <w:r w:rsidR="00C552FD">
        <w:t xml:space="preserve">Does the </w:t>
      </w:r>
      <w:r w:rsidR="008A576E">
        <w:t xml:space="preserve">benefit </w:t>
      </w:r>
      <w:r w:rsidR="00C552FD">
        <w:t>cap incentivise work?</w:t>
      </w:r>
      <w:bookmarkEnd w:id="26"/>
    </w:p>
    <w:p w14:paraId="60C31AE2" w14:textId="77777777" w:rsidR="00962F82" w:rsidRDefault="004D64BE" w:rsidP="004D64BE">
      <w:pPr>
        <w:pStyle w:val="Heading2"/>
      </w:pPr>
      <w:bookmarkStart w:id="27" w:name="_Toc431428"/>
      <w:r>
        <w:t>Benefit cap as a work incentive</w:t>
      </w:r>
      <w:bookmarkEnd w:id="27"/>
    </w:p>
    <w:p w14:paraId="37EB3688" w14:textId="77777777" w:rsidR="003C545E" w:rsidRDefault="00FA3B95" w:rsidP="00A02EB7">
      <w:pPr>
        <w:pStyle w:val="Para1"/>
      </w:pPr>
      <w:r>
        <w:t>Alongside</w:t>
      </w:r>
      <w:r w:rsidR="009277C5">
        <w:t xml:space="preserve"> the benefit cap's</w:t>
      </w:r>
      <w:r>
        <w:t xml:space="preserve"> aims to restore fairness to the benefit system</w:t>
      </w:r>
      <w:r w:rsidR="00C02B2C">
        <w:t xml:space="preserve"> and</w:t>
      </w:r>
      <w:r w:rsidR="00330698">
        <w:t xml:space="preserve"> </w:t>
      </w:r>
      <w:r w:rsidR="009D65E8">
        <w:t>secure</w:t>
      </w:r>
      <w:r w:rsidR="00C02B2C">
        <w:t xml:space="preserve"> financial savings</w:t>
      </w:r>
      <w:r>
        <w:t>, t</w:t>
      </w:r>
      <w:r w:rsidR="004D64BE">
        <w:t xml:space="preserve">he </w:t>
      </w:r>
      <w:r w:rsidR="005F03EA">
        <w:t>DWP</w:t>
      </w:r>
      <w:r w:rsidR="004D64BE">
        <w:t xml:space="preserve"> s</w:t>
      </w:r>
      <w:r w:rsidR="00AA728C">
        <w:t>ays</w:t>
      </w:r>
      <w:r w:rsidR="004D64BE">
        <w:t xml:space="preserve"> </w:t>
      </w:r>
      <w:r w:rsidR="00330698">
        <w:t xml:space="preserve">the cap </w:t>
      </w:r>
      <w:r w:rsidR="009277C5">
        <w:t>aims</w:t>
      </w:r>
      <w:r w:rsidR="00C52FB2">
        <w:t xml:space="preserve"> to</w:t>
      </w:r>
      <w:r w:rsidR="003C545E">
        <w:t>:</w:t>
      </w:r>
    </w:p>
    <w:p w14:paraId="5597BE7F" w14:textId="77777777" w:rsidR="00CA7399" w:rsidRDefault="00C52FB2" w:rsidP="00FA3B95">
      <w:pPr>
        <w:pStyle w:val="Quote"/>
      </w:pPr>
      <w:r w:rsidRPr="000034C2">
        <w:rPr>
          <w:rStyle w:val="Emphasis"/>
        </w:rPr>
        <w:t>Incentivise work - to reduce poverty and increase economic prosperity.</w:t>
      </w:r>
      <w:r w:rsidR="00EF3000">
        <w:rPr>
          <w:rStyle w:val="FootnoteReference"/>
        </w:rPr>
        <w:footnoteReference w:id="18"/>
      </w:r>
    </w:p>
    <w:p w14:paraId="2E40F760" w14:textId="77777777" w:rsidR="00CA7399" w:rsidRDefault="009277C5" w:rsidP="00A43062">
      <w:pPr>
        <w:pStyle w:val="Para"/>
      </w:pPr>
      <w:r>
        <w:t>The Department explained</w:t>
      </w:r>
      <w:r w:rsidR="008F1D58">
        <w:t xml:space="preserve"> that exemptions for claimants who</w:t>
      </w:r>
      <w:r w:rsidR="00575CBC">
        <w:t xml:space="preserve"> </w:t>
      </w:r>
      <w:r w:rsidR="000368EA">
        <w:t>receive</w:t>
      </w:r>
      <w:r w:rsidR="00575CBC">
        <w:t xml:space="preserve"> Working Tax Credit</w:t>
      </w:r>
      <w:r w:rsidR="000368EA">
        <w:t>s</w:t>
      </w:r>
      <w:r w:rsidR="00711513">
        <w:t>,</w:t>
      </w:r>
      <w:r w:rsidR="00575CBC">
        <w:t xml:space="preserve"> or </w:t>
      </w:r>
      <w:r w:rsidR="008F1D58">
        <w:t>whose</w:t>
      </w:r>
      <w:r w:rsidR="00575CBC">
        <w:t xml:space="preserve"> earnings rise above the </w:t>
      </w:r>
      <w:r w:rsidR="00183A5E">
        <w:t>UC</w:t>
      </w:r>
      <w:r w:rsidR="00575CBC">
        <w:t xml:space="preserve"> earnings threshold of £542 a </w:t>
      </w:r>
      <w:r w:rsidR="000368EA">
        <w:t>month</w:t>
      </w:r>
      <w:r>
        <w:t>,</w:t>
      </w:r>
      <w:r w:rsidR="008F1D58">
        <w:t xml:space="preserve"> exist to provide</w:t>
      </w:r>
      <w:r w:rsidR="00685313">
        <w:t xml:space="preserve"> claimants with</w:t>
      </w:r>
      <w:r w:rsidR="008F1D58">
        <w:t xml:space="preserve"> a work incentive</w:t>
      </w:r>
      <w:r w:rsidR="00575CBC">
        <w:t>.</w:t>
      </w:r>
      <w:r w:rsidR="00E432B5">
        <w:t xml:space="preserve"> </w:t>
      </w:r>
      <w:r w:rsidR="00C552FD">
        <w:t>Claimants can escape the cap by</w:t>
      </w:r>
      <w:r w:rsidR="008F1D58">
        <w:t xml:space="preserve"> moving into</w:t>
      </w:r>
      <w:r w:rsidR="00685313">
        <w:t xml:space="preserve"> work </w:t>
      </w:r>
      <w:r w:rsidR="008F1D58">
        <w:t>or increasing their hours to a minimum of</w:t>
      </w:r>
      <w:r w:rsidR="00763C43">
        <w:t xml:space="preserve"> around 16 hours a week.</w:t>
      </w:r>
      <w:r>
        <w:rPr>
          <w:rStyle w:val="FootnoteReference"/>
        </w:rPr>
        <w:footnoteReference w:id="19"/>
      </w:r>
      <w:r w:rsidR="00763C43">
        <w:t xml:space="preserve"> </w:t>
      </w:r>
    </w:p>
    <w:p w14:paraId="0AC8AD67" w14:textId="77777777" w:rsidR="00074769" w:rsidRPr="00074769" w:rsidRDefault="00DC6ADB" w:rsidP="008D4A02">
      <w:pPr>
        <w:pStyle w:val="Heading2"/>
      </w:pPr>
      <w:bookmarkStart w:id="28" w:name="_Toc431432"/>
      <w:r>
        <w:t xml:space="preserve">Disproportionate </w:t>
      </w:r>
      <w:r w:rsidR="00D80E43">
        <w:t>impact on certain groups</w:t>
      </w:r>
      <w:bookmarkEnd w:id="28"/>
    </w:p>
    <w:p w14:paraId="4FB10ABB" w14:textId="77777777" w:rsidR="00D47A85" w:rsidRDefault="004F559B" w:rsidP="002A7154">
      <w:pPr>
        <w:pStyle w:val="Para1"/>
      </w:pPr>
      <w:r>
        <w:t>E</w:t>
      </w:r>
      <w:r w:rsidR="00280B42">
        <w:t>vidence</w:t>
      </w:r>
      <w:r w:rsidR="000A7153">
        <w:t xml:space="preserve"> to our inquiry </w:t>
      </w:r>
      <w:r w:rsidR="00F7075E">
        <w:t>raised concerns</w:t>
      </w:r>
      <w:r w:rsidR="00622F32">
        <w:t xml:space="preserve"> that the </w:t>
      </w:r>
      <w:r w:rsidR="00074769">
        <w:t>cap</w:t>
      </w:r>
      <w:r w:rsidR="00622F32">
        <w:t xml:space="preserve"> disproportionately impacts household</w:t>
      </w:r>
      <w:r w:rsidR="00481BBE">
        <w:t>s</w:t>
      </w:r>
      <w:r w:rsidR="00813D8A">
        <w:t xml:space="preserve"> that</w:t>
      </w:r>
      <w:r w:rsidR="00622F32">
        <w:t xml:space="preserve"> </w:t>
      </w:r>
      <w:r w:rsidR="001A5745">
        <w:t xml:space="preserve">the Department </w:t>
      </w:r>
      <w:r w:rsidR="00DA20DB">
        <w:t xml:space="preserve">itself </w:t>
      </w:r>
      <w:r w:rsidR="001A5745">
        <w:t>has recognised</w:t>
      </w:r>
      <w:r w:rsidR="00D83B82">
        <w:t>—through its own assessment—</w:t>
      </w:r>
      <w:r w:rsidR="001A5745">
        <w:t>face barriers to moving into employment</w:t>
      </w:r>
      <w:r w:rsidR="00134AC8">
        <w:t xml:space="preserve"> and </w:t>
      </w:r>
      <w:r w:rsidR="00573906">
        <w:t>are therefore not required to look for work</w:t>
      </w:r>
      <w:r w:rsidR="001A5745">
        <w:t xml:space="preserve">. </w:t>
      </w:r>
      <w:r w:rsidR="00573906">
        <w:rPr>
          <w:rStyle w:val="FootnoteReference"/>
        </w:rPr>
        <w:footnoteReference w:id="20"/>
      </w:r>
      <w:r w:rsidR="001A5745">
        <w:t xml:space="preserve"> DWP's </w:t>
      </w:r>
      <w:r w:rsidR="00256C17">
        <w:t>latest statistics show</w:t>
      </w:r>
      <w:r w:rsidR="001A5745">
        <w:t xml:space="preserve"> that in </w:t>
      </w:r>
      <w:r w:rsidR="005104D6">
        <w:t xml:space="preserve">November </w:t>
      </w:r>
      <w:r w:rsidR="001A5745">
        <w:t>2018, just 1</w:t>
      </w:r>
      <w:r w:rsidR="005104D6">
        <w:t>8%</w:t>
      </w:r>
      <w:r w:rsidR="001A5745">
        <w:t xml:space="preserve"> of claimants who had their be</w:t>
      </w:r>
      <w:r w:rsidR="00976E24">
        <w:t>nefit capped were claiming Job S</w:t>
      </w:r>
      <w:r w:rsidR="001A5745">
        <w:t>e</w:t>
      </w:r>
      <w:r w:rsidR="00976E24">
        <w:t>eker's A</w:t>
      </w:r>
      <w:r w:rsidR="001A5745">
        <w:t xml:space="preserve">llowance, </w:t>
      </w:r>
      <w:r w:rsidR="005155BC">
        <w:t>the benefit for which claimants are</w:t>
      </w:r>
      <w:r w:rsidR="001A5745">
        <w:t xml:space="preserve"> expected to be</w:t>
      </w:r>
      <w:r w:rsidR="00AA32A6">
        <w:t xml:space="preserve"> actively</w:t>
      </w:r>
      <w:r w:rsidR="001A5745">
        <w:t xml:space="preserve"> seeking work.</w:t>
      </w:r>
      <w:r w:rsidR="001D6B7B">
        <w:t xml:space="preserve"> </w:t>
      </w:r>
      <w:r w:rsidR="005104D6">
        <w:rPr>
          <w:rStyle w:val="FootnoteReference"/>
        </w:rPr>
        <w:footnoteReference w:id="21"/>
      </w:r>
    </w:p>
    <w:p w14:paraId="10321739" w14:textId="77777777" w:rsidR="00230F47" w:rsidRDefault="00D47A85" w:rsidP="009C7AF6">
      <w:pPr>
        <w:pStyle w:val="Para1"/>
      </w:pPr>
      <w:r>
        <w:t xml:space="preserve">The majority of capped households are claiming </w:t>
      </w:r>
      <w:r w:rsidR="00F07FC6">
        <w:t>benefits which do not require them to look for work (known as "job search conditionality").</w:t>
      </w:r>
      <w:r w:rsidR="007F0253">
        <w:t xml:space="preserve"> </w:t>
      </w:r>
      <w:r w:rsidR="00F07FC6">
        <w:t>These are mostly households claiming</w:t>
      </w:r>
      <w:r w:rsidR="005155BC">
        <w:t xml:space="preserve"> Income Support </w:t>
      </w:r>
      <w:r w:rsidR="00183A5E">
        <w:t xml:space="preserve">(IS) </w:t>
      </w:r>
      <w:r w:rsidR="00F07FC6">
        <w:t xml:space="preserve">or </w:t>
      </w:r>
      <w:r w:rsidR="00183A5E">
        <w:t>Employment Support Allowance (ESA)</w:t>
      </w:r>
      <w:r w:rsidR="00256C17">
        <w:t>.</w:t>
      </w:r>
      <w:r w:rsidR="006E4F18">
        <w:t xml:space="preserve"> </w:t>
      </w:r>
      <w:r w:rsidR="00256C17">
        <w:t xml:space="preserve">In </w:t>
      </w:r>
      <w:r w:rsidR="00BD5065">
        <w:t>November</w:t>
      </w:r>
      <w:r w:rsidR="00256C17">
        <w:t xml:space="preserve"> 2018, </w:t>
      </w:r>
      <w:r w:rsidR="001A5745">
        <w:t xml:space="preserve">51% of </w:t>
      </w:r>
      <w:r>
        <w:t xml:space="preserve">capped </w:t>
      </w:r>
      <w:r w:rsidR="001A5745">
        <w:t xml:space="preserve">claimants were claiming </w:t>
      </w:r>
      <w:r w:rsidR="00183A5E">
        <w:t>IS</w:t>
      </w:r>
      <w:r w:rsidR="001A5745">
        <w:t xml:space="preserve">, a benefit </w:t>
      </w:r>
      <w:r w:rsidR="00280B42">
        <w:t xml:space="preserve">mainly </w:t>
      </w:r>
      <w:r w:rsidR="001A5745">
        <w:t>for single parents with</w:t>
      </w:r>
      <w:r w:rsidR="005155BC">
        <w:t xml:space="preserve"> young</w:t>
      </w:r>
      <w:r w:rsidR="001A5745">
        <w:t xml:space="preserve"> children</w:t>
      </w:r>
      <w:r w:rsidR="00AA32A6">
        <w:t xml:space="preserve">; and </w:t>
      </w:r>
      <w:r w:rsidR="00481BBE">
        <w:t>1</w:t>
      </w:r>
      <w:r w:rsidR="00BD5065">
        <w:t>3</w:t>
      </w:r>
      <w:r w:rsidR="001A5745">
        <w:t xml:space="preserve">% were claiming </w:t>
      </w:r>
      <w:r w:rsidR="00183A5E">
        <w:t>ESA</w:t>
      </w:r>
      <w:r w:rsidR="00AA32A6">
        <w:t>, which means they had been assessed as having limited capability to work due to illness or disability.</w:t>
      </w:r>
      <w:r w:rsidR="00D83B82">
        <w:t xml:space="preserve"> </w:t>
      </w:r>
      <w:r w:rsidR="000F31C6">
        <w:rPr>
          <w:rStyle w:val="FootnoteReference"/>
        </w:rPr>
        <w:footnoteReference w:id="22"/>
      </w:r>
      <w:r w:rsidR="00D83B82">
        <w:t xml:space="preserve"> </w:t>
      </w:r>
      <w:r w:rsidR="001532D0">
        <w:t>Figure 4</w:t>
      </w:r>
      <w:r w:rsidR="00230F47" w:rsidRPr="00230F47">
        <w:t xml:space="preserve"> sets out total benefit take-up for households who have had their Housing </w:t>
      </w:r>
      <w:r w:rsidR="002B0E7A">
        <w:t>B</w:t>
      </w:r>
      <w:r w:rsidR="00230F47" w:rsidRPr="00230F47">
        <w:t>enefit capped.</w:t>
      </w:r>
      <w:r w:rsidR="00230F47" w:rsidRPr="00230F47">
        <w:rPr>
          <w:rStyle w:val="FootnoteReference"/>
        </w:rPr>
        <w:footnoteReference w:id="23"/>
      </w:r>
    </w:p>
    <w:p w14:paraId="4CCB5031" w14:textId="77777777" w:rsidR="00955EFD" w:rsidRDefault="00955EFD" w:rsidP="00955EFD">
      <w:pPr>
        <w:pStyle w:val="Para1"/>
        <w:numPr>
          <w:ilvl w:val="0"/>
          <w:numId w:val="0"/>
        </w:numPr>
        <w:ind w:left="578" w:hanging="578"/>
      </w:pPr>
    </w:p>
    <w:p w14:paraId="2ED0410B" w14:textId="77777777" w:rsidR="00955EFD" w:rsidRDefault="00955EFD" w:rsidP="00955EFD">
      <w:pPr>
        <w:pStyle w:val="Para1"/>
        <w:numPr>
          <w:ilvl w:val="0"/>
          <w:numId w:val="0"/>
        </w:numPr>
        <w:ind w:left="578" w:hanging="578"/>
      </w:pPr>
    </w:p>
    <w:p w14:paraId="065C034A" w14:textId="77777777" w:rsidR="00955EFD" w:rsidRDefault="00955EFD" w:rsidP="00955EFD">
      <w:pPr>
        <w:pStyle w:val="Para1"/>
        <w:numPr>
          <w:ilvl w:val="0"/>
          <w:numId w:val="0"/>
        </w:numPr>
        <w:ind w:left="578" w:hanging="578"/>
      </w:pPr>
    </w:p>
    <w:p w14:paraId="12F6DB84" w14:textId="77777777" w:rsidR="00955EFD" w:rsidRDefault="00955EFD" w:rsidP="00955EFD">
      <w:pPr>
        <w:pStyle w:val="Para1"/>
        <w:numPr>
          <w:ilvl w:val="0"/>
          <w:numId w:val="0"/>
        </w:numPr>
        <w:ind w:left="578" w:hanging="578"/>
      </w:pPr>
    </w:p>
    <w:p w14:paraId="2350222F" w14:textId="77777777" w:rsidR="00955EFD" w:rsidRPr="00230F47" w:rsidRDefault="00955EFD" w:rsidP="00955EFD">
      <w:pPr>
        <w:pStyle w:val="Caption"/>
      </w:pPr>
      <w:r>
        <w:t xml:space="preserve">Figure </w:t>
      </w:r>
      <w:r w:rsidR="001532D0">
        <w:t>4</w:t>
      </w:r>
      <w:r>
        <w:t xml:space="preserve">: Capped households by </w:t>
      </w:r>
      <w:r w:rsidR="008E7346">
        <w:t xml:space="preserve">their </w:t>
      </w:r>
      <w:r>
        <w:t>benefit take-up (November 2018)</w:t>
      </w:r>
    </w:p>
    <w:p w14:paraId="543C26A3" w14:textId="77777777" w:rsidR="002161B5" w:rsidRDefault="00985B50" w:rsidP="001F4C34">
      <w:pPr>
        <w:pStyle w:val="Source"/>
      </w:pPr>
      <w:r>
        <w:rPr>
          <w:noProof/>
        </w:rPr>
        <w:drawing>
          <wp:inline distT="0" distB="0" distL="0" distR="0" wp14:anchorId="2BD5D029" wp14:editId="7F1D0E44">
            <wp:extent cx="5400040" cy="3150235"/>
            <wp:effectExtent l="0" t="0" r="10160" b="1206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2161B5">
        <w:t>Source: DWP Benefit Cap statistics to November 2018</w:t>
      </w:r>
    </w:p>
    <w:p w14:paraId="22A31295" w14:textId="77777777" w:rsidR="00A2579D" w:rsidRDefault="00A2579D" w:rsidP="00A2579D">
      <w:pPr>
        <w:pStyle w:val="Heading3"/>
      </w:pPr>
      <w:bookmarkStart w:id="29" w:name="_Toc431433"/>
      <w:r>
        <w:t>Conditionality: Benefit system vs benefit cap</w:t>
      </w:r>
      <w:bookmarkEnd w:id="29"/>
    </w:p>
    <w:p w14:paraId="650CB006" w14:textId="77777777" w:rsidR="008D4651" w:rsidRDefault="001076DF" w:rsidP="00B72FCA">
      <w:pPr>
        <w:pStyle w:val="Para1"/>
      </w:pPr>
      <w:r>
        <w:t xml:space="preserve">Conditionality and sanctions can apply to claimants of </w:t>
      </w:r>
      <w:r w:rsidR="00183A5E">
        <w:t>JSA</w:t>
      </w:r>
      <w:r>
        <w:t>,</w:t>
      </w:r>
      <w:r w:rsidR="00EE4B96">
        <w:t xml:space="preserve"> </w:t>
      </w:r>
      <w:r w:rsidR="00183A5E">
        <w:t>IS, ESA</w:t>
      </w:r>
      <w:r>
        <w:t xml:space="preserve"> and </w:t>
      </w:r>
      <w:r w:rsidR="00183A5E">
        <w:t>UC</w:t>
      </w:r>
      <w:r>
        <w:t>.</w:t>
      </w:r>
      <w:r w:rsidR="006E4F18">
        <w:t xml:space="preserve"> </w:t>
      </w:r>
      <w:r w:rsidR="00F52931">
        <w:t>T</w:t>
      </w:r>
      <w:r w:rsidR="00EE4B96">
        <w:t>he</w:t>
      </w:r>
      <w:r>
        <w:t xml:space="preserve"> level and intensity of conditionality depends on a claimant's circumstances</w:t>
      </w:r>
      <w:r w:rsidR="007F255A">
        <w:t>;</w:t>
      </w:r>
      <w:r w:rsidR="00EE4B96">
        <w:t xml:space="preserve"> for example, whether they have a disability or health condition, young children or caring responsibilities</w:t>
      </w:r>
      <w:r>
        <w:t>.</w:t>
      </w:r>
      <w:r w:rsidR="001D6B7B">
        <w:t xml:space="preserve"> </w:t>
      </w:r>
      <w:r>
        <w:t>Both ESA and IS are paid on the basis that the claimant is, at that time, not expected to carry out the full range of work-related activity that is expected of a claimant on Jobseeker's Allowance.</w:t>
      </w:r>
      <w:r w:rsidR="006E4F18">
        <w:t xml:space="preserve"> </w:t>
      </w:r>
      <w:r w:rsidR="002221FA">
        <w:t>Claimants in these groups</w:t>
      </w:r>
      <w:r>
        <w:t xml:space="preserve"> may be required to take some steps to move closer to work, such as attending work-focused interviews or undertaking 'work related activities', but they would not be expected to find a job.</w:t>
      </w:r>
      <w:r w:rsidR="006E4F18">
        <w:t xml:space="preserve"> </w:t>
      </w:r>
      <w:r w:rsidR="00B40744">
        <w:t xml:space="preserve">But the very </w:t>
      </w:r>
      <w:r w:rsidR="00477EC1">
        <w:t>same claimants can find themselves subject to the cap, from which the main escape route is moving into work.</w:t>
      </w:r>
    </w:p>
    <w:p w14:paraId="32C9C47A" w14:textId="77777777" w:rsidR="00795BB0" w:rsidRDefault="00CC64C8" w:rsidP="00B72FCA">
      <w:pPr>
        <w:pStyle w:val="Para1"/>
      </w:pPr>
      <w:r>
        <w:t>C</w:t>
      </w:r>
      <w:r w:rsidR="00D018AC">
        <w:t xml:space="preserve">hild </w:t>
      </w:r>
      <w:r>
        <w:t>P</w:t>
      </w:r>
      <w:r w:rsidR="00D018AC">
        <w:t xml:space="preserve">overty </w:t>
      </w:r>
      <w:r>
        <w:t>A</w:t>
      </w:r>
      <w:r w:rsidR="00D018AC">
        <w:t xml:space="preserve">ction </w:t>
      </w:r>
      <w:r>
        <w:t>G</w:t>
      </w:r>
      <w:r w:rsidR="00D018AC">
        <w:t>roup</w:t>
      </w:r>
      <w:r w:rsidR="000F0CED">
        <w:t xml:space="preserve"> </w:t>
      </w:r>
      <w:r w:rsidR="00C74406">
        <w:t>said that there were</w:t>
      </w:r>
      <w:r w:rsidR="00395D6C">
        <w:t xml:space="preserve"> </w:t>
      </w:r>
      <w:r w:rsidR="00074769">
        <w:t xml:space="preserve">"gaping inconsistencies" between the conditionality applied in the benefit system, and the "blunt" conditionality </w:t>
      </w:r>
      <w:r w:rsidR="00C74406">
        <w:t xml:space="preserve">of </w:t>
      </w:r>
      <w:r w:rsidR="00074769">
        <w:t>the benefit cap</w:t>
      </w:r>
      <w:r w:rsidR="00C74406">
        <w:t>, which</w:t>
      </w:r>
      <w:r w:rsidR="006E4F18">
        <w:t xml:space="preserve"> </w:t>
      </w:r>
      <w:r w:rsidR="000F1D2B">
        <w:t>penalises vulnerable claimants</w:t>
      </w:r>
      <w:r w:rsidR="00074769">
        <w:t>.</w:t>
      </w:r>
      <w:r w:rsidR="002221FA">
        <w:rPr>
          <w:rStyle w:val="FootnoteReference"/>
        </w:rPr>
        <w:footnoteReference w:id="24"/>
      </w:r>
      <w:r w:rsidR="001D6B7B">
        <w:t xml:space="preserve"> </w:t>
      </w:r>
      <w:r w:rsidR="00074769">
        <w:t>Sam Lister</w:t>
      </w:r>
      <w:r w:rsidR="00A133E1">
        <w:t xml:space="preserve">, Policy and Practice Officer for </w:t>
      </w:r>
      <w:r w:rsidR="00074769">
        <w:t>the Chartered Institute for Housing</w:t>
      </w:r>
      <w:r w:rsidR="00477EC1">
        <w:t xml:space="preserve"> (CIH)</w:t>
      </w:r>
      <w:r w:rsidR="00074769">
        <w:t xml:space="preserve"> argued, "What [the cap] is doing, in effect, is sanctioning people who do not have job search conditionality when they would not otherwise be sanctioned".</w:t>
      </w:r>
      <w:r w:rsidR="00D840B8">
        <w:rPr>
          <w:rStyle w:val="FootnoteReference"/>
        </w:rPr>
        <w:footnoteReference w:id="25"/>
      </w:r>
      <w:r w:rsidR="006E4F18">
        <w:t xml:space="preserve"> </w:t>
      </w:r>
    </w:p>
    <w:p w14:paraId="3A221B0E" w14:textId="77777777" w:rsidR="002F64B9" w:rsidRDefault="002F64B9" w:rsidP="002F64B9">
      <w:pPr>
        <w:pStyle w:val="Heading3"/>
      </w:pPr>
      <w:bookmarkStart w:id="30" w:name="_Toc431434"/>
      <w:r>
        <w:t>Barriers to moving into work</w:t>
      </w:r>
      <w:bookmarkEnd w:id="30"/>
    </w:p>
    <w:p w14:paraId="4974BD04" w14:textId="77777777" w:rsidR="00DF7FB7" w:rsidRDefault="00B80B45" w:rsidP="00066B8F">
      <w:pPr>
        <w:pStyle w:val="Para1"/>
      </w:pPr>
      <w:r>
        <w:t xml:space="preserve">Evidence to our inquiry stressed that the main barriers </w:t>
      </w:r>
      <w:r w:rsidR="009D7053">
        <w:t xml:space="preserve">which prevent </w:t>
      </w:r>
      <w:r>
        <w:t>these groups</w:t>
      </w:r>
      <w:r w:rsidR="009D7053">
        <w:t xml:space="preserve"> of people</w:t>
      </w:r>
      <w:r>
        <w:t xml:space="preserve"> moving into work </w:t>
      </w:r>
      <w:r w:rsidR="00AC0CA4">
        <w:t>are</w:t>
      </w:r>
      <w:r>
        <w:t xml:space="preserve"> childcare and health problems.</w:t>
      </w:r>
      <w:r w:rsidR="00477EC1">
        <w:rPr>
          <w:rStyle w:val="FootnoteReference"/>
        </w:rPr>
        <w:footnoteReference w:id="26"/>
      </w:r>
      <w:r>
        <w:t xml:space="preserve"> These issues were also reflected in the Department's</w:t>
      </w:r>
      <w:r w:rsidR="00F67EC7">
        <w:t xml:space="preserve"> </w:t>
      </w:r>
      <w:r w:rsidR="00F67EC7" w:rsidRPr="00F67EC7">
        <w:t xml:space="preserve">survey of </w:t>
      </w:r>
      <w:r>
        <w:t xml:space="preserve">all </w:t>
      </w:r>
      <w:r w:rsidR="00F67EC7" w:rsidRPr="00F67EC7">
        <w:t>claimants affected by the original £26,000 cap</w:t>
      </w:r>
      <w:r w:rsidR="00DF7FB7">
        <w:t>.</w:t>
      </w:r>
      <w:r w:rsidR="006E4F18">
        <w:t xml:space="preserve"> </w:t>
      </w:r>
      <w:r w:rsidR="00DF7FB7">
        <w:t>It</w:t>
      </w:r>
      <w:r w:rsidR="00F67EC7" w:rsidRPr="00F67EC7">
        <w:t xml:space="preserve"> </w:t>
      </w:r>
      <w:r w:rsidR="00DC6DC7">
        <w:t>found</w:t>
      </w:r>
      <w:r w:rsidR="00F67EC7" w:rsidRPr="00F67EC7">
        <w:t xml:space="preserve"> that almost two thirds (65%)</w:t>
      </w:r>
      <w:r w:rsidR="00DC6DC7">
        <w:t xml:space="preserve"> of claimants</w:t>
      </w:r>
      <w:r w:rsidR="00F67EC7" w:rsidRPr="00F67EC7">
        <w:t xml:space="preserve"> reported facing major barriers to work.</w:t>
      </w:r>
      <w:r w:rsidR="006E4F18">
        <w:t xml:space="preserve"> </w:t>
      </w:r>
      <w:r w:rsidR="00F67EC7" w:rsidRPr="00F67EC7">
        <w:t>Th</w:t>
      </w:r>
      <w:r w:rsidR="00DF7FB7">
        <w:t xml:space="preserve">e main </w:t>
      </w:r>
      <w:r w:rsidR="00F67EC7" w:rsidRPr="00F67EC7">
        <w:t>reasons reported by participants were the availability and/or cost of childcare (43%) and poor health (15%).</w:t>
      </w:r>
      <w:r w:rsidR="00F67EC7" w:rsidRPr="00F67EC7">
        <w:rPr>
          <w:rStyle w:val="FootnoteReference"/>
        </w:rPr>
        <w:footnoteReference w:id="27"/>
      </w:r>
      <w:r w:rsidR="001D6B7B">
        <w:t xml:space="preserve"> </w:t>
      </w:r>
    </w:p>
    <w:p w14:paraId="20237301" w14:textId="77777777" w:rsidR="004A4900" w:rsidRPr="004A4900" w:rsidRDefault="00DC6DC7" w:rsidP="00DF7FB7">
      <w:pPr>
        <w:pStyle w:val="Heading3"/>
      </w:pPr>
      <w:bookmarkStart w:id="31" w:name="_Toc431435"/>
      <w:r>
        <w:t>Childcare</w:t>
      </w:r>
      <w:bookmarkEnd w:id="31"/>
    </w:p>
    <w:p w14:paraId="0AFFB96B" w14:textId="77777777" w:rsidR="00823F98" w:rsidRDefault="00EC5087" w:rsidP="004C3163">
      <w:pPr>
        <w:pStyle w:val="Para1"/>
      </w:pPr>
      <w:r>
        <w:t>The Chartered Institute of Housing</w:t>
      </w:r>
      <w:r w:rsidR="00B72FCA">
        <w:t xml:space="preserve"> told us</w:t>
      </w:r>
      <w:r w:rsidR="008C44BB">
        <w:t xml:space="preserve"> </w:t>
      </w:r>
      <w:r w:rsidR="00BA68E8">
        <w:t>th</w:t>
      </w:r>
      <w:r w:rsidR="002F6BA7">
        <w:t xml:space="preserve">at the </w:t>
      </w:r>
      <w:r w:rsidR="00B72FCA">
        <w:t>majority of capped households claiming</w:t>
      </w:r>
      <w:r w:rsidR="00823F98">
        <w:t xml:space="preserve"> Income Support are likely to be single parents with children under the age of five.</w:t>
      </w:r>
      <w:r w:rsidR="009F72FB">
        <w:rPr>
          <w:rStyle w:val="FootnoteReference"/>
        </w:rPr>
        <w:footnoteReference w:id="28"/>
      </w:r>
      <w:r w:rsidR="001D6B7B">
        <w:t xml:space="preserve"> </w:t>
      </w:r>
      <w:r w:rsidR="00EF137D">
        <w:t>Several witnesses</w:t>
      </w:r>
      <w:r w:rsidR="008B331A">
        <w:t xml:space="preserve"> </w:t>
      </w:r>
      <w:r w:rsidR="00592FB6">
        <w:t xml:space="preserve">explained </w:t>
      </w:r>
      <w:r w:rsidR="00953E41" w:rsidRPr="00953E41">
        <w:t xml:space="preserve">that </w:t>
      </w:r>
      <w:r w:rsidR="00953E41">
        <w:t>si</w:t>
      </w:r>
      <w:r w:rsidR="00B72FCA">
        <w:t xml:space="preserve">ngle </w:t>
      </w:r>
      <w:r w:rsidR="00953E41">
        <w:t>parents with young children find</w:t>
      </w:r>
      <w:r w:rsidR="00953E41" w:rsidRPr="00953E41">
        <w:t xml:space="preserve"> it difficult to find jobs which </w:t>
      </w:r>
      <w:r w:rsidR="002A7154">
        <w:t xml:space="preserve">fit in with their childcare or </w:t>
      </w:r>
      <w:r>
        <w:t>childcare that works with their job</w:t>
      </w:r>
      <w:r w:rsidR="002A7154">
        <w:t xml:space="preserve">, </w:t>
      </w:r>
      <w:r w:rsidR="00953E41" w:rsidRPr="00953E41">
        <w:t>due to a</w:t>
      </w:r>
      <w:r w:rsidR="002A7154">
        <w:t xml:space="preserve"> "dire shortage" </w:t>
      </w:r>
      <w:r w:rsidR="00953E41" w:rsidRPr="00953E41">
        <w:t>of part-time jobs and available</w:t>
      </w:r>
      <w:r w:rsidR="008033CD">
        <w:t xml:space="preserve"> or affordable</w:t>
      </w:r>
      <w:r w:rsidR="00953E41" w:rsidRPr="00953E41">
        <w:t xml:space="preserve"> childcare.</w:t>
      </w:r>
      <w:r w:rsidR="00953E41" w:rsidRPr="00953E41">
        <w:rPr>
          <w:rStyle w:val="FootnoteReference"/>
        </w:rPr>
        <w:footnoteReference w:id="29"/>
      </w:r>
      <w:r w:rsidR="00953E41">
        <w:t xml:space="preserve"> </w:t>
      </w:r>
      <w:r w:rsidR="002A7154">
        <w:t xml:space="preserve">Laura Dewar of Gingerbread cited research which showed that </w:t>
      </w:r>
      <w:r w:rsidR="002659B2">
        <w:t xml:space="preserve">fewer than </w:t>
      </w:r>
      <w:r w:rsidR="002A7154">
        <w:t>10% of jobs across the country on DWP's own website were advertised as part-time</w:t>
      </w:r>
      <w:r w:rsidR="002659B2">
        <w:t>, with many including work at evenings or weekends</w:t>
      </w:r>
      <w:r w:rsidR="00DF7FB7">
        <w:t>.</w:t>
      </w:r>
      <w:r w:rsidR="00A44F08">
        <w:rPr>
          <w:rStyle w:val="FootnoteReference"/>
        </w:rPr>
        <w:footnoteReference w:id="30"/>
      </w:r>
      <w:r w:rsidR="006E4F18">
        <w:t xml:space="preserve"> </w:t>
      </w:r>
    </w:p>
    <w:p w14:paraId="21311042" w14:textId="77777777" w:rsidR="006B45F8" w:rsidRDefault="00135241" w:rsidP="00852CB0">
      <w:pPr>
        <w:pStyle w:val="Para1"/>
      </w:pPr>
      <w:r>
        <w:t>The</w:t>
      </w:r>
      <w:r w:rsidR="00F8016E">
        <w:t xml:space="preserve"> Department </w:t>
      </w:r>
      <w:r w:rsidR="00DF7FB7">
        <w:t>argued that it offers</w:t>
      </w:r>
      <w:r w:rsidR="00B72FCA">
        <w:t xml:space="preserve"> </w:t>
      </w:r>
      <w:r w:rsidR="006B45F8">
        <w:t xml:space="preserve">help with childcare costs </w:t>
      </w:r>
      <w:r w:rsidR="00B72FCA">
        <w:t>to help</w:t>
      </w:r>
      <w:r w:rsidR="00DF7FB7">
        <w:t xml:space="preserve"> </w:t>
      </w:r>
      <w:r w:rsidR="006B45F8">
        <w:t>parents</w:t>
      </w:r>
      <w:r w:rsidR="00DF7FB7">
        <w:t xml:space="preserve"> back to work. </w:t>
      </w:r>
      <w:r w:rsidR="006B45F8">
        <w:t>In written evidence, it explained:</w:t>
      </w:r>
    </w:p>
    <w:p w14:paraId="7249795B" w14:textId="77777777" w:rsidR="006B45F8" w:rsidRPr="00960594" w:rsidRDefault="006B45F8" w:rsidP="006B45F8">
      <w:pPr>
        <w:pStyle w:val="Quote"/>
        <w:rPr>
          <w:rStyle w:val="Emphasis"/>
        </w:rPr>
      </w:pPr>
      <w:r w:rsidRPr="00960594">
        <w:rPr>
          <w:rStyle w:val="Emphasis"/>
        </w:rPr>
        <w:t>The government currently provides 15 hours of free childcare during term time for all three and four-year olds and</w:t>
      </w:r>
      <w:r w:rsidR="00EB60E8" w:rsidRPr="00960594">
        <w:rPr>
          <w:rStyle w:val="Emphasis"/>
        </w:rPr>
        <w:t xml:space="preserve"> for the most </w:t>
      </w:r>
      <w:r w:rsidR="00477EC1" w:rsidRPr="00960594">
        <w:rPr>
          <w:rStyle w:val="Emphasis"/>
        </w:rPr>
        <w:t>disadvantaged two-</w:t>
      </w:r>
      <w:r w:rsidRPr="00960594">
        <w:rPr>
          <w:rStyle w:val="Emphasis"/>
        </w:rPr>
        <w:t>year olds, which includes most capped lone parent households; a further 15 hours is available when households move into work for children aged 3 – 4 years old;</w:t>
      </w:r>
    </w:p>
    <w:p w14:paraId="07C19FE8" w14:textId="77777777" w:rsidR="00852CB0" w:rsidRPr="00852CB0" w:rsidRDefault="00813D8A" w:rsidP="00A336FE">
      <w:pPr>
        <w:pStyle w:val="ParaContinued"/>
      </w:pPr>
      <w:r w:rsidRPr="00A336FE">
        <w:t xml:space="preserve">It </w:t>
      </w:r>
      <w:r w:rsidR="006B45F8" w:rsidRPr="00A336FE">
        <w:t>added</w:t>
      </w:r>
      <w:r w:rsidR="00DF7FB7" w:rsidRPr="00A336FE">
        <w:t xml:space="preserve"> that where</w:t>
      </w:r>
      <w:r w:rsidR="00F8016E" w:rsidRPr="00A336FE">
        <w:t xml:space="preserve"> claimants face additional costs above </w:t>
      </w:r>
      <w:r w:rsidR="00DF7FB7" w:rsidRPr="00A336FE">
        <w:t>this</w:t>
      </w:r>
      <w:r w:rsidR="00135241" w:rsidRPr="00A336FE">
        <w:t xml:space="preserve">, </w:t>
      </w:r>
      <w:r w:rsidR="00DF7FB7" w:rsidRPr="00A336FE">
        <w:t xml:space="preserve">they can claim back </w:t>
      </w:r>
      <w:r w:rsidR="00F8016E" w:rsidRPr="00A336FE">
        <w:t xml:space="preserve">85% of </w:t>
      </w:r>
      <w:r w:rsidR="00477EC1" w:rsidRPr="00A336FE">
        <w:t xml:space="preserve">childcare </w:t>
      </w:r>
      <w:r w:rsidR="00F8016E" w:rsidRPr="00A336FE">
        <w:t xml:space="preserve">costs </w:t>
      </w:r>
      <w:r w:rsidR="00477EC1" w:rsidRPr="00A336FE">
        <w:t>if they are on</w:t>
      </w:r>
      <w:r w:rsidR="00F8016E" w:rsidRPr="00A336FE">
        <w:t xml:space="preserve"> </w:t>
      </w:r>
      <w:r w:rsidR="00183A5E" w:rsidRPr="00A336FE">
        <w:t>UC</w:t>
      </w:r>
      <w:r w:rsidR="00F8016E" w:rsidRPr="00A336FE">
        <w:t xml:space="preserve"> </w:t>
      </w:r>
      <w:r w:rsidR="00135241" w:rsidRPr="00A336FE">
        <w:t>or</w:t>
      </w:r>
      <w:r w:rsidR="00F8016E" w:rsidRPr="00A336FE">
        <w:t xml:space="preserve"> 70% </w:t>
      </w:r>
      <w:r w:rsidR="00477EC1" w:rsidRPr="00A336FE">
        <w:t xml:space="preserve">if they claim </w:t>
      </w:r>
      <w:r w:rsidR="00F8016E" w:rsidRPr="00A336FE">
        <w:t>Tax Credits</w:t>
      </w:r>
      <w:r w:rsidR="00F8016E">
        <w:t>.</w:t>
      </w:r>
      <w:r w:rsidR="009F72FB">
        <w:rPr>
          <w:rStyle w:val="FootnoteReference"/>
        </w:rPr>
        <w:footnoteReference w:id="31"/>
      </w:r>
      <w:r w:rsidR="001D6B7B">
        <w:t xml:space="preserve"> </w:t>
      </w:r>
    </w:p>
    <w:p w14:paraId="334CA133" w14:textId="77777777" w:rsidR="000B5374" w:rsidRDefault="00A0674A" w:rsidP="00852CB0">
      <w:pPr>
        <w:pStyle w:val="Para1"/>
      </w:pPr>
      <w:r>
        <w:t xml:space="preserve">However, </w:t>
      </w:r>
      <w:r w:rsidR="006B45F8">
        <w:t>we heard from witnesses</w:t>
      </w:r>
      <w:r w:rsidR="00135241">
        <w:t xml:space="preserve"> that</w:t>
      </w:r>
      <w:r>
        <w:t xml:space="preserve"> </w:t>
      </w:r>
      <w:r w:rsidR="006D60ED">
        <w:t xml:space="preserve">the Department's </w:t>
      </w:r>
      <w:r w:rsidR="00EF137D">
        <w:t>offer</w:t>
      </w:r>
      <w:r w:rsidR="006D60ED">
        <w:t xml:space="preserve"> is</w:t>
      </w:r>
      <w:r>
        <w:t xml:space="preserve"> not sufficient.</w:t>
      </w:r>
      <w:r w:rsidR="001D6B7B">
        <w:t xml:space="preserve"> </w:t>
      </w:r>
      <w:r>
        <w:t>W</w:t>
      </w:r>
      <w:r w:rsidRPr="00A0674A">
        <w:t xml:space="preserve">hile single mothers are subject to the </w:t>
      </w:r>
      <w:r w:rsidR="00EE1DA4">
        <w:t xml:space="preserve">benefit </w:t>
      </w:r>
      <w:r w:rsidRPr="00A0674A">
        <w:t>cap from the day their children are born, the Government only provides free childcare when a child turns two years old.</w:t>
      </w:r>
      <w:r w:rsidR="001D6B7B">
        <w:t xml:space="preserve"> </w:t>
      </w:r>
      <w:r w:rsidR="0096336E">
        <w:t>Furthermore,</w:t>
      </w:r>
      <w:r>
        <w:t xml:space="preserve"> </w:t>
      </w:r>
      <w:r w:rsidR="00135241">
        <w:t>meeting the remaining costs and making upfront payment</w:t>
      </w:r>
      <w:r w:rsidR="000B5374">
        <w:t xml:space="preserve">s can be a challenge for single </w:t>
      </w:r>
      <w:r w:rsidR="00135241">
        <w:t>parents.</w:t>
      </w:r>
      <w:r w:rsidR="00DF7FB7">
        <w:rPr>
          <w:rStyle w:val="FootnoteReference"/>
        </w:rPr>
        <w:footnoteReference w:id="32"/>
      </w:r>
      <w:r w:rsidR="00135241">
        <w:t xml:space="preserve"> </w:t>
      </w:r>
      <w:r w:rsidR="00DD673C">
        <w:t>Sally</w:t>
      </w:r>
      <w:r w:rsidR="000B5374">
        <w:t xml:space="preserve">, a single </w:t>
      </w:r>
      <w:r w:rsidR="008A7DE3">
        <w:t xml:space="preserve">parent </w:t>
      </w:r>
      <w:r w:rsidR="008D6A1B">
        <w:t>with four children</w:t>
      </w:r>
      <w:r w:rsidR="008A7DE3">
        <w:t>,</w:t>
      </w:r>
      <w:r w:rsidR="00DD673C">
        <w:t xml:space="preserve"> told us </w:t>
      </w:r>
      <w:r w:rsidR="0096336E">
        <w:t xml:space="preserve">that the </w:t>
      </w:r>
      <w:r w:rsidR="00DD673C">
        <w:t>upfront costs of childcare were the main barrier to her being able to move into work</w:t>
      </w:r>
      <w:r w:rsidR="000B5374">
        <w:t>.</w:t>
      </w:r>
      <w:r w:rsidR="006E4F18">
        <w:t xml:space="preserve"> </w:t>
      </w:r>
      <w:r w:rsidR="000B5374">
        <w:t>She explained:</w:t>
      </w:r>
    </w:p>
    <w:p w14:paraId="72E6B23C" w14:textId="77777777" w:rsidR="000B5374" w:rsidRPr="00DD0341" w:rsidRDefault="00530FCA" w:rsidP="000B5374">
      <w:pPr>
        <w:pStyle w:val="Quote"/>
        <w:rPr>
          <w:rStyle w:val="Emphasis"/>
        </w:rPr>
      </w:pPr>
      <w:r w:rsidRPr="00DD0341">
        <w:rPr>
          <w:rStyle w:val="Emphasis"/>
        </w:rPr>
        <w:t xml:space="preserve"> </w:t>
      </w:r>
      <w:r w:rsidR="008D6A1B" w:rsidRPr="00DD0341">
        <w:rPr>
          <w:rStyle w:val="Emphasis"/>
        </w:rPr>
        <w:t>My biggest thing now</w:t>
      </w:r>
      <w:r w:rsidRPr="00DD0341">
        <w:rPr>
          <w:rStyle w:val="Emphasis"/>
        </w:rPr>
        <w:t xml:space="preserve"> is childcare, I can't afford the money upfront to go bac</w:t>
      </w:r>
      <w:r w:rsidR="0049675E" w:rsidRPr="00DD0341">
        <w:rPr>
          <w:rStyle w:val="Emphasis"/>
        </w:rPr>
        <w:t>k to work</w:t>
      </w:r>
      <w:r w:rsidR="00B6388B" w:rsidRPr="00DD0341">
        <w:rPr>
          <w:rStyle w:val="Emphasis"/>
        </w:rPr>
        <w:t xml:space="preserve">. </w:t>
      </w:r>
      <w:r w:rsidR="008D6A1B" w:rsidRPr="00DD0341">
        <w:rPr>
          <w:rStyle w:val="Emphasis"/>
        </w:rPr>
        <w:t>Schools are only open 39 weeks of the year and you're looking at £20-£40 day for each child to be in a holiday club and you've got to pay that in advance.</w:t>
      </w:r>
      <w:r w:rsidR="006E4F18">
        <w:rPr>
          <w:rStyle w:val="Emphasis"/>
        </w:rPr>
        <w:t xml:space="preserve"> </w:t>
      </w:r>
      <w:r w:rsidR="008D6A1B" w:rsidRPr="00DD0341">
        <w:rPr>
          <w:rStyle w:val="Emphasis"/>
        </w:rPr>
        <w:t>As much as Tax Credits pay it back….I worked it out that I'd have to pay about £800 for them to go back.</w:t>
      </w:r>
    </w:p>
    <w:p w14:paraId="17509EDC" w14:textId="77777777" w:rsidR="00EB60E8" w:rsidRDefault="008D6A1B" w:rsidP="00A336FE">
      <w:pPr>
        <w:pStyle w:val="ParaContinued"/>
      </w:pPr>
      <w:r>
        <w:t>Sally</w:t>
      </w:r>
      <w:r w:rsidR="00D3078A">
        <w:t xml:space="preserve"> </w:t>
      </w:r>
      <w:r>
        <w:t>told us that</w:t>
      </w:r>
      <w:r w:rsidR="00D3078A">
        <w:t xml:space="preserve"> </w:t>
      </w:r>
      <w:r w:rsidR="00DB208C">
        <w:t>her benefits had</w:t>
      </w:r>
      <w:r w:rsidR="00D3078A">
        <w:t xml:space="preserve"> been capped for a year </w:t>
      </w:r>
      <w:r>
        <w:t>now</w:t>
      </w:r>
      <w:r w:rsidR="00EE1DA4">
        <w:t xml:space="preserve">. Had she not been </w:t>
      </w:r>
      <w:r w:rsidR="00DB208C">
        <w:t xml:space="preserve">subject to the </w:t>
      </w:r>
      <w:r w:rsidR="00EE1DA4">
        <w:t>cap, she would have been able to save the money she now needs to</w:t>
      </w:r>
      <w:r w:rsidR="006E4F18">
        <w:t xml:space="preserve"> </w:t>
      </w:r>
      <w:r w:rsidR="00D3078A">
        <w:t>pay the upfront costs to go back to work</w:t>
      </w:r>
      <w:r w:rsidR="00DD673C">
        <w:t>.</w:t>
      </w:r>
      <w:r w:rsidR="004F6AA6">
        <w:rPr>
          <w:rStyle w:val="FootnoteReference"/>
        </w:rPr>
        <w:footnoteReference w:id="33"/>
      </w:r>
      <w:r w:rsidR="0096336E">
        <w:t xml:space="preserve"> </w:t>
      </w:r>
    </w:p>
    <w:p w14:paraId="7AA4DE15" w14:textId="77777777" w:rsidR="004B02F6" w:rsidRPr="00D66404" w:rsidRDefault="00852CB0" w:rsidP="004B02F6">
      <w:pPr>
        <w:pStyle w:val="Para1"/>
      </w:pPr>
      <w:r w:rsidRPr="00D66404">
        <w:t xml:space="preserve"> </w:t>
      </w:r>
      <w:bookmarkStart w:id="32" w:name="_Toc431436"/>
      <w:r w:rsidR="004B02F6" w:rsidRPr="00D66404">
        <w:t>The Minister suggested that households who struggle in these ways can use the Flexible Support Fund</w:t>
      </w:r>
      <w:r w:rsidR="00E80722" w:rsidRPr="00D66404">
        <w:t xml:space="preserve"> (FSF) </w:t>
      </w:r>
      <w:r w:rsidR="004B02F6" w:rsidRPr="00D66404">
        <w:t>to "bridge" the gap.</w:t>
      </w:r>
      <w:r w:rsidR="004B02F6" w:rsidRPr="00D66404">
        <w:rPr>
          <w:rStyle w:val="FootnoteReference"/>
        </w:rPr>
        <w:footnoteReference w:id="34"/>
      </w:r>
      <w:r w:rsidR="004B02F6" w:rsidRPr="00D66404">
        <w:t xml:space="preserve"> However, this Committee's report, </w:t>
      </w:r>
      <w:r w:rsidR="004B02F6" w:rsidRPr="00D66404">
        <w:rPr>
          <w:rStyle w:val="Emphasis"/>
        </w:rPr>
        <w:t>Universal Credit: Childcare Costs</w:t>
      </w:r>
      <w:r w:rsidR="004B02F6" w:rsidRPr="00D66404">
        <w:t xml:space="preserve">, found that the Flexible Support Fund—which offers non-repayable, discretionary grants to help claimants overcome barriers to work—has been underspent in every year since 2012-13 (see Table 2, below).  While the underspend decreased significantly in 2016-17 (the latest data available), the proportion of the FSF spent on childcare has </w:t>
      </w:r>
      <w:r w:rsidR="0042693B" w:rsidRPr="00D66404">
        <w:t>remained</w:t>
      </w:r>
      <w:r w:rsidR="004B02F6" w:rsidRPr="00D66404">
        <w:t xml:space="preserve"> </w:t>
      </w:r>
      <w:r w:rsidR="00200CC7" w:rsidRPr="00D66404">
        <w:t xml:space="preserve">very </w:t>
      </w:r>
      <w:r w:rsidR="0042693B" w:rsidRPr="00D66404">
        <w:t>small</w:t>
      </w:r>
      <w:r w:rsidR="004B02F6" w:rsidRPr="00D66404">
        <w:t>—just 2.4% (£1.2 million) of the fund was spent on childcare in 2016-17.</w:t>
      </w:r>
      <w:r w:rsidR="004B02F6" w:rsidRPr="00D66404">
        <w:rPr>
          <w:rStyle w:val="FootnoteReference"/>
        </w:rPr>
        <w:footnoteReference w:id="35"/>
      </w:r>
    </w:p>
    <w:p w14:paraId="644F51A8" w14:textId="77777777" w:rsidR="00932FFB" w:rsidRPr="00932FFB" w:rsidRDefault="00932FFB" w:rsidP="00932FFB">
      <w:pPr>
        <w:pStyle w:val="Para1"/>
        <w:numPr>
          <w:ilvl w:val="0"/>
          <w:numId w:val="0"/>
        </w:numPr>
      </w:pPr>
      <w:r w:rsidRPr="00932FFB">
        <w:t xml:space="preserve">Table </w:t>
      </w:r>
      <w:r w:rsidR="009262F4">
        <w:rPr>
          <w:noProof/>
        </w:rPr>
        <w:fldChar w:fldCharType="begin"/>
      </w:r>
      <w:r w:rsidR="009262F4">
        <w:rPr>
          <w:noProof/>
        </w:rPr>
        <w:instrText xml:space="preserve"> SEQ Table \* ARABIC </w:instrText>
      </w:r>
      <w:r w:rsidR="009262F4">
        <w:rPr>
          <w:noProof/>
        </w:rPr>
        <w:fldChar w:fldCharType="separate"/>
      </w:r>
      <w:r w:rsidR="003128E1">
        <w:rPr>
          <w:noProof/>
        </w:rPr>
        <w:t>2</w:t>
      </w:r>
      <w:r w:rsidR="009262F4">
        <w:rPr>
          <w:noProof/>
        </w:rPr>
        <w:fldChar w:fldCharType="end"/>
      </w:r>
      <w:r w:rsidRPr="00932FFB">
        <w:t>: Flexible Support Fund spending, millions, 2012-13 to 2016-17</w:t>
      </w:r>
    </w:p>
    <w:tbl>
      <w:tblPr>
        <w:tblStyle w:val="TableGrid"/>
        <w:tblW w:w="0" w:type="auto"/>
        <w:tblLook w:val="0480" w:firstRow="0" w:lastRow="0" w:firstColumn="1" w:lastColumn="0" w:noHBand="0" w:noVBand="1"/>
      </w:tblPr>
      <w:tblGrid>
        <w:gridCol w:w="1415"/>
        <w:gridCol w:w="1416"/>
        <w:gridCol w:w="1416"/>
        <w:gridCol w:w="1415"/>
        <w:gridCol w:w="1563"/>
        <w:gridCol w:w="1269"/>
      </w:tblGrid>
      <w:tr w:rsidR="00932FFB" w:rsidRPr="00F47D2E" w14:paraId="6ECE973A" w14:textId="77777777" w:rsidTr="0042693B">
        <w:trPr>
          <w:tblHeader/>
        </w:trPr>
        <w:tc>
          <w:tcPr>
            <w:tcW w:w="1415" w:type="dxa"/>
            <w:shd w:val="clear" w:color="auto" w:fill="DDD3EB"/>
          </w:tcPr>
          <w:p w14:paraId="51FC8A59" w14:textId="77777777" w:rsidR="00932FFB" w:rsidRPr="00932FFB" w:rsidRDefault="00932FFB" w:rsidP="00932FFB">
            <w:pPr>
              <w:pStyle w:val="TableHeading"/>
            </w:pPr>
            <w:r w:rsidRPr="00932FFB">
              <w:t>Category</w:t>
            </w:r>
          </w:p>
        </w:tc>
        <w:tc>
          <w:tcPr>
            <w:tcW w:w="1416" w:type="dxa"/>
            <w:shd w:val="clear" w:color="auto" w:fill="DDD3EB"/>
          </w:tcPr>
          <w:p w14:paraId="60545CE2" w14:textId="77777777" w:rsidR="00932FFB" w:rsidRPr="00932FFB" w:rsidRDefault="00932FFB" w:rsidP="00932FFB">
            <w:pPr>
              <w:pStyle w:val="TableHeading"/>
            </w:pPr>
            <w:r>
              <w:t>2012-13</w:t>
            </w:r>
          </w:p>
        </w:tc>
        <w:tc>
          <w:tcPr>
            <w:tcW w:w="1416" w:type="dxa"/>
            <w:shd w:val="clear" w:color="auto" w:fill="DDD3EB"/>
          </w:tcPr>
          <w:p w14:paraId="1F7C412A" w14:textId="77777777" w:rsidR="00932FFB" w:rsidRPr="00932FFB" w:rsidRDefault="00932FFB" w:rsidP="00932FFB">
            <w:pPr>
              <w:pStyle w:val="TableHeading"/>
            </w:pPr>
            <w:r>
              <w:t>201</w:t>
            </w:r>
            <w:r w:rsidRPr="00932FFB">
              <w:t>3-14</w:t>
            </w:r>
          </w:p>
        </w:tc>
        <w:tc>
          <w:tcPr>
            <w:tcW w:w="1415" w:type="dxa"/>
            <w:shd w:val="clear" w:color="auto" w:fill="DDD3EB"/>
          </w:tcPr>
          <w:p w14:paraId="7CDCB3C8" w14:textId="77777777" w:rsidR="00932FFB" w:rsidRPr="00932FFB" w:rsidRDefault="00932FFB" w:rsidP="00932FFB">
            <w:pPr>
              <w:pStyle w:val="TableHeading"/>
            </w:pPr>
            <w:r>
              <w:t>2014-15</w:t>
            </w:r>
          </w:p>
        </w:tc>
        <w:tc>
          <w:tcPr>
            <w:tcW w:w="1563" w:type="dxa"/>
            <w:shd w:val="clear" w:color="auto" w:fill="DDD3EB"/>
          </w:tcPr>
          <w:p w14:paraId="39EA0375" w14:textId="77777777" w:rsidR="00932FFB" w:rsidRPr="00932FFB" w:rsidRDefault="00932FFB" w:rsidP="00932FFB">
            <w:pPr>
              <w:pStyle w:val="TableHeading"/>
            </w:pPr>
            <w:r>
              <w:t>2015-16</w:t>
            </w:r>
          </w:p>
        </w:tc>
        <w:tc>
          <w:tcPr>
            <w:tcW w:w="1269" w:type="dxa"/>
            <w:shd w:val="clear" w:color="auto" w:fill="DDD3EB"/>
          </w:tcPr>
          <w:p w14:paraId="61936676" w14:textId="77777777" w:rsidR="00932FFB" w:rsidRPr="00932FFB" w:rsidRDefault="00932FFB" w:rsidP="00932FFB">
            <w:pPr>
              <w:pStyle w:val="TableHeading"/>
            </w:pPr>
            <w:r>
              <w:t>2016-17</w:t>
            </w:r>
          </w:p>
        </w:tc>
      </w:tr>
      <w:tr w:rsidR="00932FFB" w14:paraId="5EBE225D" w14:textId="77777777" w:rsidTr="00C642FF">
        <w:tc>
          <w:tcPr>
            <w:tcW w:w="1415" w:type="dxa"/>
            <w:vAlign w:val="center"/>
          </w:tcPr>
          <w:p w14:paraId="068C8E86" w14:textId="77777777" w:rsidR="00932FFB" w:rsidRPr="00B91FA7" w:rsidRDefault="00932FFB" w:rsidP="00932FFB">
            <w:pPr>
              <w:pStyle w:val="TableText"/>
              <w:rPr>
                <w:rStyle w:val="Strong"/>
              </w:rPr>
            </w:pPr>
            <w:r w:rsidRPr="00B91FA7">
              <w:rPr>
                <w:rStyle w:val="Strong"/>
              </w:rPr>
              <w:t>Total Budget</w:t>
            </w:r>
          </w:p>
        </w:tc>
        <w:tc>
          <w:tcPr>
            <w:tcW w:w="1416" w:type="dxa"/>
            <w:vAlign w:val="center"/>
          </w:tcPr>
          <w:p w14:paraId="5944674C" w14:textId="77777777" w:rsidR="00932FFB" w:rsidRPr="00B91FA7" w:rsidRDefault="00932FFB" w:rsidP="00932FFB">
            <w:pPr>
              <w:pStyle w:val="TableText"/>
              <w:rPr>
                <w:rStyle w:val="Strong"/>
              </w:rPr>
            </w:pPr>
            <w:r w:rsidRPr="00B91FA7">
              <w:rPr>
                <w:rStyle w:val="Strong"/>
              </w:rPr>
              <w:t>£99.9m</w:t>
            </w:r>
          </w:p>
        </w:tc>
        <w:tc>
          <w:tcPr>
            <w:tcW w:w="1416" w:type="dxa"/>
            <w:vAlign w:val="center"/>
          </w:tcPr>
          <w:p w14:paraId="303BA66D" w14:textId="77777777" w:rsidR="00932FFB" w:rsidRPr="00B91FA7" w:rsidRDefault="00932FFB" w:rsidP="00932FFB">
            <w:pPr>
              <w:pStyle w:val="TableText"/>
              <w:rPr>
                <w:rStyle w:val="Strong"/>
              </w:rPr>
            </w:pPr>
            <w:r w:rsidRPr="00B91FA7">
              <w:rPr>
                <w:rStyle w:val="Strong"/>
              </w:rPr>
              <w:t>£127.6m</w:t>
            </w:r>
          </w:p>
        </w:tc>
        <w:tc>
          <w:tcPr>
            <w:tcW w:w="1415" w:type="dxa"/>
            <w:vAlign w:val="center"/>
          </w:tcPr>
          <w:p w14:paraId="7B6C78F0" w14:textId="77777777" w:rsidR="00932FFB" w:rsidRPr="00B91FA7" w:rsidRDefault="00932FFB" w:rsidP="00932FFB">
            <w:pPr>
              <w:pStyle w:val="TableText"/>
              <w:rPr>
                <w:rStyle w:val="Strong"/>
              </w:rPr>
            </w:pPr>
            <w:r w:rsidRPr="00B91FA7">
              <w:rPr>
                <w:rStyle w:val="Strong"/>
              </w:rPr>
              <w:t>£178.8m</w:t>
            </w:r>
          </w:p>
        </w:tc>
        <w:tc>
          <w:tcPr>
            <w:tcW w:w="1563" w:type="dxa"/>
            <w:vAlign w:val="center"/>
          </w:tcPr>
          <w:p w14:paraId="0B688B1F" w14:textId="77777777" w:rsidR="00932FFB" w:rsidRPr="00B91FA7" w:rsidRDefault="00932FFB" w:rsidP="00932FFB">
            <w:pPr>
              <w:pStyle w:val="TableText"/>
              <w:rPr>
                <w:rStyle w:val="Strong"/>
              </w:rPr>
            </w:pPr>
            <w:r w:rsidRPr="00B91FA7">
              <w:rPr>
                <w:rStyle w:val="Strong"/>
              </w:rPr>
              <w:t>£76.8m</w:t>
            </w:r>
          </w:p>
        </w:tc>
        <w:tc>
          <w:tcPr>
            <w:tcW w:w="1269" w:type="dxa"/>
            <w:vAlign w:val="center"/>
          </w:tcPr>
          <w:p w14:paraId="44ADE885" w14:textId="77777777" w:rsidR="00932FFB" w:rsidRPr="00B91FA7" w:rsidRDefault="00932FFB" w:rsidP="00932FFB">
            <w:pPr>
              <w:pStyle w:val="TableText"/>
              <w:rPr>
                <w:rStyle w:val="Strong"/>
              </w:rPr>
            </w:pPr>
            <w:r w:rsidRPr="00B91FA7">
              <w:rPr>
                <w:rStyle w:val="Strong"/>
              </w:rPr>
              <w:t>£51.7m</w:t>
            </w:r>
          </w:p>
        </w:tc>
      </w:tr>
      <w:tr w:rsidR="00932FFB" w14:paraId="5EF1D0C8" w14:textId="77777777" w:rsidTr="00C642FF">
        <w:tc>
          <w:tcPr>
            <w:tcW w:w="1415" w:type="dxa"/>
            <w:vAlign w:val="center"/>
          </w:tcPr>
          <w:p w14:paraId="3F3920C7" w14:textId="77777777" w:rsidR="00932FFB" w:rsidRPr="00932FFB" w:rsidRDefault="00932FFB" w:rsidP="00932FFB">
            <w:pPr>
              <w:pStyle w:val="TableText"/>
            </w:pPr>
            <w:r w:rsidRPr="009C4A52">
              <w:t>-Transport</w:t>
            </w:r>
          </w:p>
        </w:tc>
        <w:tc>
          <w:tcPr>
            <w:tcW w:w="1416" w:type="dxa"/>
            <w:vAlign w:val="center"/>
          </w:tcPr>
          <w:p w14:paraId="0DAB47B7" w14:textId="77777777" w:rsidR="00932FFB" w:rsidRPr="00932FFB" w:rsidRDefault="00932FFB" w:rsidP="00932FFB">
            <w:pPr>
              <w:pStyle w:val="TableText"/>
            </w:pPr>
            <w:r w:rsidRPr="009C4A52">
              <w:t>£13.4m</w:t>
            </w:r>
          </w:p>
        </w:tc>
        <w:tc>
          <w:tcPr>
            <w:tcW w:w="1416" w:type="dxa"/>
            <w:vAlign w:val="center"/>
          </w:tcPr>
          <w:p w14:paraId="7EEAEDA6" w14:textId="77777777" w:rsidR="00932FFB" w:rsidRPr="00932FFB" w:rsidRDefault="00932FFB" w:rsidP="00932FFB">
            <w:pPr>
              <w:pStyle w:val="TableText"/>
            </w:pPr>
            <w:r w:rsidRPr="009C4A52">
              <w:t>£19.2m</w:t>
            </w:r>
          </w:p>
        </w:tc>
        <w:tc>
          <w:tcPr>
            <w:tcW w:w="1415" w:type="dxa"/>
            <w:vAlign w:val="center"/>
          </w:tcPr>
          <w:p w14:paraId="15AC0606" w14:textId="77777777" w:rsidR="00932FFB" w:rsidRPr="00932FFB" w:rsidRDefault="00932FFB" w:rsidP="00932FFB">
            <w:pPr>
              <w:pStyle w:val="TableText"/>
            </w:pPr>
            <w:r w:rsidRPr="009C4A52">
              <w:t>£20.2m</w:t>
            </w:r>
          </w:p>
        </w:tc>
        <w:tc>
          <w:tcPr>
            <w:tcW w:w="1563" w:type="dxa"/>
            <w:vAlign w:val="center"/>
          </w:tcPr>
          <w:p w14:paraId="036FCC74" w14:textId="77777777" w:rsidR="00932FFB" w:rsidRPr="00932FFB" w:rsidRDefault="00932FFB" w:rsidP="00932FFB">
            <w:pPr>
              <w:pStyle w:val="TableText"/>
            </w:pPr>
            <w:r w:rsidRPr="009C4A52">
              <w:t>£15.4m</w:t>
            </w:r>
          </w:p>
        </w:tc>
        <w:tc>
          <w:tcPr>
            <w:tcW w:w="1269" w:type="dxa"/>
            <w:vAlign w:val="center"/>
          </w:tcPr>
          <w:p w14:paraId="7303416C" w14:textId="77777777" w:rsidR="00932FFB" w:rsidRPr="00932FFB" w:rsidRDefault="00932FFB" w:rsidP="00932FFB">
            <w:pPr>
              <w:pStyle w:val="TableText"/>
            </w:pPr>
            <w:r w:rsidRPr="009C4A52">
              <w:t>£13.5m</w:t>
            </w:r>
          </w:p>
        </w:tc>
      </w:tr>
      <w:tr w:rsidR="00932FFB" w14:paraId="667E7049" w14:textId="77777777" w:rsidTr="00C642FF">
        <w:tc>
          <w:tcPr>
            <w:tcW w:w="1415" w:type="dxa"/>
            <w:vAlign w:val="center"/>
          </w:tcPr>
          <w:p w14:paraId="7DE36EEE" w14:textId="77777777" w:rsidR="00932FFB" w:rsidRPr="00932FFB" w:rsidRDefault="00932FFB" w:rsidP="00932FFB">
            <w:pPr>
              <w:pStyle w:val="TableText"/>
            </w:pPr>
            <w:r w:rsidRPr="009C4A52">
              <w:t xml:space="preserve">- </w:t>
            </w:r>
            <w:r w:rsidRPr="00932FFB">
              <w:t>Childcare</w:t>
            </w:r>
          </w:p>
        </w:tc>
        <w:tc>
          <w:tcPr>
            <w:tcW w:w="1416" w:type="dxa"/>
            <w:vAlign w:val="center"/>
          </w:tcPr>
          <w:p w14:paraId="19239E58" w14:textId="77777777" w:rsidR="00932FFB" w:rsidRPr="00932FFB" w:rsidRDefault="00932FFB" w:rsidP="00932FFB">
            <w:pPr>
              <w:pStyle w:val="TableText"/>
            </w:pPr>
            <w:r w:rsidRPr="009C4A52">
              <w:t>£1.6m</w:t>
            </w:r>
          </w:p>
        </w:tc>
        <w:tc>
          <w:tcPr>
            <w:tcW w:w="1416" w:type="dxa"/>
            <w:vAlign w:val="center"/>
          </w:tcPr>
          <w:p w14:paraId="067E4F71" w14:textId="77777777" w:rsidR="00932FFB" w:rsidRPr="00932FFB" w:rsidRDefault="00932FFB" w:rsidP="00932FFB">
            <w:pPr>
              <w:pStyle w:val="TableText"/>
            </w:pPr>
            <w:r w:rsidRPr="009C4A52">
              <w:t>£1.8m</w:t>
            </w:r>
          </w:p>
        </w:tc>
        <w:tc>
          <w:tcPr>
            <w:tcW w:w="1415" w:type="dxa"/>
            <w:vAlign w:val="center"/>
          </w:tcPr>
          <w:p w14:paraId="36BA61BE" w14:textId="77777777" w:rsidR="00932FFB" w:rsidRPr="00932FFB" w:rsidRDefault="00932FFB" w:rsidP="00932FFB">
            <w:pPr>
              <w:pStyle w:val="TableText"/>
            </w:pPr>
            <w:r w:rsidRPr="009C4A52">
              <w:t>£1.5m</w:t>
            </w:r>
          </w:p>
        </w:tc>
        <w:tc>
          <w:tcPr>
            <w:tcW w:w="1563" w:type="dxa"/>
            <w:vAlign w:val="center"/>
          </w:tcPr>
          <w:p w14:paraId="274478A3" w14:textId="77777777" w:rsidR="00932FFB" w:rsidRPr="00932FFB" w:rsidRDefault="00932FFB" w:rsidP="00932FFB">
            <w:pPr>
              <w:pStyle w:val="TableText"/>
            </w:pPr>
            <w:r w:rsidRPr="009C4A52">
              <w:t>£1.6m</w:t>
            </w:r>
          </w:p>
        </w:tc>
        <w:tc>
          <w:tcPr>
            <w:tcW w:w="1269" w:type="dxa"/>
            <w:vAlign w:val="center"/>
          </w:tcPr>
          <w:p w14:paraId="08D4CB0D" w14:textId="77777777" w:rsidR="00932FFB" w:rsidRPr="00932FFB" w:rsidRDefault="00932FFB" w:rsidP="00932FFB">
            <w:pPr>
              <w:pStyle w:val="TableText"/>
            </w:pPr>
            <w:r w:rsidRPr="009C4A52">
              <w:t>£1.2m</w:t>
            </w:r>
          </w:p>
        </w:tc>
      </w:tr>
      <w:tr w:rsidR="00932FFB" w14:paraId="6D193035" w14:textId="77777777" w:rsidTr="00C642FF">
        <w:tc>
          <w:tcPr>
            <w:tcW w:w="1415" w:type="dxa"/>
            <w:vAlign w:val="center"/>
          </w:tcPr>
          <w:p w14:paraId="1BA69410" w14:textId="77777777" w:rsidR="00932FFB" w:rsidRPr="00932FFB" w:rsidRDefault="00932FFB" w:rsidP="00932FFB">
            <w:pPr>
              <w:pStyle w:val="TableText"/>
            </w:pPr>
            <w:r w:rsidRPr="009C4A52">
              <w:t>- Training</w:t>
            </w:r>
          </w:p>
        </w:tc>
        <w:tc>
          <w:tcPr>
            <w:tcW w:w="1416" w:type="dxa"/>
            <w:vAlign w:val="center"/>
          </w:tcPr>
          <w:p w14:paraId="608AE0BC" w14:textId="77777777" w:rsidR="00932FFB" w:rsidRPr="00932FFB" w:rsidRDefault="00932FFB" w:rsidP="00932FFB">
            <w:pPr>
              <w:pStyle w:val="TableText"/>
            </w:pPr>
            <w:r w:rsidRPr="009C4A52">
              <w:t>£15.5m</w:t>
            </w:r>
          </w:p>
        </w:tc>
        <w:tc>
          <w:tcPr>
            <w:tcW w:w="1416" w:type="dxa"/>
            <w:vAlign w:val="center"/>
          </w:tcPr>
          <w:p w14:paraId="4ADC6B9B" w14:textId="77777777" w:rsidR="00932FFB" w:rsidRPr="00932FFB" w:rsidRDefault="00932FFB" w:rsidP="00932FFB">
            <w:pPr>
              <w:pStyle w:val="TableText"/>
            </w:pPr>
            <w:r w:rsidRPr="009C4A52">
              <w:t>£18.6m</w:t>
            </w:r>
          </w:p>
        </w:tc>
        <w:tc>
          <w:tcPr>
            <w:tcW w:w="1415" w:type="dxa"/>
            <w:vAlign w:val="center"/>
          </w:tcPr>
          <w:p w14:paraId="0518F4F3" w14:textId="77777777" w:rsidR="00932FFB" w:rsidRPr="00932FFB" w:rsidRDefault="00932FFB" w:rsidP="00932FFB">
            <w:pPr>
              <w:pStyle w:val="TableText"/>
            </w:pPr>
            <w:r w:rsidRPr="009C4A52">
              <w:t>£10.6m</w:t>
            </w:r>
          </w:p>
        </w:tc>
        <w:tc>
          <w:tcPr>
            <w:tcW w:w="1563" w:type="dxa"/>
            <w:vAlign w:val="center"/>
          </w:tcPr>
          <w:p w14:paraId="2979C760" w14:textId="77777777" w:rsidR="00932FFB" w:rsidRPr="00932FFB" w:rsidRDefault="00932FFB" w:rsidP="00932FFB">
            <w:pPr>
              <w:pStyle w:val="TableText"/>
            </w:pPr>
            <w:r w:rsidRPr="009C4A52">
              <w:t>£15.2m</w:t>
            </w:r>
          </w:p>
        </w:tc>
        <w:tc>
          <w:tcPr>
            <w:tcW w:w="1269" w:type="dxa"/>
            <w:vAlign w:val="center"/>
          </w:tcPr>
          <w:p w14:paraId="3FE27116" w14:textId="77777777" w:rsidR="00932FFB" w:rsidRPr="00932FFB" w:rsidRDefault="00932FFB" w:rsidP="00932FFB">
            <w:pPr>
              <w:pStyle w:val="TableText"/>
            </w:pPr>
            <w:r w:rsidRPr="009C4A52">
              <w:t>£8.4m</w:t>
            </w:r>
          </w:p>
        </w:tc>
      </w:tr>
      <w:tr w:rsidR="00932FFB" w14:paraId="271389D9" w14:textId="77777777" w:rsidTr="00C642FF">
        <w:tc>
          <w:tcPr>
            <w:tcW w:w="1415" w:type="dxa"/>
            <w:vAlign w:val="center"/>
          </w:tcPr>
          <w:p w14:paraId="7A5B4B93" w14:textId="77777777" w:rsidR="00932FFB" w:rsidRPr="00932FFB" w:rsidRDefault="00932FFB" w:rsidP="00932FFB">
            <w:pPr>
              <w:pStyle w:val="TableText"/>
            </w:pPr>
            <w:r w:rsidRPr="009C4A52">
              <w:t>- Other</w:t>
            </w:r>
          </w:p>
        </w:tc>
        <w:tc>
          <w:tcPr>
            <w:tcW w:w="1416" w:type="dxa"/>
            <w:vAlign w:val="center"/>
          </w:tcPr>
          <w:p w14:paraId="1B6F3D04" w14:textId="77777777" w:rsidR="00932FFB" w:rsidRPr="00932FFB" w:rsidRDefault="00932FFB" w:rsidP="00932FFB">
            <w:pPr>
              <w:pStyle w:val="TableText"/>
            </w:pPr>
            <w:r w:rsidRPr="009C4A52">
              <w:t>£84.5m</w:t>
            </w:r>
          </w:p>
        </w:tc>
        <w:tc>
          <w:tcPr>
            <w:tcW w:w="1416" w:type="dxa"/>
            <w:vAlign w:val="center"/>
          </w:tcPr>
          <w:p w14:paraId="15848A9D" w14:textId="77777777" w:rsidR="00932FFB" w:rsidRPr="00932FFB" w:rsidRDefault="00932FFB" w:rsidP="00932FFB">
            <w:pPr>
              <w:pStyle w:val="TableText"/>
            </w:pPr>
            <w:r w:rsidRPr="009C4A52">
              <w:t>£70.6m</w:t>
            </w:r>
          </w:p>
        </w:tc>
        <w:tc>
          <w:tcPr>
            <w:tcW w:w="1415" w:type="dxa"/>
            <w:vAlign w:val="center"/>
          </w:tcPr>
          <w:p w14:paraId="18C65971" w14:textId="77777777" w:rsidR="00932FFB" w:rsidRPr="00932FFB" w:rsidRDefault="00932FFB" w:rsidP="00932FFB">
            <w:pPr>
              <w:pStyle w:val="TableText"/>
            </w:pPr>
            <w:r w:rsidRPr="009C4A52">
              <w:t>£59.2m</w:t>
            </w:r>
          </w:p>
        </w:tc>
        <w:tc>
          <w:tcPr>
            <w:tcW w:w="1563" w:type="dxa"/>
            <w:vAlign w:val="center"/>
          </w:tcPr>
          <w:p w14:paraId="0C620491" w14:textId="77777777" w:rsidR="00932FFB" w:rsidRPr="00932FFB" w:rsidRDefault="00932FFB" w:rsidP="00932FFB">
            <w:pPr>
              <w:pStyle w:val="TableText"/>
            </w:pPr>
            <w:r w:rsidRPr="009C4A52">
              <w:t>£26.1m</w:t>
            </w:r>
          </w:p>
        </w:tc>
        <w:tc>
          <w:tcPr>
            <w:tcW w:w="1269" w:type="dxa"/>
            <w:vAlign w:val="center"/>
          </w:tcPr>
          <w:p w14:paraId="2755F137" w14:textId="77777777" w:rsidR="00932FFB" w:rsidRPr="00932FFB" w:rsidRDefault="00932FFB" w:rsidP="00932FFB">
            <w:pPr>
              <w:pStyle w:val="TableText"/>
            </w:pPr>
            <w:r w:rsidRPr="009C4A52">
              <w:t>£27.8m</w:t>
            </w:r>
          </w:p>
        </w:tc>
      </w:tr>
      <w:tr w:rsidR="00932FFB" w14:paraId="1D697CC8" w14:textId="77777777" w:rsidTr="00C642FF">
        <w:tc>
          <w:tcPr>
            <w:tcW w:w="1415" w:type="dxa"/>
            <w:vAlign w:val="center"/>
          </w:tcPr>
          <w:p w14:paraId="339C0C85" w14:textId="77777777" w:rsidR="00932FFB" w:rsidRPr="00E2461F" w:rsidRDefault="00932FFB" w:rsidP="00932FFB">
            <w:pPr>
              <w:pStyle w:val="TableText"/>
              <w:rPr>
                <w:rStyle w:val="Strong"/>
              </w:rPr>
            </w:pPr>
            <w:r w:rsidRPr="00E2461F">
              <w:rPr>
                <w:rStyle w:val="Strong"/>
              </w:rPr>
              <w:t>Total</w:t>
            </w:r>
          </w:p>
        </w:tc>
        <w:tc>
          <w:tcPr>
            <w:tcW w:w="1416" w:type="dxa"/>
            <w:vAlign w:val="center"/>
          </w:tcPr>
          <w:p w14:paraId="0499171F" w14:textId="77777777" w:rsidR="00932FFB" w:rsidRPr="00E2461F" w:rsidRDefault="00932FFB" w:rsidP="00932FFB">
            <w:pPr>
              <w:pStyle w:val="TableText"/>
              <w:rPr>
                <w:rStyle w:val="Strong"/>
              </w:rPr>
            </w:pPr>
            <w:r w:rsidRPr="00E2461F">
              <w:rPr>
                <w:rStyle w:val="Strong"/>
              </w:rPr>
              <w:t>£115.0m</w:t>
            </w:r>
          </w:p>
        </w:tc>
        <w:tc>
          <w:tcPr>
            <w:tcW w:w="1416" w:type="dxa"/>
            <w:vAlign w:val="center"/>
          </w:tcPr>
          <w:p w14:paraId="0018BAB6" w14:textId="77777777" w:rsidR="00932FFB" w:rsidRPr="00E2461F" w:rsidRDefault="00932FFB" w:rsidP="00932FFB">
            <w:pPr>
              <w:pStyle w:val="TableText"/>
              <w:rPr>
                <w:rStyle w:val="Strong"/>
              </w:rPr>
            </w:pPr>
            <w:r w:rsidRPr="00E2461F">
              <w:rPr>
                <w:rStyle w:val="Strong"/>
              </w:rPr>
              <w:t>£110.1m</w:t>
            </w:r>
          </w:p>
        </w:tc>
        <w:tc>
          <w:tcPr>
            <w:tcW w:w="1415" w:type="dxa"/>
            <w:vAlign w:val="center"/>
          </w:tcPr>
          <w:p w14:paraId="4FBF7F4E" w14:textId="77777777" w:rsidR="00932FFB" w:rsidRPr="00E2461F" w:rsidRDefault="00932FFB" w:rsidP="00932FFB">
            <w:pPr>
              <w:pStyle w:val="TableText"/>
              <w:rPr>
                <w:rStyle w:val="Strong"/>
              </w:rPr>
            </w:pPr>
            <w:r w:rsidRPr="00E2461F">
              <w:rPr>
                <w:rStyle w:val="Strong"/>
              </w:rPr>
              <w:t>£91.5m</w:t>
            </w:r>
          </w:p>
        </w:tc>
        <w:tc>
          <w:tcPr>
            <w:tcW w:w="1563" w:type="dxa"/>
            <w:vAlign w:val="center"/>
          </w:tcPr>
          <w:p w14:paraId="0083AD1B" w14:textId="77777777" w:rsidR="00932FFB" w:rsidRPr="00E2461F" w:rsidRDefault="00932FFB" w:rsidP="00932FFB">
            <w:pPr>
              <w:pStyle w:val="TableText"/>
              <w:rPr>
                <w:rStyle w:val="Strong"/>
              </w:rPr>
            </w:pPr>
            <w:r w:rsidRPr="00E2461F">
              <w:rPr>
                <w:rStyle w:val="Strong"/>
              </w:rPr>
              <w:t>£58.4m</w:t>
            </w:r>
          </w:p>
        </w:tc>
        <w:tc>
          <w:tcPr>
            <w:tcW w:w="1269" w:type="dxa"/>
            <w:vAlign w:val="center"/>
          </w:tcPr>
          <w:p w14:paraId="569496C9" w14:textId="77777777" w:rsidR="00932FFB" w:rsidRPr="00E2461F" w:rsidRDefault="00932FFB" w:rsidP="00932FFB">
            <w:pPr>
              <w:pStyle w:val="TableText"/>
              <w:rPr>
                <w:rStyle w:val="Strong"/>
              </w:rPr>
            </w:pPr>
            <w:r w:rsidRPr="00E2461F">
              <w:rPr>
                <w:rStyle w:val="Strong"/>
              </w:rPr>
              <w:t>£51.0m</w:t>
            </w:r>
          </w:p>
        </w:tc>
      </w:tr>
      <w:tr w:rsidR="00932FFB" w14:paraId="3C951E9B" w14:textId="77777777" w:rsidTr="00C642FF">
        <w:tc>
          <w:tcPr>
            <w:tcW w:w="1415" w:type="dxa"/>
            <w:vAlign w:val="center"/>
          </w:tcPr>
          <w:p w14:paraId="72E4C8D7" w14:textId="77777777" w:rsidR="00932FFB" w:rsidRPr="00932FFB" w:rsidRDefault="00932FFB" w:rsidP="00932FFB">
            <w:pPr>
              <w:pStyle w:val="TableText"/>
              <w:rPr>
                <w:rStyle w:val="Strong"/>
              </w:rPr>
            </w:pPr>
            <w:r w:rsidRPr="009C4A52">
              <w:t>% spent on childcare</w:t>
            </w:r>
          </w:p>
        </w:tc>
        <w:tc>
          <w:tcPr>
            <w:tcW w:w="1416" w:type="dxa"/>
            <w:vAlign w:val="center"/>
          </w:tcPr>
          <w:p w14:paraId="4DF9C52F" w14:textId="77777777" w:rsidR="00932FFB" w:rsidRPr="00932FFB" w:rsidRDefault="00932FFB" w:rsidP="00932FFB">
            <w:pPr>
              <w:pStyle w:val="TableText"/>
            </w:pPr>
            <w:r w:rsidRPr="009C4A52">
              <w:t>1.4%</w:t>
            </w:r>
          </w:p>
        </w:tc>
        <w:tc>
          <w:tcPr>
            <w:tcW w:w="1416" w:type="dxa"/>
            <w:vAlign w:val="center"/>
          </w:tcPr>
          <w:p w14:paraId="020E7744" w14:textId="77777777" w:rsidR="00932FFB" w:rsidRPr="00932FFB" w:rsidRDefault="00932FFB" w:rsidP="00932FFB">
            <w:pPr>
              <w:pStyle w:val="TableText"/>
            </w:pPr>
            <w:r w:rsidRPr="009C4A52">
              <w:t>1.6%</w:t>
            </w:r>
          </w:p>
        </w:tc>
        <w:tc>
          <w:tcPr>
            <w:tcW w:w="1415" w:type="dxa"/>
            <w:vAlign w:val="center"/>
          </w:tcPr>
          <w:p w14:paraId="0002215B" w14:textId="77777777" w:rsidR="00932FFB" w:rsidRPr="00932FFB" w:rsidRDefault="00932FFB" w:rsidP="00932FFB">
            <w:pPr>
              <w:pStyle w:val="TableText"/>
            </w:pPr>
            <w:r w:rsidRPr="009C4A52">
              <w:t>1.70%</w:t>
            </w:r>
          </w:p>
        </w:tc>
        <w:tc>
          <w:tcPr>
            <w:tcW w:w="1563" w:type="dxa"/>
            <w:vAlign w:val="center"/>
          </w:tcPr>
          <w:p w14:paraId="6CC655A2" w14:textId="77777777" w:rsidR="00932FFB" w:rsidRPr="00932FFB" w:rsidRDefault="00932FFB" w:rsidP="00932FFB">
            <w:pPr>
              <w:pStyle w:val="TableText"/>
            </w:pPr>
            <w:r w:rsidRPr="009C4A52">
              <w:t>2.70%</w:t>
            </w:r>
          </w:p>
        </w:tc>
        <w:tc>
          <w:tcPr>
            <w:tcW w:w="1269" w:type="dxa"/>
            <w:vAlign w:val="center"/>
          </w:tcPr>
          <w:p w14:paraId="0FD013D2" w14:textId="77777777" w:rsidR="00932FFB" w:rsidRPr="00932FFB" w:rsidRDefault="00932FFB" w:rsidP="00932FFB">
            <w:pPr>
              <w:pStyle w:val="TableText"/>
            </w:pPr>
            <w:r w:rsidRPr="009C4A52">
              <w:t>2</w:t>
            </w:r>
            <w:r w:rsidRPr="00932FFB">
              <w:t>.4%</w:t>
            </w:r>
          </w:p>
        </w:tc>
      </w:tr>
      <w:tr w:rsidR="00932FFB" w14:paraId="6CA1ED55" w14:textId="77777777" w:rsidTr="00C642FF">
        <w:tc>
          <w:tcPr>
            <w:tcW w:w="1415" w:type="dxa"/>
            <w:vAlign w:val="center"/>
          </w:tcPr>
          <w:p w14:paraId="3FC3E671" w14:textId="77777777" w:rsidR="00932FFB" w:rsidRPr="00932FFB" w:rsidRDefault="00932FFB" w:rsidP="00932FFB">
            <w:pPr>
              <w:pStyle w:val="TableText"/>
            </w:pPr>
            <w:r w:rsidRPr="009C4A52">
              <w:t>Underspend</w:t>
            </w:r>
          </w:p>
        </w:tc>
        <w:tc>
          <w:tcPr>
            <w:tcW w:w="1416" w:type="dxa"/>
            <w:vAlign w:val="center"/>
          </w:tcPr>
          <w:p w14:paraId="596C577D" w14:textId="77777777" w:rsidR="00932FFB" w:rsidRPr="00932FFB" w:rsidRDefault="00932FFB" w:rsidP="00932FFB">
            <w:pPr>
              <w:pStyle w:val="TableText"/>
            </w:pPr>
            <w:r w:rsidRPr="009C4A52">
              <w:t>-£15.2m</w:t>
            </w:r>
          </w:p>
        </w:tc>
        <w:tc>
          <w:tcPr>
            <w:tcW w:w="1416" w:type="dxa"/>
            <w:vAlign w:val="center"/>
          </w:tcPr>
          <w:p w14:paraId="2C653978" w14:textId="77777777" w:rsidR="00932FFB" w:rsidRPr="00932FFB" w:rsidRDefault="00932FFB" w:rsidP="00932FFB">
            <w:pPr>
              <w:pStyle w:val="TableText"/>
            </w:pPr>
            <w:r w:rsidRPr="009C4A52">
              <w:t>£17.5m</w:t>
            </w:r>
          </w:p>
        </w:tc>
        <w:tc>
          <w:tcPr>
            <w:tcW w:w="1415" w:type="dxa"/>
            <w:vAlign w:val="center"/>
          </w:tcPr>
          <w:p w14:paraId="425A6904" w14:textId="77777777" w:rsidR="00932FFB" w:rsidRPr="00932FFB" w:rsidRDefault="00932FFB" w:rsidP="00932FFB">
            <w:pPr>
              <w:pStyle w:val="TableText"/>
            </w:pPr>
            <w:r w:rsidRPr="009C4A52">
              <w:t>£87.3m</w:t>
            </w:r>
          </w:p>
        </w:tc>
        <w:tc>
          <w:tcPr>
            <w:tcW w:w="1563" w:type="dxa"/>
            <w:vAlign w:val="center"/>
          </w:tcPr>
          <w:p w14:paraId="217B8FAD" w14:textId="77777777" w:rsidR="00932FFB" w:rsidRPr="00932FFB" w:rsidRDefault="00932FFB" w:rsidP="00932FFB">
            <w:pPr>
              <w:pStyle w:val="TableText"/>
            </w:pPr>
            <w:r w:rsidRPr="009C4A52">
              <w:t>£18.4m</w:t>
            </w:r>
          </w:p>
        </w:tc>
        <w:tc>
          <w:tcPr>
            <w:tcW w:w="1269" w:type="dxa"/>
            <w:vAlign w:val="center"/>
          </w:tcPr>
          <w:p w14:paraId="1C43B5CB" w14:textId="77777777" w:rsidR="00932FFB" w:rsidRPr="00932FFB" w:rsidRDefault="00932FFB" w:rsidP="00932FFB">
            <w:pPr>
              <w:pStyle w:val="TableText"/>
            </w:pPr>
            <w:r w:rsidRPr="009C4A52">
              <w:t>£0.7m</w:t>
            </w:r>
          </w:p>
        </w:tc>
      </w:tr>
      <w:tr w:rsidR="00932FFB" w14:paraId="0D06A189" w14:textId="77777777" w:rsidTr="00C642FF">
        <w:tc>
          <w:tcPr>
            <w:tcW w:w="1415" w:type="dxa"/>
            <w:vAlign w:val="center"/>
          </w:tcPr>
          <w:p w14:paraId="1B1AC5C0" w14:textId="77777777" w:rsidR="00932FFB" w:rsidRPr="00932FFB" w:rsidRDefault="00932FFB" w:rsidP="00932FFB">
            <w:pPr>
              <w:pStyle w:val="TableText"/>
            </w:pPr>
            <w:r w:rsidRPr="00797FFE">
              <w:t>Underspend (%)</w:t>
            </w:r>
          </w:p>
        </w:tc>
        <w:tc>
          <w:tcPr>
            <w:tcW w:w="1416" w:type="dxa"/>
            <w:vAlign w:val="center"/>
          </w:tcPr>
          <w:p w14:paraId="6D211191" w14:textId="77777777" w:rsidR="00932FFB" w:rsidRPr="00932FFB" w:rsidRDefault="00932FFB" w:rsidP="00932FFB">
            <w:pPr>
              <w:pStyle w:val="TableText"/>
            </w:pPr>
            <w:r>
              <w:t>-15.2</w:t>
            </w:r>
            <w:r w:rsidRPr="00932FFB">
              <w:t>0%</w:t>
            </w:r>
          </w:p>
        </w:tc>
        <w:tc>
          <w:tcPr>
            <w:tcW w:w="1416" w:type="dxa"/>
            <w:vAlign w:val="center"/>
          </w:tcPr>
          <w:p w14:paraId="28ABD812" w14:textId="77777777" w:rsidR="00932FFB" w:rsidRPr="00932FFB" w:rsidRDefault="00932FFB" w:rsidP="00932FFB">
            <w:pPr>
              <w:pStyle w:val="TableText"/>
            </w:pPr>
            <w:r>
              <w:t>13.70%</w:t>
            </w:r>
          </w:p>
        </w:tc>
        <w:tc>
          <w:tcPr>
            <w:tcW w:w="1415" w:type="dxa"/>
            <w:vAlign w:val="center"/>
          </w:tcPr>
          <w:p w14:paraId="638CEFB2" w14:textId="77777777" w:rsidR="00932FFB" w:rsidRPr="00932FFB" w:rsidRDefault="00932FFB" w:rsidP="00932FFB">
            <w:pPr>
              <w:pStyle w:val="TableText"/>
            </w:pPr>
            <w:r>
              <w:t>48.80%</w:t>
            </w:r>
          </w:p>
        </w:tc>
        <w:tc>
          <w:tcPr>
            <w:tcW w:w="1563" w:type="dxa"/>
            <w:vAlign w:val="center"/>
          </w:tcPr>
          <w:p w14:paraId="30D4729B" w14:textId="77777777" w:rsidR="00932FFB" w:rsidRPr="00932FFB" w:rsidRDefault="00932FFB" w:rsidP="00932FFB">
            <w:pPr>
              <w:pStyle w:val="TableText"/>
            </w:pPr>
            <w:r>
              <w:t>24</w:t>
            </w:r>
            <w:r w:rsidRPr="00932FFB">
              <w:t>.00%</w:t>
            </w:r>
          </w:p>
        </w:tc>
        <w:tc>
          <w:tcPr>
            <w:tcW w:w="1269" w:type="dxa"/>
            <w:vAlign w:val="center"/>
          </w:tcPr>
          <w:p w14:paraId="613D7036" w14:textId="77777777" w:rsidR="00932FFB" w:rsidRPr="00932FFB" w:rsidRDefault="00932FFB" w:rsidP="00932FFB">
            <w:pPr>
              <w:pStyle w:val="TableText"/>
            </w:pPr>
            <w:r w:rsidRPr="00797FFE">
              <w:t>1.40%</w:t>
            </w:r>
          </w:p>
        </w:tc>
      </w:tr>
    </w:tbl>
    <w:p w14:paraId="526FB70C" w14:textId="77777777" w:rsidR="00932FFB" w:rsidRPr="00932FFB" w:rsidRDefault="00932FFB" w:rsidP="00932FFB">
      <w:pPr>
        <w:pStyle w:val="Source"/>
      </w:pPr>
      <w:r w:rsidRPr="00932FFB">
        <w:t xml:space="preserve">Source: </w:t>
      </w:r>
      <w:r w:rsidRPr="00A863DB">
        <w:rPr>
          <w:rStyle w:val="Hyperlink"/>
        </w:rPr>
        <w:t>Letter</w:t>
      </w:r>
      <w:r w:rsidR="00A863DB" w:rsidRPr="00A863DB">
        <w:rPr>
          <w:rStyle w:val="Hyperlink"/>
        </w:rPr>
        <w:t xml:space="preserve"> to the Chair</w:t>
      </w:r>
      <w:r w:rsidRPr="00A863DB">
        <w:rPr>
          <w:rStyle w:val="Hyperlink"/>
        </w:rPr>
        <w:t xml:space="preserve"> from</w:t>
      </w:r>
      <w:r w:rsidR="00A863DB" w:rsidRPr="00A863DB">
        <w:rPr>
          <w:rStyle w:val="Hyperlink"/>
        </w:rPr>
        <w:t xml:space="preserve"> Justin Tomlinson MP,</w:t>
      </w:r>
      <w:r w:rsidRPr="00A863DB">
        <w:rPr>
          <w:rStyle w:val="Hyperlink"/>
        </w:rPr>
        <w:t xml:space="preserve"> Minister for Families, Child Support and Housing</w:t>
      </w:r>
      <w:r w:rsidR="00A863DB">
        <w:rPr>
          <w:rStyle w:val="Hyperlink"/>
        </w:rPr>
        <w:t>, 27 November 2018</w:t>
      </w:r>
    </w:p>
    <w:p w14:paraId="22CE1CA1" w14:textId="77777777" w:rsidR="00412E52" w:rsidRDefault="00412E52" w:rsidP="004B02F6">
      <w:pPr>
        <w:pStyle w:val="Heading3"/>
      </w:pPr>
      <w:r>
        <w:t xml:space="preserve">Poor </w:t>
      </w:r>
      <w:r w:rsidR="00C84EF8">
        <w:t>h</w:t>
      </w:r>
      <w:r>
        <w:t>ealth</w:t>
      </w:r>
      <w:bookmarkEnd w:id="32"/>
    </w:p>
    <w:p w14:paraId="582D1B16" w14:textId="77777777" w:rsidR="00232D7D" w:rsidRDefault="00DD28D0" w:rsidP="00232D7D">
      <w:pPr>
        <w:pStyle w:val="Para1"/>
      </w:pPr>
      <w:r>
        <w:t>Claimants</w:t>
      </w:r>
      <w:r w:rsidR="002F20BE">
        <w:t xml:space="preserve"> on ESA</w:t>
      </w:r>
      <w:r w:rsidR="001C3467" w:rsidRPr="001C3467">
        <w:t xml:space="preserve"> have been assessed by the Department as having limited capability for work due to injury, sickness or disability.</w:t>
      </w:r>
      <w:r w:rsidR="006E4F18">
        <w:t xml:space="preserve"> </w:t>
      </w:r>
      <w:r w:rsidR="00E20831">
        <w:t>Z</w:t>
      </w:r>
      <w:r w:rsidR="00157CBF">
        <w:t xml:space="preserve">acchaeus </w:t>
      </w:r>
      <w:r w:rsidR="00E20831">
        <w:t>2</w:t>
      </w:r>
      <w:r w:rsidR="00157CBF">
        <w:t>000 Trust (Z2</w:t>
      </w:r>
      <w:r w:rsidR="00E20831">
        <w:t>K</w:t>
      </w:r>
      <w:r w:rsidR="00157CBF">
        <w:t>)</w:t>
      </w:r>
      <w:r w:rsidR="00E20831">
        <w:t xml:space="preserve"> told us that</w:t>
      </w:r>
      <w:r w:rsidR="003E2976">
        <w:t>,</w:t>
      </w:r>
      <w:r w:rsidR="00660A49">
        <w:t xml:space="preserve"> </w:t>
      </w:r>
      <w:r w:rsidR="002F20BE">
        <w:t xml:space="preserve">for this reason, </w:t>
      </w:r>
      <w:r w:rsidR="00660A49">
        <w:t xml:space="preserve">many </w:t>
      </w:r>
      <w:r w:rsidR="002F20BE">
        <w:t>ESA claimants it had helped</w:t>
      </w:r>
      <w:r w:rsidR="00660A49">
        <w:t xml:space="preserve"> </w:t>
      </w:r>
      <w:r w:rsidR="002F20BE">
        <w:t>were</w:t>
      </w:r>
      <w:r w:rsidR="00660A49">
        <w:t xml:space="preserve"> "incapable of escaping the cap by immediately moving into work</w:t>
      </w:r>
      <w:r w:rsidR="002F20BE">
        <w:t>."</w:t>
      </w:r>
      <w:r w:rsidR="00702933">
        <w:t xml:space="preserve"> </w:t>
      </w:r>
      <w:r w:rsidR="00953E41">
        <w:rPr>
          <w:rStyle w:val="FootnoteReference"/>
        </w:rPr>
        <w:footnoteReference w:id="36"/>
      </w:r>
      <w:r w:rsidR="00C56B75">
        <w:t xml:space="preserve"> </w:t>
      </w:r>
      <w:r w:rsidR="00660A49">
        <w:t xml:space="preserve">Giovanni </w:t>
      </w:r>
      <w:proofErr w:type="spellStart"/>
      <w:r w:rsidR="00660A49">
        <w:t>Tutti</w:t>
      </w:r>
      <w:proofErr w:type="spellEnd"/>
      <w:r w:rsidR="00660A49">
        <w:t xml:space="preserve"> explained that </w:t>
      </w:r>
      <w:r w:rsidR="00D11DBF">
        <w:t>Policy and Practice's analysis of the employment impact of the cap</w:t>
      </w:r>
      <w:r w:rsidR="00660A49">
        <w:t xml:space="preserve"> found that</w:t>
      </w:r>
      <w:r w:rsidR="00A133E1">
        <w:t>,</w:t>
      </w:r>
      <w:r w:rsidR="00660A49">
        <w:t xml:space="preserve"> of the groups that did not move into work</w:t>
      </w:r>
      <w:r w:rsidR="00A133E1">
        <w:t>,</w:t>
      </w:r>
      <w:r w:rsidR="00660A49">
        <w:t xml:space="preserve"> there was a disproportionate representation of single people on ESA</w:t>
      </w:r>
      <w:r w:rsidR="00A133E1">
        <w:t>. He said this suggests</w:t>
      </w:r>
      <w:r w:rsidR="00D11DBF">
        <w:t xml:space="preserve"> that </w:t>
      </w:r>
      <w:r w:rsidR="00A133E1">
        <w:t>being on ESA presents an</w:t>
      </w:r>
      <w:r w:rsidR="00D11DBF">
        <w:t xml:space="preserve"> "even greater barrier than childcare"</w:t>
      </w:r>
      <w:r w:rsidR="00A133E1">
        <w:t xml:space="preserve"> to moving into work</w:t>
      </w:r>
      <w:r w:rsidR="00660A49">
        <w:t>.</w:t>
      </w:r>
      <w:r w:rsidR="00D11DBF">
        <w:rPr>
          <w:rStyle w:val="FootnoteReference"/>
        </w:rPr>
        <w:footnoteReference w:id="37"/>
      </w:r>
      <w:r w:rsidR="001D6B7B">
        <w:t xml:space="preserve"> </w:t>
      </w:r>
      <w:r w:rsidR="007004AF">
        <w:t>Sam Lister</w:t>
      </w:r>
      <w:r w:rsidR="00EC67EE">
        <w:t xml:space="preserve"> also</w:t>
      </w:r>
      <w:r w:rsidR="007004AF">
        <w:t xml:space="preserve"> </w:t>
      </w:r>
      <w:r w:rsidR="00157CBF">
        <w:t>told us</w:t>
      </w:r>
      <w:r w:rsidR="00660A49">
        <w:t xml:space="preserve"> that many people in the ESA group have mental health pro</w:t>
      </w:r>
      <w:r w:rsidR="007004AF">
        <w:t xml:space="preserve">blems, and </w:t>
      </w:r>
      <w:r w:rsidR="009E6DC5">
        <w:t xml:space="preserve">that </w:t>
      </w:r>
      <w:r w:rsidR="007004AF">
        <w:t>the increased stress of the cap can push them further away from work</w:t>
      </w:r>
      <w:r w:rsidR="00660A49">
        <w:t>.</w:t>
      </w:r>
      <w:r w:rsidR="003E2976">
        <w:rPr>
          <w:rStyle w:val="FootnoteReference"/>
        </w:rPr>
        <w:footnoteReference w:id="38"/>
      </w:r>
      <w:r w:rsidR="00E32213" w:rsidRPr="00E32213">
        <w:t xml:space="preserve"> Many disabled people also face discrimination when looking for work. In 2017 the Shaw Trust found that over half (56%) of the employers it surveyed said they were reluctant to employ someone with a mental health condition, due to fear of them being stigmatized by their co-workers</w:t>
      </w:r>
      <w:r w:rsidR="004128AA">
        <w:t>,</w:t>
      </w:r>
      <w:r w:rsidR="005F261C" w:rsidRPr="005F261C">
        <w:rPr>
          <w:rStyle w:val="FootnoteReference"/>
        </w:rPr>
        <w:t xml:space="preserve"> </w:t>
      </w:r>
      <w:r w:rsidR="005F261C">
        <w:rPr>
          <w:rStyle w:val="FootnoteReference"/>
        </w:rPr>
        <w:footnoteReference w:id="39"/>
      </w:r>
      <w:r w:rsidR="00E32213" w:rsidRPr="00E32213">
        <w:t xml:space="preserve"> and a study by Scope found that nearly half of disabled people (48%) have worried about sharing information about their impairment or condition with an employer.</w:t>
      </w:r>
      <w:r w:rsidR="00E32213">
        <w:rPr>
          <w:rStyle w:val="FootnoteReference"/>
        </w:rPr>
        <w:footnoteReference w:id="40"/>
      </w:r>
    </w:p>
    <w:p w14:paraId="32DE4F27" w14:textId="77777777" w:rsidR="00211E08" w:rsidRDefault="00157CBF" w:rsidP="00D46F7E">
      <w:pPr>
        <w:pStyle w:val="Para1"/>
      </w:pPr>
      <w:r>
        <w:t xml:space="preserve">One of the ways households can </w:t>
      </w:r>
      <w:r w:rsidR="00821E21">
        <w:t xml:space="preserve">escape </w:t>
      </w:r>
      <w:r>
        <w:t xml:space="preserve">the cap is by </w:t>
      </w:r>
      <w:r w:rsidR="00821E21">
        <w:t>making a new claim for</w:t>
      </w:r>
      <w:r>
        <w:t xml:space="preserve"> a</w:t>
      </w:r>
      <w:r w:rsidR="00821E21">
        <w:t>n 'exempting benefit', which includes</w:t>
      </w:r>
      <w:r>
        <w:t xml:space="preserve"> disability benefit</w:t>
      </w:r>
      <w:r w:rsidR="00821E21">
        <w:t>s</w:t>
      </w:r>
      <w:r>
        <w:t xml:space="preserve"> such as </w:t>
      </w:r>
      <w:r w:rsidR="00966969">
        <w:t xml:space="preserve">ESA (Support Group), </w:t>
      </w:r>
      <w:r w:rsidRPr="00157CBF">
        <w:t>Personal Independence Payment (PIP) or Disability Living Allowance (DLA)</w:t>
      </w:r>
      <w:r w:rsidR="00526E6B">
        <w:t>,</w:t>
      </w:r>
      <w:r w:rsidR="006E4F18">
        <w:t xml:space="preserve"> </w:t>
      </w:r>
      <w:r w:rsidR="00821E21">
        <w:t>Carer's Allowance and Guardians Allowance.</w:t>
      </w:r>
      <w:r w:rsidR="006E4F18">
        <w:t xml:space="preserve"> </w:t>
      </w:r>
      <w:r w:rsidR="00821E21">
        <w:t>Organisations including Z2K and several local authorities told us they have taken the approach of helping some</w:t>
      </w:r>
      <w:r w:rsidR="00905379">
        <w:t xml:space="preserve"> claimants</w:t>
      </w:r>
      <w:r w:rsidR="00821E21">
        <w:t xml:space="preserve"> </w:t>
      </w:r>
      <w:r w:rsidR="00966969">
        <w:t>to</w:t>
      </w:r>
      <w:r w:rsidR="00821E21">
        <w:t xml:space="preserve"> apply for </w:t>
      </w:r>
      <w:r w:rsidR="00966969">
        <w:t xml:space="preserve">disability </w:t>
      </w:r>
      <w:r w:rsidR="00821E21">
        <w:t>benefits</w:t>
      </w:r>
      <w:r w:rsidR="00966969">
        <w:t xml:space="preserve"> such as PIP</w:t>
      </w:r>
      <w:r w:rsidR="000A5AC8">
        <w:t>,</w:t>
      </w:r>
      <w:r w:rsidR="00905379">
        <w:t xml:space="preserve"> </w:t>
      </w:r>
      <w:r w:rsidR="00B61BC7">
        <w:t xml:space="preserve">to </w:t>
      </w:r>
      <w:r w:rsidR="00D00510">
        <w:t>which</w:t>
      </w:r>
      <w:r w:rsidR="00905379">
        <w:t xml:space="preserve"> they are entitled</w:t>
      </w:r>
      <w:r w:rsidR="00821E21">
        <w:t xml:space="preserve">, so </w:t>
      </w:r>
      <w:r w:rsidR="000A5AC8">
        <w:t xml:space="preserve">that </w:t>
      </w:r>
      <w:r w:rsidR="00821E21">
        <w:t xml:space="preserve">they </w:t>
      </w:r>
      <w:r w:rsidR="00966969">
        <w:t>are no longer affected by the cap</w:t>
      </w:r>
      <w:r w:rsidR="00821E21">
        <w:t>.</w:t>
      </w:r>
      <w:r w:rsidR="006E4F18">
        <w:t xml:space="preserve"> </w:t>
      </w:r>
      <w:r w:rsidR="00821E21">
        <w:t>DWP's statistics show that</w:t>
      </w:r>
      <w:r w:rsidR="00AC112D">
        <w:t>,</w:t>
      </w:r>
      <w:r w:rsidR="00821E21">
        <w:t xml:space="preserve"> since the cap was introduced up until </w:t>
      </w:r>
      <w:r w:rsidR="00F61CF1">
        <w:t xml:space="preserve">November </w:t>
      </w:r>
      <w:r w:rsidR="00821E21">
        <w:t xml:space="preserve">2018, around </w:t>
      </w:r>
      <w:r w:rsidR="00211638">
        <w:t>26,500</w:t>
      </w:r>
      <w:r w:rsidR="00821E21">
        <w:t xml:space="preserve"> (13%</w:t>
      </w:r>
      <w:r w:rsidR="002B2365">
        <w:t xml:space="preserve"> of</w:t>
      </w:r>
      <w:r w:rsidR="00905379">
        <w:t xml:space="preserve"> households capped </w:t>
      </w:r>
      <w:r w:rsidR="002B2365">
        <w:t>via th</w:t>
      </w:r>
      <w:r w:rsidR="006C2EFA">
        <w:t>eir Housing Benefit</w:t>
      </w:r>
      <w:r w:rsidR="00821E21">
        <w:t xml:space="preserve">) previously capped </w:t>
      </w:r>
      <w:r w:rsidR="002B2365">
        <w:t>households</w:t>
      </w:r>
      <w:r w:rsidR="00821E21">
        <w:t xml:space="preserve"> were now receiving an exempting benefit.</w:t>
      </w:r>
      <w:r w:rsidR="00821E21">
        <w:rPr>
          <w:rStyle w:val="FootnoteReference"/>
        </w:rPr>
        <w:footnoteReference w:id="41"/>
      </w:r>
      <w:r w:rsidR="00966969">
        <w:t xml:space="preserve"> </w:t>
      </w:r>
      <w:r w:rsidR="00905379">
        <w:t>It is not clear which benefits these households were claiming, as t</w:t>
      </w:r>
      <w:r w:rsidR="00966969">
        <w:t>he Department told us that it does not hold data on the specific benefits that households have claimed to become exempt</w:t>
      </w:r>
      <w:r w:rsidR="00905379">
        <w:t>.</w:t>
      </w:r>
      <w:r w:rsidR="006E4F18">
        <w:t xml:space="preserve"> </w:t>
      </w:r>
      <w:r w:rsidR="00BC61BD">
        <w:t>However</w:t>
      </w:r>
      <w:r w:rsidR="00581965">
        <w:t>,</w:t>
      </w:r>
      <w:r w:rsidR="00BC61BD">
        <w:t xml:space="preserve"> </w:t>
      </w:r>
      <w:r w:rsidR="00905379">
        <w:t xml:space="preserve">Z2K </w:t>
      </w:r>
      <w:r w:rsidR="00AC112D">
        <w:t xml:space="preserve">suggested </w:t>
      </w:r>
      <w:r w:rsidR="00905379">
        <w:t>that the majority of the exemptions will be for PIP</w:t>
      </w:r>
      <w:r w:rsidR="00BC61BD">
        <w:t>.</w:t>
      </w:r>
      <w:r w:rsidR="006E4F18">
        <w:t xml:space="preserve"> </w:t>
      </w:r>
      <w:r w:rsidR="00BC61BD">
        <w:t>It</w:t>
      </w:r>
      <w:r w:rsidR="00211E08">
        <w:t xml:space="preserve"> stressed that</w:t>
      </w:r>
      <w:r w:rsidR="00AC112D">
        <w:t>,</w:t>
      </w:r>
      <w:r w:rsidR="00211E08">
        <w:t xml:space="preserve"> while these households are no longer affected by the cap, the physical and mental health of families already prone to poor well-being will have been affected by the cap for months or even years and</w:t>
      </w:r>
      <w:r w:rsidR="006E4F18">
        <w:t xml:space="preserve"> </w:t>
      </w:r>
      <w:r w:rsidR="00211E08">
        <w:t>that households "may well have accrued rent arrears and other debts while their benefit was being capped.</w:t>
      </w:r>
      <w:r w:rsidR="00211E08">
        <w:rPr>
          <w:rStyle w:val="FootnoteReference"/>
        </w:rPr>
        <w:footnoteReference w:id="42"/>
      </w:r>
      <w:r w:rsidR="006E4F18">
        <w:t xml:space="preserve"> </w:t>
      </w:r>
      <w:r w:rsidR="00905379">
        <w:t xml:space="preserve">The Department </w:t>
      </w:r>
      <w:r w:rsidR="00BE4460">
        <w:t>suggested</w:t>
      </w:r>
      <w:r w:rsidR="00966969">
        <w:t xml:space="preserve"> that claims</w:t>
      </w:r>
      <w:r w:rsidR="00BE4460">
        <w:t xml:space="preserve"> for </w:t>
      </w:r>
      <w:r w:rsidR="00211E08">
        <w:t>exemptions</w:t>
      </w:r>
      <w:r w:rsidR="00966969">
        <w:t xml:space="preserve"> may </w:t>
      </w:r>
      <w:r w:rsidR="00357019">
        <w:t>occur</w:t>
      </w:r>
      <w:r w:rsidR="00966969">
        <w:t xml:space="preserve"> </w:t>
      </w:r>
      <w:r w:rsidR="00357019">
        <w:t>"</w:t>
      </w:r>
      <w:r w:rsidR="00966969">
        <w:t>as a result of a number of factors or changes in circumstances or household composit</w:t>
      </w:r>
      <w:r w:rsidR="00357019">
        <w:t>ion"</w:t>
      </w:r>
      <w:r w:rsidR="00966969">
        <w:t>.</w:t>
      </w:r>
      <w:r w:rsidR="00526E6B">
        <w:t xml:space="preserve"> </w:t>
      </w:r>
      <w:r w:rsidR="00BE4460">
        <w:rPr>
          <w:rStyle w:val="FootnoteReference"/>
        </w:rPr>
        <w:footnoteReference w:id="43"/>
      </w:r>
      <w:r w:rsidR="00526E6B">
        <w:t xml:space="preserve"> </w:t>
      </w:r>
    </w:p>
    <w:p w14:paraId="00B9DB47" w14:textId="77777777" w:rsidR="00B1449E" w:rsidRDefault="00B1449E" w:rsidP="00D46F7E">
      <w:pPr>
        <w:pStyle w:val="Heading3"/>
      </w:pPr>
      <w:bookmarkStart w:id="33" w:name="_Toc431437"/>
      <w:r>
        <w:t>Department's rationale</w:t>
      </w:r>
      <w:r w:rsidR="00D46F7E">
        <w:t xml:space="preserve"> for capping households not subject to conditionality</w:t>
      </w:r>
      <w:bookmarkEnd w:id="33"/>
    </w:p>
    <w:p w14:paraId="751DF40D" w14:textId="77777777" w:rsidR="00B1449E" w:rsidRDefault="008154F5" w:rsidP="002C0541">
      <w:pPr>
        <w:pStyle w:val="Para1"/>
      </w:pPr>
      <w:r>
        <w:t>The Department provides</w:t>
      </w:r>
      <w:r w:rsidR="00B1449E">
        <w:t xml:space="preserve"> exemptions for </w:t>
      </w:r>
      <w:r w:rsidR="00D46F7E">
        <w:t>households</w:t>
      </w:r>
      <w:r w:rsidR="00B1449E">
        <w:t xml:space="preserve"> on disability-related benefits on the basis that it </w:t>
      </w:r>
      <w:r>
        <w:t>understands that</w:t>
      </w:r>
      <w:r w:rsidR="00B1449E">
        <w:t xml:space="preserve"> </w:t>
      </w:r>
      <w:r w:rsidR="00DD0341">
        <w:t>"</w:t>
      </w:r>
      <w:r w:rsidR="00B1449E">
        <w:t>disabled claimants may find it harder to move into work and also i</w:t>
      </w:r>
      <w:r w:rsidR="00DD0341">
        <w:t>ncur additional living expenses"</w:t>
      </w:r>
      <w:r>
        <w:t>.</w:t>
      </w:r>
      <w:r w:rsidR="00D120CA">
        <w:rPr>
          <w:rStyle w:val="FootnoteReference"/>
        </w:rPr>
        <w:footnoteReference w:id="44"/>
      </w:r>
      <w:r w:rsidR="006E4F18">
        <w:t xml:space="preserve"> </w:t>
      </w:r>
      <w:r w:rsidR="00654AA8">
        <w:t xml:space="preserve">This suggests </w:t>
      </w:r>
      <w:r>
        <w:t>that the Department</w:t>
      </w:r>
      <w:r w:rsidR="00D46F7E">
        <w:t xml:space="preserve"> </w:t>
      </w:r>
      <w:r w:rsidR="00B1449E">
        <w:t>recognise</w:t>
      </w:r>
      <w:r>
        <w:t>s</w:t>
      </w:r>
      <w:r w:rsidR="00B1449E">
        <w:t xml:space="preserve"> that the cap places those who face barriers to moving into work at a disadvantage.</w:t>
      </w:r>
      <w:r w:rsidR="006E4F18">
        <w:t xml:space="preserve"> </w:t>
      </w:r>
      <w:r w:rsidR="00B1449E">
        <w:t>However</w:t>
      </w:r>
      <w:r w:rsidR="00D46F7E">
        <w:t>,</w:t>
      </w:r>
      <w:r w:rsidR="00B1449E">
        <w:t xml:space="preserve"> i</w:t>
      </w:r>
      <w:r w:rsidR="00D46F7E">
        <w:t xml:space="preserve">ts argument for </w:t>
      </w:r>
      <w:r w:rsidR="00470385">
        <w:t>capping</w:t>
      </w:r>
      <w:r>
        <w:t xml:space="preserve"> households it has assessed as not being required to look for work</w:t>
      </w:r>
      <w:r w:rsidR="00D46F7E">
        <w:t xml:space="preserve"> </w:t>
      </w:r>
      <w:r w:rsidR="00654AA8">
        <w:t>seems</w:t>
      </w:r>
      <w:r w:rsidR="00D46F7E">
        <w:t xml:space="preserve"> to be that </w:t>
      </w:r>
      <w:r w:rsidR="003D5571">
        <w:t>these households "could"</w:t>
      </w:r>
      <w:r>
        <w:t xml:space="preserve"> move into work.</w:t>
      </w:r>
      <w:r w:rsidR="006E4F18">
        <w:t xml:space="preserve"> </w:t>
      </w:r>
      <w:r>
        <w:t>In its written evidence, it said:</w:t>
      </w:r>
    </w:p>
    <w:p w14:paraId="46667178" w14:textId="77777777" w:rsidR="008154F5" w:rsidRPr="00960594" w:rsidRDefault="008154F5" w:rsidP="008154F5">
      <w:pPr>
        <w:pStyle w:val="Quote"/>
        <w:rPr>
          <w:rStyle w:val="Emphasis"/>
        </w:rPr>
      </w:pPr>
      <w:r w:rsidRPr="00960594">
        <w:rPr>
          <w:rStyle w:val="Emphasis"/>
        </w:rPr>
        <w:t xml:space="preserve">Just because some are not required to work under work conditionality rules does not mean that they are not encouraged to work, which is why the Government has continually provided support to help move people into work. </w:t>
      </w:r>
      <w:r w:rsidRPr="006024CC">
        <w:rPr>
          <w:rStyle w:val="FootnoteReference"/>
        </w:rPr>
        <w:footnoteReference w:id="45"/>
      </w:r>
    </w:p>
    <w:p w14:paraId="42798F16" w14:textId="77777777" w:rsidR="008154F5" w:rsidRDefault="008154F5" w:rsidP="008154F5">
      <w:pPr>
        <w:pStyle w:val="Para1"/>
      </w:pPr>
      <w:r>
        <w:t xml:space="preserve">On the one hand the Minister reiterated that </w:t>
      </w:r>
      <w:r w:rsidR="00DD4A71">
        <w:t>it was</w:t>
      </w:r>
      <w:r>
        <w:t xml:space="preserve"> "reasonable" for those not subject to conditionality in the benefit system such as ESA claimants to be subject to the cap because "there is an expectation they could seek a level of work".</w:t>
      </w:r>
      <w:r w:rsidR="006E4F18">
        <w:t xml:space="preserve"> </w:t>
      </w:r>
      <w:r>
        <w:t>However, he conceded that the Department does not expect all claimants affected by the cap to find work.</w:t>
      </w:r>
      <w:r>
        <w:rPr>
          <w:rStyle w:val="FootnoteReference"/>
        </w:rPr>
        <w:footnoteReference w:id="46"/>
      </w:r>
      <w:r w:rsidR="001D6B7B">
        <w:t xml:space="preserve"> </w:t>
      </w:r>
    </w:p>
    <w:p w14:paraId="785B403A" w14:textId="77777777" w:rsidR="00C237F2" w:rsidRPr="00C237F2" w:rsidRDefault="00C237F2" w:rsidP="00211E08">
      <w:pPr>
        <w:pStyle w:val="Heading2"/>
      </w:pPr>
      <w:bookmarkStart w:id="34" w:name="_Toc431438"/>
      <w:r w:rsidRPr="00C237F2">
        <w:t>Other ways to escape the cap</w:t>
      </w:r>
      <w:bookmarkEnd w:id="34"/>
    </w:p>
    <w:p w14:paraId="5FBBE582" w14:textId="77777777" w:rsidR="00BE00FD" w:rsidRDefault="006831FA" w:rsidP="00B91953">
      <w:pPr>
        <w:pStyle w:val="Para1"/>
      </w:pPr>
      <w:r>
        <w:t>For claimants who can</w:t>
      </w:r>
      <w:r w:rsidR="00244222">
        <w:t>no</w:t>
      </w:r>
      <w:r>
        <w:t xml:space="preserve">t escape the cap by moving into work, </w:t>
      </w:r>
      <w:r w:rsidR="00D56009">
        <w:t>the Minister</w:t>
      </w:r>
      <w:r>
        <w:t xml:space="preserve"> suggested t</w:t>
      </w:r>
      <w:r w:rsidR="00043C53">
        <w:t>hat</w:t>
      </w:r>
      <w:r w:rsidR="005D7ADB">
        <w:t xml:space="preserve"> </w:t>
      </w:r>
      <w:r w:rsidR="0061048F">
        <w:t xml:space="preserve">there are </w:t>
      </w:r>
      <w:r w:rsidR="009F06CF">
        <w:t>"</w:t>
      </w:r>
      <w:r w:rsidR="0061048F">
        <w:t xml:space="preserve">other </w:t>
      </w:r>
      <w:r w:rsidR="009F06CF">
        <w:t>things which can be changed"</w:t>
      </w:r>
      <w:r w:rsidR="00694B9B">
        <w:t>,</w:t>
      </w:r>
      <w:r w:rsidR="0061048F">
        <w:t xml:space="preserve"> such as housing costs</w:t>
      </w:r>
      <w:r w:rsidR="005D7ADB">
        <w:t>,</w:t>
      </w:r>
      <w:r w:rsidR="0061048F">
        <w:t xml:space="preserve"> which</w:t>
      </w:r>
      <w:r w:rsidR="00A801BE">
        <w:t xml:space="preserve"> he argued</w:t>
      </w:r>
      <w:r w:rsidR="0061048F">
        <w:t xml:space="preserve"> </w:t>
      </w:r>
      <w:r w:rsidR="009F06CF">
        <w:t>"</w:t>
      </w:r>
      <w:r w:rsidR="0061048F">
        <w:t>m</w:t>
      </w:r>
      <w:r w:rsidR="00F34182">
        <w:t>aintains the principle of fairness withi</w:t>
      </w:r>
      <w:r w:rsidR="004B4AA9">
        <w:t>n the b</w:t>
      </w:r>
      <w:r w:rsidR="009F06CF">
        <w:t>enefit system"</w:t>
      </w:r>
      <w:r w:rsidR="00F34182">
        <w:t xml:space="preserve">. </w:t>
      </w:r>
      <w:r w:rsidR="00BC2D9D">
        <w:rPr>
          <w:rStyle w:val="FootnoteReference"/>
        </w:rPr>
        <w:footnoteReference w:id="47"/>
      </w:r>
      <w:r w:rsidR="00D56009">
        <w:t xml:space="preserve"> </w:t>
      </w:r>
      <w:r w:rsidR="00485738">
        <w:t xml:space="preserve">In </w:t>
      </w:r>
      <w:r w:rsidR="00B56AFD">
        <w:t>response to a question on what had happened to households</w:t>
      </w:r>
      <w:r w:rsidR="00485738">
        <w:t xml:space="preserve"> who were not able to</w:t>
      </w:r>
      <w:r w:rsidR="00B56AFD">
        <w:t xml:space="preserve"> escape the cap by moving </w:t>
      </w:r>
      <w:r w:rsidR="00485738">
        <w:t>into work, he said:</w:t>
      </w:r>
      <w:r w:rsidR="00F34182">
        <w:t xml:space="preserve"> </w:t>
      </w:r>
    </w:p>
    <w:p w14:paraId="019679BF" w14:textId="77777777" w:rsidR="00BE00FD" w:rsidRPr="00960594" w:rsidRDefault="00F34182" w:rsidP="00BE00FD">
      <w:pPr>
        <w:pStyle w:val="Quote"/>
        <w:rPr>
          <w:rStyle w:val="Emphasis"/>
        </w:rPr>
      </w:pPr>
      <w:r w:rsidRPr="00960594">
        <w:rPr>
          <w:rStyle w:val="Emphasis"/>
        </w:rPr>
        <w:t>some will have made other changes, including in their housing costs, whether that is either moving or renegotiating what their rental housing costs are, or they could, for ex</w:t>
      </w:r>
      <w:r w:rsidR="008038DB" w:rsidRPr="00960594">
        <w:rPr>
          <w:rStyle w:val="Emphasis"/>
        </w:rPr>
        <w:t>ample, take in a lodger</w:t>
      </w:r>
      <w:r w:rsidR="005D601F" w:rsidRPr="00960594">
        <w:rPr>
          <w:rStyle w:val="Emphasis"/>
        </w:rPr>
        <w:t xml:space="preserve">. </w:t>
      </w:r>
      <w:r w:rsidR="00206637" w:rsidRPr="00D96C36">
        <w:rPr>
          <w:rStyle w:val="FootnoteReference"/>
        </w:rPr>
        <w:footnoteReference w:id="48"/>
      </w:r>
    </w:p>
    <w:p w14:paraId="388BFE52" w14:textId="77777777" w:rsidR="004F1640" w:rsidRDefault="00DA355A" w:rsidP="00CE1CF9">
      <w:pPr>
        <w:pStyle w:val="ParaContinued"/>
      </w:pPr>
      <w:r>
        <w:t>Nevertheless</w:t>
      </w:r>
      <w:r w:rsidR="00BE00FD">
        <w:t>, t</w:t>
      </w:r>
      <w:r w:rsidR="00A801BE">
        <w:t>he majority of</w:t>
      </w:r>
      <w:r w:rsidR="00105BA9">
        <w:t xml:space="preserve"> e</w:t>
      </w:r>
      <w:r w:rsidR="00967324">
        <w:t xml:space="preserve">vidence to our inquiry </w:t>
      </w:r>
      <w:r w:rsidR="00587D59">
        <w:t xml:space="preserve">was clear </w:t>
      </w:r>
      <w:r w:rsidR="00E10D07">
        <w:t>that</w:t>
      </w:r>
      <w:r w:rsidR="00967324">
        <w:t xml:space="preserve"> </w:t>
      </w:r>
      <w:r w:rsidR="00BE00FD">
        <w:t xml:space="preserve">the </w:t>
      </w:r>
      <w:r w:rsidR="00967324">
        <w:t>optio</w:t>
      </w:r>
      <w:r w:rsidR="00712466">
        <w:t>ns available to capped claimants</w:t>
      </w:r>
      <w:r w:rsidR="00967324">
        <w:t xml:space="preserve"> unable to move into employment</w:t>
      </w:r>
      <w:r w:rsidR="00712466">
        <w:t xml:space="preserve"> </w:t>
      </w:r>
      <w:r w:rsidR="00967324">
        <w:t>are extremely limited.</w:t>
      </w:r>
      <w:r w:rsidR="007A5BB2">
        <w:rPr>
          <w:rStyle w:val="FootnoteReference"/>
        </w:rPr>
        <w:footnoteReference w:id="49"/>
      </w:r>
      <w:r w:rsidR="006E4F18">
        <w:t xml:space="preserve"> </w:t>
      </w:r>
    </w:p>
    <w:p w14:paraId="716033D2" w14:textId="77777777" w:rsidR="00D4355F" w:rsidRDefault="007141F5" w:rsidP="00D4355F">
      <w:pPr>
        <w:pStyle w:val="Heading3"/>
      </w:pPr>
      <w:bookmarkStart w:id="35" w:name="_Toc431439"/>
      <w:r>
        <w:t xml:space="preserve">Moving </w:t>
      </w:r>
      <w:r w:rsidR="00587D59">
        <w:t>h</w:t>
      </w:r>
      <w:r w:rsidR="00D4355F">
        <w:t>ouse</w:t>
      </w:r>
      <w:bookmarkEnd w:id="35"/>
    </w:p>
    <w:p w14:paraId="12B10317" w14:textId="77777777" w:rsidR="00E2104D" w:rsidRDefault="00E2104D" w:rsidP="00E2104D">
      <w:pPr>
        <w:pStyle w:val="Para1"/>
      </w:pPr>
      <w:r>
        <w:t>Several social housing providers pointed out that many of their tenants do not have the option of moving to cheaper accommodation, as social housing rent is already generally less expensive than the equivalent in the private rented sector and local authority accommodation is scarce.</w:t>
      </w:r>
      <w:r w:rsidR="001D6B7B">
        <w:t xml:space="preserve"> </w:t>
      </w:r>
      <w:r>
        <w:t>For example, Plymouth Community Homes told us:</w:t>
      </w:r>
    </w:p>
    <w:p w14:paraId="2BD05050" w14:textId="77777777" w:rsidR="00E2104D" w:rsidRDefault="00E2104D" w:rsidP="00E2104D">
      <w:pPr>
        <w:pStyle w:val="Quote"/>
        <w:rPr>
          <w:rStyle w:val="Emphasis"/>
        </w:rPr>
      </w:pPr>
      <w:r w:rsidRPr="00960594">
        <w:rPr>
          <w:rStyle w:val="Emphasis"/>
        </w:rPr>
        <w:t>55% of tenants affected by the cap are now in rent arrears. As we have some of the lowest social rents in the country it is not a realistic option for a tenant to move to a cheaper property.</w:t>
      </w:r>
      <w:r w:rsidRPr="00B8086D">
        <w:rPr>
          <w:rStyle w:val="FootnoteReference"/>
        </w:rPr>
        <w:footnoteReference w:id="50"/>
      </w:r>
    </w:p>
    <w:p w14:paraId="04AC1CB0" w14:textId="77777777" w:rsidR="00DB1E29" w:rsidRPr="00BB5312" w:rsidRDefault="00DB1E29" w:rsidP="00BB5312">
      <w:pPr>
        <w:pStyle w:val="ParaContinued"/>
        <w:rPr>
          <w:rStyle w:val="Emphasis"/>
          <w:i w:val="0"/>
          <w:iCs w:val="0"/>
        </w:rPr>
      </w:pPr>
      <w:r w:rsidRPr="00BB5312">
        <w:rPr>
          <w:rStyle w:val="Emphasis"/>
          <w:i w:val="0"/>
          <w:iCs w:val="0"/>
        </w:rPr>
        <w:t>Shelter explained that there are currently 1.15 million households on waiting lists for social housing, but only 290,000 social homes became available last year.  Of those people on waiting lists, almost two-thirds (65%) have been waiting for over a year, and 27% for more than five years.</w:t>
      </w:r>
      <w:r w:rsidR="00B9166C">
        <w:rPr>
          <w:rStyle w:val="FootnoteReference"/>
        </w:rPr>
        <w:footnoteReference w:id="51"/>
      </w:r>
    </w:p>
    <w:p w14:paraId="664D4766" w14:textId="77777777" w:rsidR="007A5BB2" w:rsidRDefault="00E2104D" w:rsidP="00E2104D">
      <w:pPr>
        <w:pStyle w:val="Para1"/>
      </w:pPr>
      <w:r>
        <w:t xml:space="preserve">In addition, </w:t>
      </w:r>
      <w:r w:rsidR="00F21E3D">
        <w:t>Jenny Pennington</w:t>
      </w:r>
      <w:r>
        <w:t>, Senior Research Officer for</w:t>
      </w:r>
      <w:r w:rsidR="00F21E3D">
        <w:t xml:space="preserve"> Shelter</w:t>
      </w:r>
      <w:r w:rsidR="00587D59">
        <w:t>,</w:t>
      </w:r>
      <w:r w:rsidR="00F21E3D">
        <w:t xml:space="preserve"> explained that Shelter's analysis of the rental market</w:t>
      </w:r>
      <w:r w:rsidR="00645923" w:rsidRPr="00D4355F">
        <w:t xml:space="preserve"> showed</w:t>
      </w:r>
      <w:r w:rsidR="00C61833">
        <w:t xml:space="preserve"> that</w:t>
      </w:r>
      <w:r w:rsidR="00225878">
        <w:t xml:space="preserve"> </w:t>
      </w:r>
      <w:r w:rsidR="007A5BB2">
        <w:t>the lower cap means it is now</w:t>
      </w:r>
      <w:r w:rsidR="00F21E3D">
        <w:t xml:space="preserve"> impossible for lone-parent families with three or more children (</w:t>
      </w:r>
      <w:r w:rsidR="0054135B">
        <w:t>60</w:t>
      </w:r>
      <w:r w:rsidR="00F320DB">
        <w:t>%</w:t>
      </w:r>
      <w:r w:rsidR="00F21E3D">
        <w:t xml:space="preserve"> of those affected by the cap</w:t>
      </w:r>
      <w:r w:rsidR="00F320DB">
        <w:rPr>
          <w:rStyle w:val="FootnoteReference"/>
        </w:rPr>
        <w:footnoteReference w:id="52"/>
      </w:r>
      <w:r w:rsidR="00F21E3D">
        <w:t xml:space="preserve">) to </w:t>
      </w:r>
      <w:r w:rsidR="00645923" w:rsidRPr="00D4355F">
        <w:t xml:space="preserve">avoid the cap by moving to </w:t>
      </w:r>
      <w:r w:rsidR="00645923">
        <w:t xml:space="preserve">more </w:t>
      </w:r>
      <w:r w:rsidR="00645923" w:rsidRPr="00D4355F">
        <w:t xml:space="preserve">affordable accommodation </w:t>
      </w:r>
      <w:r w:rsidR="00645923">
        <w:t>in a different area of the country</w:t>
      </w:r>
      <w:r w:rsidR="007A5BB2">
        <w:t>, as shown in the figure below</w:t>
      </w:r>
      <w:r w:rsidR="00645923" w:rsidRPr="00D4355F">
        <w:t>.</w:t>
      </w:r>
      <w:r w:rsidR="006E4F18">
        <w:t xml:space="preserve"> </w:t>
      </w:r>
      <w:r>
        <w:t>This is</w:t>
      </w:r>
      <w:r w:rsidR="00645923">
        <w:t xml:space="preserve"> </w:t>
      </w:r>
      <w:r>
        <w:t>"</w:t>
      </w:r>
      <w:r w:rsidR="00645923">
        <w:t xml:space="preserve">because </w:t>
      </w:r>
      <w:r w:rsidR="00645923" w:rsidRPr="00D4355F">
        <w:t>the cap is now so low that it is not possible for households to even cover the rent in the cheapest areas of England from the cap amount.</w:t>
      </w:r>
      <w:r w:rsidR="00645923">
        <w:t>"</w:t>
      </w:r>
      <w:r w:rsidR="00645923" w:rsidRPr="00D4355F">
        <w:rPr>
          <w:rStyle w:val="FootnoteReference"/>
        </w:rPr>
        <w:footnoteReference w:id="53"/>
      </w:r>
      <w:r w:rsidR="006E4F18">
        <w:t xml:space="preserve"> </w:t>
      </w:r>
    </w:p>
    <w:p w14:paraId="7ED75D40" w14:textId="77777777" w:rsidR="009472DD" w:rsidRDefault="009472DD" w:rsidP="009472DD">
      <w:pPr>
        <w:pStyle w:val="Caption"/>
      </w:pPr>
      <w:r>
        <w:t xml:space="preserve">Fig </w:t>
      </w:r>
      <w:r w:rsidR="003C3D36">
        <w:t>5</w:t>
      </w:r>
      <w:r>
        <w:t>: Areas in England where one-parent families with three children would still be affected by the benefit cap</w:t>
      </w:r>
    </w:p>
    <w:p w14:paraId="272164CD" w14:textId="77777777" w:rsidR="00122360" w:rsidRDefault="00355397" w:rsidP="00355397">
      <w:pPr>
        <w:pStyle w:val="GraphicPara"/>
      </w:pPr>
      <w:r w:rsidRPr="00355397">
        <w:rPr>
          <w:noProof/>
        </w:rPr>
        <w:drawing>
          <wp:inline distT="0" distB="0" distL="0" distR="0" wp14:anchorId="42BC033A" wp14:editId="41D49D6A">
            <wp:extent cx="5248275" cy="4200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48275" cy="4200525"/>
                    </a:xfrm>
                    <a:prstGeom prst="rect">
                      <a:avLst/>
                    </a:prstGeom>
                  </pic:spPr>
                </pic:pic>
              </a:graphicData>
            </a:graphic>
          </wp:inline>
        </w:drawing>
      </w:r>
    </w:p>
    <w:p w14:paraId="4724CC63" w14:textId="77777777" w:rsidR="003C3D36" w:rsidRPr="003C3D36" w:rsidRDefault="003C3D36" w:rsidP="003C3D36">
      <w:pPr>
        <w:pStyle w:val="Source"/>
      </w:pPr>
      <w:r>
        <w:t>Source: Shelter (BEC00</w:t>
      </w:r>
      <w:r w:rsidR="00407078">
        <w:t>24)</w:t>
      </w:r>
    </w:p>
    <w:p w14:paraId="69C1C97B" w14:textId="77777777" w:rsidR="00962F82" w:rsidRDefault="0005360C" w:rsidP="000A1E87">
      <w:pPr>
        <w:pStyle w:val="Para1"/>
      </w:pPr>
      <w:r>
        <w:rPr>
          <w:rFonts w:eastAsiaTheme="majorEastAsia"/>
        </w:rPr>
        <w:t>Even the</w:t>
      </w:r>
      <w:r w:rsidR="003779DC">
        <w:rPr>
          <w:rFonts w:eastAsiaTheme="majorEastAsia"/>
        </w:rPr>
        <w:t xml:space="preserve"> Department's</w:t>
      </w:r>
      <w:r w:rsidR="00A801BE">
        <w:rPr>
          <w:rFonts w:eastAsiaTheme="majorEastAsia"/>
        </w:rPr>
        <w:t xml:space="preserve"> own evaluation of the </w:t>
      </w:r>
      <w:r w:rsidR="007B6C25">
        <w:rPr>
          <w:rFonts w:eastAsiaTheme="majorEastAsia"/>
        </w:rPr>
        <w:t>original £26,000 cap</w:t>
      </w:r>
      <w:r w:rsidR="003779DC">
        <w:rPr>
          <w:rFonts w:eastAsiaTheme="majorEastAsia"/>
        </w:rPr>
        <w:t xml:space="preserve"> </w:t>
      </w:r>
      <w:r w:rsidR="00A801BE">
        <w:rPr>
          <w:rFonts w:eastAsiaTheme="majorEastAsia"/>
        </w:rPr>
        <w:t>"did not find significant evidence that claimants had moved</w:t>
      </w:r>
      <w:r w:rsidR="007B6C25">
        <w:rPr>
          <w:rFonts w:eastAsiaTheme="majorEastAsia"/>
        </w:rPr>
        <w:t xml:space="preserve"> </w:t>
      </w:r>
      <w:r w:rsidR="00A801BE">
        <w:rPr>
          <w:rFonts w:eastAsiaTheme="majorEastAsia"/>
        </w:rPr>
        <w:t>house in response to the cap".</w:t>
      </w:r>
      <w:r w:rsidR="006E4F18">
        <w:rPr>
          <w:rFonts w:eastAsiaTheme="majorEastAsia"/>
        </w:rPr>
        <w:t xml:space="preserve"> </w:t>
      </w:r>
      <w:r w:rsidR="00A801BE">
        <w:rPr>
          <w:rFonts w:eastAsiaTheme="majorEastAsia"/>
        </w:rPr>
        <w:t>It found that the few claimants that did move had moved locally and there had been no "large scale" movement out of London.</w:t>
      </w:r>
      <w:r w:rsidR="00A801BE">
        <w:rPr>
          <w:rStyle w:val="FootnoteReference"/>
          <w:rFonts w:eastAsiaTheme="majorEastAsia"/>
        </w:rPr>
        <w:footnoteReference w:id="54"/>
      </w:r>
      <w:r w:rsidR="001D6B7B">
        <w:rPr>
          <w:rFonts w:eastAsiaTheme="majorEastAsia"/>
        </w:rPr>
        <w:t xml:space="preserve"> </w:t>
      </w:r>
    </w:p>
    <w:p w14:paraId="2C9FD502" w14:textId="77777777" w:rsidR="00D4355F" w:rsidRDefault="00D4355F" w:rsidP="00D4355F">
      <w:pPr>
        <w:pStyle w:val="Heading3"/>
      </w:pPr>
      <w:bookmarkStart w:id="36" w:name="_Toc431440"/>
      <w:r>
        <w:t>Negotiating a cheaper rent</w:t>
      </w:r>
      <w:bookmarkEnd w:id="36"/>
      <w:r w:rsidR="00082388">
        <w:tab/>
      </w:r>
    </w:p>
    <w:p w14:paraId="0ABB7057" w14:textId="77777777" w:rsidR="008B54DA" w:rsidRDefault="007B6C25" w:rsidP="008B54DA">
      <w:pPr>
        <w:pStyle w:val="Para1"/>
      </w:pPr>
      <w:r>
        <w:t>We also heard</w:t>
      </w:r>
      <w:r w:rsidR="00C64E53">
        <w:t xml:space="preserve"> that negotiating a cheaper rent is not a realistic </w:t>
      </w:r>
      <w:r w:rsidR="00F44F9D">
        <w:t>way for households</w:t>
      </w:r>
      <w:r w:rsidR="00C64E53">
        <w:t xml:space="preserve"> escape the cap.</w:t>
      </w:r>
      <w:r w:rsidR="006E4F18">
        <w:t xml:space="preserve"> </w:t>
      </w:r>
      <w:r w:rsidR="008B54DA">
        <w:t>The Department's survey</w:t>
      </w:r>
      <w:r w:rsidR="00050226">
        <w:t xml:space="preserve"> of claimants affected by the original cap</w:t>
      </w:r>
      <w:r w:rsidR="008B54DA">
        <w:t xml:space="preserve"> showed that just 1% of households who had moved off the cap had been able to negotiate a lower rent</w:t>
      </w:r>
      <w:r w:rsidR="00050226">
        <w:t xml:space="preserve"> with their landlord</w:t>
      </w:r>
      <w:r w:rsidR="00534CC6">
        <w:t>.</w:t>
      </w:r>
      <w:r w:rsidR="00050226">
        <w:rPr>
          <w:rStyle w:val="FootnoteReference"/>
        </w:rPr>
        <w:footnoteReference w:id="55"/>
      </w:r>
      <w:r w:rsidR="006E4F18">
        <w:t xml:space="preserve"> </w:t>
      </w:r>
      <w:r w:rsidR="002701E4">
        <w:t>Several</w:t>
      </w:r>
      <w:r w:rsidR="008B54DA">
        <w:t xml:space="preserve"> organisations</w:t>
      </w:r>
      <w:r w:rsidR="00534CC6">
        <w:t>,</w:t>
      </w:r>
      <w:r w:rsidR="008B54DA">
        <w:t xml:space="preserve"> </w:t>
      </w:r>
      <w:r w:rsidR="00644E16">
        <w:t xml:space="preserve">including </w:t>
      </w:r>
      <w:r w:rsidR="00534CC6">
        <w:t xml:space="preserve">the Chartered Institute of Housing, </w:t>
      </w:r>
      <w:r w:rsidR="008B54DA">
        <w:t>pointed</w:t>
      </w:r>
      <w:r w:rsidR="00050226">
        <w:t xml:space="preserve"> out that</w:t>
      </w:r>
      <w:r w:rsidR="00691573">
        <w:t>,</w:t>
      </w:r>
      <w:r w:rsidR="00050226">
        <w:t xml:space="preserve"> given </w:t>
      </w:r>
      <w:r w:rsidR="00691573">
        <w:t xml:space="preserve">that </w:t>
      </w:r>
      <w:r w:rsidR="00050226">
        <w:t xml:space="preserve">the </w:t>
      </w:r>
      <w:r w:rsidR="00C64E53">
        <w:t>cap is now lower</w:t>
      </w:r>
      <w:r w:rsidR="00050226">
        <w:t xml:space="preserve">, </w:t>
      </w:r>
      <w:r w:rsidR="00C64E53">
        <w:t>this is even more unlikely.</w:t>
      </w:r>
      <w:r w:rsidR="001D6B7B">
        <w:t xml:space="preserve"> </w:t>
      </w:r>
      <w:r w:rsidR="00050226">
        <w:t xml:space="preserve">Sam Lister </w:t>
      </w:r>
      <w:r w:rsidR="00122360">
        <w:t>explained</w:t>
      </w:r>
      <w:r w:rsidR="00C64E53">
        <w:t xml:space="preserve"> that</w:t>
      </w:r>
      <w:r w:rsidR="00122360">
        <w:t xml:space="preserve"> around</w:t>
      </w:r>
      <w:r w:rsidR="00050226">
        <w:t xml:space="preserve"> 58% of those affected by the cap are </w:t>
      </w:r>
      <w:r w:rsidR="00C64E53">
        <w:t xml:space="preserve">already </w:t>
      </w:r>
      <w:r w:rsidR="00050226">
        <w:t>in social housing, which he described as "the cheapest form of housing they could be in".</w:t>
      </w:r>
      <w:r w:rsidR="001018B8">
        <w:rPr>
          <w:rStyle w:val="FootnoteReference"/>
        </w:rPr>
        <w:footnoteReference w:id="56"/>
      </w:r>
      <w:r w:rsidR="006E4F18">
        <w:t xml:space="preserve"> </w:t>
      </w:r>
      <w:r w:rsidR="00050226">
        <w:t xml:space="preserve">He told </w:t>
      </w:r>
      <w:r w:rsidR="0081791B">
        <w:t>us</w:t>
      </w:r>
      <w:r w:rsidR="00050226">
        <w:t xml:space="preserve"> he was not aware of "any social landlord ever having accepted a negotiated down rent at all.</w:t>
      </w:r>
      <w:r w:rsidR="00C64E53">
        <w:t>"</w:t>
      </w:r>
    </w:p>
    <w:p w14:paraId="17DA0A94" w14:textId="77777777" w:rsidR="00591603" w:rsidRDefault="00591603" w:rsidP="00591603">
      <w:pPr>
        <w:pStyle w:val="Heading3"/>
      </w:pPr>
      <w:bookmarkStart w:id="37" w:name="_Toc431441"/>
      <w:r>
        <w:t>Taking in a lodger</w:t>
      </w:r>
      <w:bookmarkEnd w:id="37"/>
    </w:p>
    <w:p w14:paraId="22D486B1" w14:textId="77777777" w:rsidR="008B54DA" w:rsidRPr="008B54DA" w:rsidRDefault="00F44F9D" w:rsidP="008B54DA">
      <w:pPr>
        <w:pStyle w:val="Para1"/>
      </w:pPr>
      <w:r>
        <w:t xml:space="preserve">The Committee was particularly </w:t>
      </w:r>
      <w:r w:rsidR="00A6427B">
        <w:t xml:space="preserve">concerned </w:t>
      </w:r>
      <w:r>
        <w:t xml:space="preserve">to hear the Minister's suggestion that claimants could mitigate the impact of the cap by taking in a lodger. </w:t>
      </w:r>
      <w:r w:rsidR="008B54DA">
        <w:t>In</w:t>
      </w:r>
      <w:r w:rsidR="00BA4BD9">
        <w:t xml:space="preserve"> </w:t>
      </w:r>
      <w:r w:rsidR="00CF0D15">
        <w:t>a</w:t>
      </w:r>
      <w:r w:rsidR="00BA4BD9">
        <w:t xml:space="preserve"> blog</w:t>
      </w:r>
      <w:r w:rsidR="00CF0D15">
        <w:t xml:space="preserve"> post</w:t>
      </w:r>
      <w:r w:rsidR="00BA4BD9">
        <w:t xml:space="preserve"> in</w:t>
      </w:r>
      <w:r w:rsidR="008B54DA">
        <w:t xml:space="preserve"> response to the Minister's comments, </w:t>
      </w:r>
      <w:r w:rsidR="008B54DA" w:rsidRPr="008B54DA">
        <w:t>Shelter noted</w:t>
      </w:r>
      <w:r w:rsidR="00BA4BD9">
        <w:t xml:space="preserve"> </w:t>
      </w:r>
      <w:r w:rsidR="008B54DA" w:rsidRPr="008B54DA">
        <w:t>that as most capped households are single parents with children under 5, it would be extremely rare for them to have room for a lodger as:</w:t>
      </w:r>
    </w:p>
    <w:p w14:paraId="4E3FED3F" w14:textId="77777777" w:rsidR="008B54DA" w:rsidRPr="008B54DA" w:rsidRDefault="008B54DA" w:rsidP="008B54DA">
      <w:pPr>
        <w:pStyle w:val="UnorderedList1"/>
      </w:pPr>
      <w:r w:rsidRPr="008B54DA">
        <w:t>Both local housing allowance claimed by private renters and the Bedroom Tax in social housing don’t allow for spare bedrooms; and</w:t>
      </w:r>
    </w:p>
    <w:p w14:paraId="057D6587" w14:textId="77777777" w:rsidR="008B54DA" w:rsidRPr="008B54DA" w:rsidRDefault="008B54DA" w:rsidP="008B54DA">
      <w:pPr>
        <w:pStyle w:val="UnorderedList1"/>
      </w:pPr>
      <w:r w:rsidRPr="008B54DA">
        <w:t>Tenancy agreements may not allow sub-letting of rooms</w:t>
      </w:r>
      <w:r w:rsidR="002C4117">
        <w:t>.</w:t>
      </w:r>
    </w:p>
    <w:p w14:paraId="36ACA524" w14:textId="77777777" w:rsidR="008B54DA" w:rsidRDefault="00BA4BD9" w:rsidP="00BB5312">
      <w:pPr>
        <w:pStyle w:val="ParaContinued"/>
      </w:pPr>
      <w:r>
        <w:t xml:space="preserve">It </w:t>
      </w:r>
      <w:r w:rsidR="008B54DA" w:rsidRPr="008B54DA">
        <w:t>also pointed out that it is not a “safe and sensible” option for families with young children to rent a room to a stranger.</w:t>
      </w:r>
      <w:r>
        <w:rPr>
          <w:rStyle w:val="FootnoteReference"/>
        </w:rPr>
        <w:footnoteReference w:id="57"/>
      </w:r>
    </w:p>
    <w:p w14:paraId="20FF031A" w14:textId="77777777" w:rsidR="004D6CDE" w:rsidRPr="004D6CDE" w:rsidRDefault="004D6CDE" w:rsidP="004D6CDE">
      <w:pPr>
        <w:pStyle w:val="Para1"/>
        <w:rPr>
          <w:rStyle w:val="Conclusion"/>
        </w:rPr>
      </w:pPr>
      <w:r w:rsidRPr="004D6CDE">
        <w:rPr>
          <w:rStyle w:val="Conclusion"/>
        </w:rPr>
        <w:t xml:space="preserve">We can understand the principle of imposing the benefit cap on claimants who are able to work but choosing not to do so. But the vast majority (81%) of households affected by the cap have been assessed, by the Department itself, as not being required to look for work—often because they have an illness or disability or are caring for very young children. Few of these claimants will be comforted by the Minister's flippant suggestions that they simply move house, renegotiate their rent or even take a lodger. In reality, they are left with no way to escape the cap. </w:t>
      </w:r>
    </w:p>
    <w:p w14:paraId="7226C067" w14:textId="77777777" w:rsidR="004D6CDE" w:rsidRPr="004D6CDE" w:rsidRDefault="004D6CDE" w:rsidP="004D6CDE">
      <w:pPr>
        <w:pStyle w:val="Para1"/>
        <w:rPr>
          <w:rStyle w:val="Conclusion"/>
        </w:rPr>
      </w:pPr>
      <w:r w:rsidRPr="004D6CDE">
        <w:rPr>
          <w:rStyle w:val="Conclusion"/>
        </w:rPr>
        <w:t xml:space="preserve">The Government made the case for the cap to Parliament on the grounds that it was meant for those who should be able to go to work. But it is now applying the cap to people who have been told by its own Jobcentres that they do not have to look for work, and who face major barriers to doing so. A policy aimed at people who could work but were choosing not to is now being applied to single mothers with </w:t>
      </w:r>
      <w:proofErr w:type="spellStart"/>
      <w:r w:rsidRPr="004D6CDE">
        <w:rPr>
          <w:rStyle w:val="Conclusion"/>
        </w:rPr>
        <w:t>newborn</w:t>
      </w:r>
      <w:proofErr w:type="spellEnd"/>
      <w:r w:rsidRPr="004D6CDE">
        <w:rPr>
          <w:rStyle w:val="Conclusion"/>
        </w:rPr>
        <w:t xml:space="preserve"> babies and people with serious health conditions. This cannot be what was intended and does not reflect the Government’s stated intentions. </w:t>
      </w:r>
    </w:p>
    <w:p w14:paraId="53B025F4" w14:textId="77777777" w:rsidR="004D6CDE" w:rsidRPr="004D6CDE" w:rsidRDefault="004D6CDE" w:rsidP="004D6CDE">
      <w:pPr>
        <w:pStyle w:val="Para1"/>
        <w:rPr>
          <w:rStyle w:val="Recommendation"/>
        </w:rPr>
      </w:pPr>
      <w:r w:rsidRPr="004D6CDE">
        <w:rPr>
          <w:rStyle w:val="Recommendation"/>
        </w:rPr>
        <w:t>We recommend that the Department return to the original aims of its policy and apply the cap only to claimants who it expects to be actively looking for work. Specifically, in addition to existing exemptions, the cap should only apply to claimants who are either:</w:t>
      </w:r>
    </w:p>
    <w:p w14:paraId="27ACE945" w14:textId="77777777" w:rsidR="004D6CDE" w:rsidRPr="004D6CDE" w:rsidRDefault="004D6CDE" w:rsidP="004D6CDE">
      <w:pPr>
        <w:pStyle w:val="UnorderedList1"/>
        <w:rPr>
          <w:rStyle w:val="Recommendation"/>
        </w:rPr>
      </w:pPr>
      <w:r w:rsidRPr="004D6CDE">
        <w:rPr>
          <w:rStyle w:val="Recommendation"/>
        </w:rPr>
        <w:t>claiming JSA; or</w:t>
      </w:r>
    </w:p>
    <w:p w14:paraId="2F7DB790" w14:textId="77777777" w:rsidR="004D6CDE" w:rsidRPr="004D6CDE" w:rsidRDefault="004D6CDE" w:rsidP="004D6CDE">
      <w:pPr>
        <w:pStyle w:val="UnorderedList1"/>
        <w:rPr>
          <w:rStyle w:val="Recommendation"/>
        </w:rPr>
      </w:pPr>
      <w:r w:rsidRPr="004D6CDE">
        <w:rPr>
          <w:rStyle w:val="Recommendation"/>
        </w:rPr>
        <w:t>claiming UC and in the “All work-related” activity group.</w:t>
      </w:r>
    </w:p>
    <w:p w14:paraId="04F7CB56" w14:textId="77777777" w:rsidR="004D6CDE" w:rsidRPr="004D6CDE" w:rsidRDefault="004D6CDE" w:rsidP="004D6CDE">
      <w:pPr>
        <w:pStyle w:val="Heading3"/>
      </w:pPr>
      <w:bookmarkStart w:id="38" w:name="_Toc431429"/>
      <w:r w:rsidRPr="004D6CDE">
        <w:t>Have capped claimants moved into work?</w:t>
      </w:r>
      <w:bookmarkEnd w:id="38"/>
    </w:p>
    <w:p w14:paraId="31404250" w14:textId="77777777" w:rsidR="004D6CDE" w:rsidRPr="004D6CDE" w:rsidRDefault="004D6CDE" w:rsidP="004D6CDE">
      <w:pPr>
        <w:pStyle w:val="Para1"/>
      </w:pPr>
      <w:r w:rsidRPr="004D6CDE">
        <w:t>To measure the number of capped claimants who have moved into work, the Department looks at whether previously capped claimants have become exempt by moving into work or increasing their hours. In total, between the cap's introduction and November 2018, 26% (57,400 out of 220,000) of households affected by the cap were no longer capped because they were working enough hours (around 16 a week) to become exempt. This includes:</w:t>
      </w:r>
    </w:p>
    <w:p w14:paraId="093CC704" w14:textId="77777777" w:rsidR="004D6CDE" w:rsidRPr="004D6CDE" w:rsidRDefault="004D6CDE" w:rsidP="004D6CDE">
      <w:pPr>
        <w:pStyle w:val="UnorderedList1"/>
      </w:pPr>
      <w:r w:rsidRPr="004D6CDE">
        <w:t>55,000 households who had their Housing Benefit capped; and</w:t>
      </w:r>
    </w:p>
    <w:p w14:paraId="7BAB90A8" w14:textId="77777777" w:rsidR="004D6CDE" w:rsidRPr="004D6CDE" w:rsidRDefault="004D6CDE" w:rsidP="004D6CDE">
      <w:pPr>
        <w:pStyle w:val="UnorderedList1"/>
      </w:pPr>
      <w:r w:rsidRPr="004D6CDE">
        <w:t>2,400 households who had their UC award capped.</w:t>
      </w:r>
      <w:r w:rsidRPr="004D6CDE">
        <w:rPr>
          <w:rStyle w:val="FootnoteReference"/>
        </w:rPr>
        <w:footnoteReference w:id="58"/>
      </w:r>
    </w:p>
    <w:p w14:paraId="569D6D6C" w14:textId="77777777" w:rsidR="004D6CDE" w:rsidRPr="004D6CDE" w:rsidRDefault="004D6CDE" w:rsidP="004D6CDE">
      <w:pPr>
        <w:pStyle w:val="Heading3"/>
      </w:pPr>
      <w:bookmarkStart w:id="39" w:name="_Toc431430"/>
      <w:r w:rsidRPr="004D6CDE">
        <w:t>Do people move into work because of the cap?</w:t>
      </w:r>
      <w:bookmarkEnd w:id="39"/>
    </w:p>
    <w:p w14:paraId="707B9F86" w14:textId="77777777" w:rsidR="004D6CDE" w:rsidRPr="004D6CDE" w:rsidRDefault="004D6CDE" w:rsidP="004D6CDE">
      <w:pPr>
        <w:pStyle w:val="Para1"/>
      </w:pPr>
      <w:r w:rsidRPr="004D6CDE">
        <w:t xml:space="preserve">The Department accepts that the 26% of households who have moved into work may not have done so because of the cap. In written evidence it said that "people move into work for a variety of reasons and these official statistics on movement into work do not specifically identify a causal connection". </w:t>
      </w:r>
      <w:r w:rsidRPr="004D6CDE">
        <w:rPr>
          <w:rStyle w:val="FootnoteReference"/>
        </w:rPr>
        <w:footnoteReference w:id="59"/>
      </w:r>
      <w:r w:rsidRPr="004D6CDE">
        <w:t xml:space="preserve"> </w:t>
      </w:r>
    </w:p>
    <w:p w14:paraId="1361C483" w14:textId="77777777" w:rsidR="004D6CDE" w:rsidRPr="004D6CDE" w:rsidRDefault="004D6CDE" w:rsidP="004D6CDE">
      <w:pPr>
        <w:pStyle w:val="Para1"/>
      </w:pPr>
      <w:r w:rsidRPr="004D6CDE">
        <w:t xml:space="preserve">Giovanni </w:t>
      </w:r>
      <w:proofErr w:type="spellStart"/>
      <w:r w:rsidRPr="004D6CDE">
        <w:t>Tutti</w:t>
      </w:r>
      <w:proofErr w:type="spellEnd"/>
      <w:r w:rsidRPr="004D6CDE">
        <w:t xml:space="preserve">, Senior Policy and Operations Analyst for Policy in Practice, stressed the importance of isolating the effect of the cap from other factors, stating that some of those who have moved into work </w:t>
      </w:r>
      <w:r w:rsidRPr="004D6CDE">
        <w:rPr>
          <w:rStyle w:val="Emphasis"/>
        </w:rPr>
        <w:t>'might have moved into work anyway'.</w:t>
      </w:r>
      <w:r w:rsidRPr="004D6CDE">
        <w:t xml:space="preserve"> He explained:</w:t>
      </w:r>
    </w:p>
    <w:p w14:paraId="28BC9714" w14:textId="77777777" w:rsidR="004D6CDE" w:rsidRPr="004D6CDE" w:rsidRDefault="004D6CDE" w:rsidP="004D6CDE">
      <w:pPr>
        <w:pStyle w:val="Quote"/>
      </w:pPr>
      <w:r w:rsidRPr="004D6CDE">
        <w:rPr>
          <w:rStyle w:val="Emphasis"/>
        </w:rPr>
        <w:t>the only way you can establish whether the cap has had any effect is to compare the employment outcome of those affected by the cap with very similar households with very similar characteristics that were not affected by the cap and compare the movement in and out of work across the two groups.</w:t>
      </w:r>
      <w:r w:rsidRPr="004D6CDE">
        <w:t xml:space="preserve"> </w:t>
      </w:r>
      <w:r w:rsidRPr="004D6CDE">
        <w:rPr>
          <w:rStyle w:val="FootnoteReference"/>
        </w:rPr>
        <w:footnoteReference w:id="60"/>
      </w:r>
      <w:r w:rsidRPr="004D6CDE">
        <w:t xml:space="preserve"> </w:t>
      </w:r>
    </w:p>
    <w:p w14:paraId="292C11C7" w14:textId="77777777" w:rsidR="004D6CDE" w:rsidRPr="004D6CDE" w:rsidRDefault="004D6CDE" w:rsidP="004D6CDE">
      <w:pPr>
        <w:pStyle w:val="Para1"/>
      </w:pPr>
      <w:r w:rsidRPr="004D6CDE">
        <w:t>The Department's 2014 evaluation of the original cap sought to make that comparison. In written evidence, the Department said that it had found that capped households were "4.7 percentage points more likely to flow into employment after a year compared to similar uncapped households".</w:t>
      </w:r>
      <w:r w:rsidRPr="004D6CDE">
        <w:rPr>
          <w:rStyle w:val="FootnoteReference"/>
        </w:rPr>
        <w:footnoteReference w:id="61"/>
      </w:r>
      <w:r w:rsidRPr="004D6CDE">
        <w:t xml:space="preserve"> Carl Emmerson, Deputy Director at the Institute for Fiscal Studies, which peer-reviewed the evaluation, confirmed this. He explained:</w:t>
      </w:r>
    </w:p>
    <w:p w14:paraId="57835E94" w14:textId="77777777" w:rsidR="004D6CDE" w:rsidRPr="004D6CDE" w:rsidRDefault="004D6CDE" w:rsidP="004D6CDE">
      <w:pPr>
        <w:pStyle w:val="Quote"/>
      </w:pPr>
      <w:r w:rsidRPr="004D6CDE">
        <w:t xml:space="preserve"> </w:t>
      </w:r>
      <w:r w:rsidRPr="004D6CDE">
        <w:rPr>
          <w:rStyle w:val="Emphasis"/>
        </w:rPr>
        <w:t>Broadly speaking, what we found is that if you put the cap on 100 people after a year you would find about 10 of them would move into work and would have done anyway, even without the cap. Because of the cap that number would go up to about 15; so, you are talking about a 5-percentage point increase in the proportion in work as a direct result of the cap.</w:t>
      </w:r>
      <w:r w:rsidRPr="004D6CDE">
        <w:rPr>
          <w:rStyle w:val="FootnoteReference"/>
        </w:rPr>
        <w:footnoteReference w:id="62"/>
      </w:r>
    </w:p>
    <w:p w14:paraId="7F9797C9" w14:textId="77777777" w:rsidR="004D6CDE" w:rsidRPr="004D6CDE" w:rsidRDefault="004D6CDE" w:rsidP="004D6CDE">
      <w:pPr>
        <w:pStyle w:val="Para1"/>
      </w:pPr>
      <w:r w:rsidRPr="004D6CDE">
        <w:t xml:space="preserve">Giovanni </w:t>
      </w:r>
      <w:proofErr w:type="spellStart"/>
      <w:r w:rsidRPr="004D6CDE">
        <w:t>Tutti</w:t>
      </w:r>
      <w:proofErr w:type="spellEnd"/>
      <w:r w:rsidRPr="004D6CDE">
        <w:t xml:space="preserve"> argued that, while there is evidence the benefit cap has a positive impact on employment outcomes, in the context of the overall numbers affected by the cap this impact is "very small". He cited Policy in Practice's own evaluation which showed, similarly to the Department's own research, that for every 100 households affected by the cap around 4 will have moved into work because of the cap.</w:t>
      </w:r>
      <w:r w:rsidRPr="004D6CDE">
        <w:rPr>
          <w:rStyle w:val="FootnoteReference"/>
        </w:rPr>
        <w:footnoteReference w:id="63"/>
      </w:r>
      <w:r w:rsidRPr="004D6CDE">
        <w:t xml:space="preserve"> </w:t>
      </w:r>
    </w:p>
    <w:p w14:paraId="22082C63" w14:textId="77777777" w:rsidR="004D6CDE" w:rsidRPr="004D6CDE" w:rsidRDefault="004D6CDE" w:rsidP="004D6CDE">
      <w:pPr>
        <w:pStyle w:val="Heading3"/>
      </w:pPr>
      <w:bookmarkStart w:id="40" w:name="_Toc431431"/>
      <w:r w:rsidRPr="004D6CDE">
        <w:t>The Department's representation of the cap's effectiveness</w:t>
      </w:r>
      <w:bookmarkEnd w:id="40"/>
    </w:p>
    <w:p w14:paraId="2E9B96D3" w14:textId="77777777" w:rsidR="004D6CDE" w:rsidRPr="004D6CDE" w:rsidRDefault="004D6CDE" w:rsidP="004D6CDE">
      <w:pPr>
        <w:pStyle w:val="Para1"/>
      </w:pPr>
      <w:r w:rsidRPr="004D6CDE">
        <w:t>The Department maintains that the cap has been successful as a work incentive. In its written evidence, it stated:</w:t>
      </w:r>
    </w:p>
    <w:p w14:paraId="21F5F3B9" w14:textId="77777777" w:rsidR="004D6CDE" w:rsidRPr="004D6CDE" w:rsidRDefault="004D6CDE" w:rsidP="004D6CDE">
      <w:pPr>
        <w:pStyle w:val="Quote"/>
        <w:rPr>
          <w:rStyle w:val="Emphasis"/>
        </w:rPr>
      </w:pPr>
      <w:r w:rsidRPr="004D6CDE">
        <w:rPr>
          <w:rStyle w:val="Emphasis"/>
        </w:rPr>
        <w:t>The Government considers that the benefit cap has been successful in helping people into work. Based on an evaluation of the original cap published in December 2014 capped households were 41% more likely to move into employment than similar uncapped households.</w:t>
      </w:r>
      <w:r w:rsidRPr="004D6CDE">
        <w:rPr>
          <w:rStyle w:val="FootnoteReference"/>
        </w:rPr>
        <w:footnoteReference w:id="64"/>
      </w:r>
    </w:p>
    <w:p w14:paraId="04C2CDDA" w14:textId="77777777" w:rsidR="004D6CDE" w:rsidRPr="004D6CDE" w:rsidRDefault="004D6CDE" w:rsidP="003D60EA">
      <w:pPr>
        <w:pStyle w:val="ParaContinued"/>
      </w:pPr>
      <w:r w:rsidRPr="004D6CDE">
        <w:t>However, evidence to our inquiry raised concerns that the Department may be "over-claiming" the work-incentive effect of the cap.</w:t>
      </w:r>
      <w:r w:rsidRPr="004D6CDE">
        <w:rPr>
          <w:rStyle w:val="FootnoteReference"/>
        </w:rPr>
        <w:footnoteReference w:id="65"/>
      </w:r>
      <w:r w:rsidRPr="004D6CDE">
        <w:t xml:space="preserve"> </w:t>
      </w:r>
    </w:p>
    <w:p w14:paraId="39D01CEA" w14:textId="77777777" w:rsidR="004D6CDE" w:rsidRPr="004D6CDE" w:rsidRDefault="004D6CDE" w:rsidP="004D6CDE">
      <w:pPr>
        <w:pStyle w:val="Para1"/>
      </w:pPr>
      <w:r w:rsidRPr="004D6CDE">
        <w:t xml:space="preserve">The Department itself acknowledges that the total number of capped claimants who move into work do not necessarily do so because of the cap. </w:t>
      </w:r>
      <w:r w:rsidRPr="004D6CDE">
        <w:rPr>
          <w:rStyle w:val="FootnoteReference"/>
        </w:rPr>
        <w:footnoteReference w:id="66"/>
      </w:r>
      <w:r w:rsidRPr="004D6CDE">
        <w:t xml:space="preserve"> Nevertheless, it persists in using this number to support its assertion that the cap is effective at moving people into work.</w:t>
      </w:r>
      <w:r w:rsidRPr="004D6CDE">
        <w:rPr>
          <w:rStyle w:val="FootnoteReference"/>
        </w:rPr>
        <w:footnoteReference w:id="67"/>
      </w:r>
      <w:r w:rsidRPr="004D6CDE">
        <w:t xml:space="preserve"> The UK Statistics Authority (UKSA) has twice written to the Department about these claims. In May 2013, the then Secretary of State, Rt. Hon Iain Duncan Smith, said, "Already we've seen 8,000 people who would have been affected by the cap move into jobs. This clearly demonstrates that the cap is having the desired impact". </w:t>
      </w:r>
      <w:r w:rsidRPr="004D6CDE">
        <w:rPr>
          <w:rStyle w:val="FootnoteReference"/>
        </w:rPr>
        <w:footnoteReference w:id="68"/>
      </w:r>
      <w:r w:rsidRPr="004D6CDE">
        <w:t xml:space="preserve"> The UKSA concluded that this statement was "unsupported by official statistics".</w:t>
      </w:r>
      <w:r w:rsidRPr="004D6CDE">
        <w:rPr>
          <w:rStyle w:val="FootnoteReference"/>
        </w:rPr>
        <w:footnoteReference w:id="69"/>
      </w:r>
      <w:r w:rsidRPr="004D6CDE">
        <w:t xml:space="preserve"> Again in 2014, the UKSA investigated the Department's claim in a press release that "More than 12,000 households have made the choice to move into work or stop claiming Housing Benefit because of the cap". It said, "in this case, the available numeric evidence does not demonstrate a particularly strong causal link between the benefit cap and the decisions made by individuals moving into work."</w:t>
      </w:r>
      <w:r w:rsidRPr="004D6CDE">
        <w:rPr>
          <w:rStyle w:val="FootnoteReference"/>
        </w:rPr>
        <w:footnoteReference w:id="70"/>
      </w:r>
      <w:r w:rsidRPr="004D6CDE">
        <w:t xml:space="preserve"> </w:t>
      </w:r>
    </w:p>
    <w:p w14:paraId="09559997" w14:textId="77777777" w:rsidR="004D6CDE" w:rsidRPr="004D6CDE" w:rsidRDefault="004D6CDE" w:rsidP="004D6CDE">
      <w:pPr>
        <w:pStyle w:val="Para1"/>
      </w:pPr>
      <w:r w:rsidRPr="004D6CDE">
        <w:t>The Department also acknowledges that its own evaluation showed that capped households were only 4.7 percentage points more likely to move into work compared to similar uncapped households. However, the Department has repeatedly said, including in oral evidence to the Committee, that the same evaluation found that capped households are 41% more likely to move into employment than similar uncapped households.</w:t>
      </w:r>
      <w:r w:rsidRPr="004D6CDE">
        <w:rPr>
          <w:rStyle w:val="FootnoteReference"/>
        </w:rPr>
        <w:footnoteReference w:id="71"/>
      </w:r>
      <w:r w:rsidRPr="004D6CDE">
        <w:t xml:space="preserve"> Both figures are technically correct: the evaluation found that that 16.2% of households moved into work, of whom 11.5% would have found work anyway. The figure of 41% refers to the relative increase in people moving into employment, while the 4.7% figure refers to the absolute increase. This is illustrated in Table 1, below. But using the relative increase in a situation where the figures are already low risks giving the impression that the increase is much larger than it really is. Carl Emmerson of the IFS suggested that reporting the impact of the cap in this way is "perhaps not the most helpful way to describe it".</w:t>
      </w:r>
      <w:r w:rsidRPr="004D6CDE">
        <w:rPr>
          <w:rStyle w:val="FootnoteReference"/>
        </w:rPr>
        <w:footnoteReference w:id="72"/>
      </w:r>
      <w:r w:rsidRPr="004D6CDE">
        <w:t xml:space="preserve"> </w:t>
      </w:r>
    </w:p>
    <w:p w14:paraId="092D17BA" w14:textId="77777777" w:rsidR="004D6CDE" w:rsidRPr="004D6CDE" w:rsidRDefault="004D6CDE" w:rsidP="004D6CDE">
      <w:pPr>
        <w:pStyle w:val="Caption"/>
      </w:pPr>
      <w:r w:rsidRPr="004D6CDE">
        <w:t xml:space="preserve">Table </w:t>
      </w:r>
      <w:r w:rsidR="00584911">
        <w:fldChar w:fldCharType="begin"/>
      </w:r>
      <w:r w:rsidR="00584911">
        <w:instrText xml:space="preserve"> SEQ Table \* ARABIC </w:instrText>
      </w:r>
      <w:r w:rsidR="00584911">
        <w:fldChar w:fldCharType="separate"/>
      </w:r>
      <w:r w:rsidRPr="004D6CDE">
        <w:t>1</w:t>
      </w:r>
      <w:r w:rsidR="00584911">
        <w:fldChar w:fldCharType="end"/>
      </w:r>
      <w:r w:rsidRPr="004D6CDE">
        <w:t>: Relative and absolute increases</w:t>
      </w:r>
    </w:p>
    <w:tbl>
      <w:tblPr>
        <w:tblStyle w:val="TableGrid"/>
        <w:tblW w:w="8642" w:type="dxa"/>
        <w:tblLook w:val="0480" w:firstRow="0" w:lastRow="0" w:firstColumn="1" w:lastColumn="0" w:noHBand="0" w:noVBand="1"/>
      </w:tblPr>
      <w:tblGrid>
        <w:gridCol w:w="1775"/>
        <w:gridCol w:w="1421"/>
        <w:gridCol w:w="2753"/>
        <w:gridCol w:w="2693"/>
      </w:tblGrid>
      <w:tr w:rsidR="004D6CDE" w:rsidRPr="009D0009" w14:paraId="4039DF75" w14:textId="77777777" w:rsidTr="00681AC6">
        <w:trPr>
          <w:tblHeader/>
        </w:trPr>
        <w:tc>
          <w:tcPr>
            <w:tcW w:w="1775" w:type="dxa"/>
            <w:shd w:val="clear" w:color="auto" w:fill="DDD3EB"/>
          </w:tcPr>
          <w:p w14:paraId="21F3E20F" w14:textId="77777777" w:rsidR="004D6CDE" w:rsidRPr="004D6CDE" w:rsidRDefault="004D6CDE" w:rsidP="004D6CDE">
            <w:pPr>
              <w:pStyle w:val="TableHeading"/>
            </w:pPr>
            <w:r w:rsidRPr="004D6CDE">
              <w:t>% who move into work (total)</w:t>
            </w:r>
          </w:p>
        </w:tc>
        <w:tc>
          <w:tcPr>
            <w:tcW w:w="1421" w:type="dxa"/>
            <w:shd w:val="clear" w:color="auto" w:fill="DDD3EB"/>
          </w:tcPr>
          <w:p w14:paraId="243428BA" w14:textId="77777777" w:rsidR="004D6CDE" w:rsidRPr="004D6CDE" w:rsidRDefault="004D6CDE" w:rsidP="004D6CDE">
            <w:pPr>
              <w:pStyle w:val="TableHeading"/>
            </w:pPr>
            <w:r w:rsidRPr="004D6CDE">
              <w:t>% who would have found work without cap</w:t>
            </w:r>
          </w:p>
        </w:tc>
        <w:tc>
          <w:tcPr>
            <w:tcW w:w="2753" w:type="dxa"/>
            <w:shd w:val="clear" w:color="auto" w:fill="DDD3EB"/>
          </w:tcPr>
          <w:p w14:paraId="000B21CB" w14:textId="77777777" w:rsidR="004D6CDE" w:rsidRPr="004D6CDE" w:rsidRDefault="004D6CDE" w:rsidP="004D6CDE">
            <w:pPr>
              <w:pStyle w:val="TableHeading"/>
            </w:pPr>
            <w:r w:rsidRPr="004D6CDE">
              <w:t xml:space="preserve">Absolute increase </w:t>
            </w:r>
          </w:p>
        </w:tc>
        <w:tc>
          <w:tcPr>
            <w:tcW w:w="2693" w:type="dxa"/>
            <w:shd w:val="clear" w:color="auto" w:fill="DDD3EB"/>
          </w:tcPr>
          <w:p w14:paraId="461C2164" w14:textId="77777777" w:rsidR="004D6CDE" w:rsidRPr="004D6CDE" w:rsidRDefault="004D6CDE" w:rsidP="004D6CDE">
            <w:pPr>
              <w:pStyle w:val="TableHeading"/>
            </w:pPr>
            <w:r w:rsidRPr="004D6CDE">
              <w:t>Relative increase</w:t>
            </w:r>
          </w:p>
        </w:tc>
      </w:tr>
      <w:tr w:rsidR="004D6CDE" w14:paraId="5413C15E" w14:textId="77777777" w:rsidTr="00681AC6">
        <w:tc>
          <w:tcPr>
            <w:tcW w:w="1775" w:type="dxa"/>
          </w:tcPr>
          <w:p w14:paraId="073E62B9" w14:textId="77777777" w:rsidR="004D6CDE" w:rsidRPr="004D6CDE" w:rsidRDefault="004D6CDE" w:rsidP="004D6CDE">
            <w:pPr>
              <w:pStyle w:val="TableText"/>
            </w:pPr>
            <w:r w:rsidRPr="004D6CDE">
              <w:t>16.2%</w:t>
            </w:r>
          </w:p>
        </w:tc>
        <w:tc>
          <w:tcPr>
            <w:tcW w:w="1421" w:type="dxa"/>
          </w:tcPr>
          <w:p w14:paraId="7F5E172A" w14:textId="77777777" w:rsidR="004D6CDE" w:rsidRPr="004D6CDE" w:rsidRDefault="004D6CDE" w:rsidP="004D6CDE">
            <w:pPr>
              <w:pStyle w:val="TableText"/>
            </w:pPr>
            <w:r w:rsidRPr="004D6CDE">
              <w:t>11.5%</w:t>
            </w:r>
          </w:p>
        </w:tc>
        <w:tc>
          <w:tcPr>
            <w:tcW w:w="2753" w:type="dxa"/>
          </w:tcPr>
          <w:p w14:paraId="57AB9CCB" w14:textId="77777777" w:rsidR="004D6CDE" w:rsidRPr="004D6CDE" w:rsidRDefault="004D6CDE" w:rsidP="004D6CDE">
            <w:pPr>
              <w:pStyle w:val="TableText"/>
            </w:pPr>
            <w:r w:rsidRPr="004D6CDE">
              <w:t>4.7% (16.2%-11.5%)</w:t>
            </w:r>
          </w:p>
        </w:tc>
        <w:tc>
          <w:tcPr>
            <w:tcW w:w="2693" w:type="dxa"/>
          </w:tcPr>
          <w:p w14:paraId="6DAAFF5F" w14:textId="77777777" w:rsidR="004D6CDE" w:rsidRPr="004D6CDE" w:rsidRDefault="004D6CDE" w:rsidP="004D6CDE">
            <w:pPr>
              <w:pStyle w:val="TableText"/>
            </w:pPr>
            <w:r w:rsidRPr="004D6CDE">
              <w:t>41% (4.7%/11.5%)</w:t>
            </w:r>
          </w:p>
        </w:tc>
      </w:tr>
    </w:tbl>
    <w:p w14:paraId="14EE15AF" w14:textId="77777777" w:rsidR="004D6CDE" w:rsidRPr="004D6CDE" w:rsidRDefault="004D6CDE" w:rsidP="004D6CDE">
      <w:pPr>
        <w:pStyle w:val="ParaforTable"/>
      </w:pPr>
    </w:p>
    <w:p w14:paraId="0CC28895" w14:textId="77777777" w:rsidR="004D6CDE" w:rsidRPr="004D6CDE" w:rsidRDefault="004D6CDE" w:rsidP="004D6CDE">
      <w:pPr>
        <w:pStyle w:val="Source"/>
      </w:pPr>
    </w:p>
    <w:p w14:paraId="1DFE83D6" w14:textId="77777777" w:rsidR="004D6CDE" w:rsidRPr="004D6CDE" w:rsidRDefault="004D6CDE" w:rsidP="004D6CDE">
      <w:pPr>
        <w:pStyle w:val="TableText"/>
      </w:pPr>
    </w:p>
    <w:p w14:paraId="48147C10" w14:textId="77777777" w:rsidR="004D6CDE" w:rsidRPr="004D6CDE" w:rsidRDefault="004D6CDE" w:rsidP="004D6CDE">
      <w:pPr>
        <w:pStyle w:val="Para1"/>
      </w:pPr>
      <w:r w:rsidRPr="004D6CDE">
        <w:t>Justin Tomlinson MP, Minister for Family Support, Housing and Child Maintenance ('the Minister'), used both of the numbers described above when asked by the Committee if the cap had been effective at getting people into work. He said:</w:t>
      </w:r>
    </w:p>
    <w:p w14:paraId="54E84B0D" w14:textId="77777777" w:rsidR="004D6CDE" w:rsidRPr="004D6CDE" w:rsidRDefault="004D6CDE" w:rsidP="004D6CDE">
      <w:pPr>
        <w:pStyle w:val="Quote"/>
        <w:rPr>
          <w:rStyle w:val="Emphasis"/>
        </w:rPr>
      </w:pPr>
      <w:r w:rsidRPr="004D6CDE">
        <w:rPr>
          <w:rStyle w:val="Emphasis"/>
        </w:rPr>
        <w:t>Specifically, on the point you raised about incentivising people into work, what we have seen is that those who have started on the cap, 70% have now moved off, of which [39%]</w:t>
      </w:r>
      <w:r w:rsidRPr="004D6CDE">
        <w:rPr>
          <w:rStyle w:val="FootnoteReference"/>
        </w:rPr>
        <w:footnoteReference w:id="73"/>
      </w:r>
      <w:r w:rsidRPr="004D6CDE">
        <w:rPr>
          <w:rStyle w:val="Emphasis"/>
        </w:rPr>
        <w:t xml:space="preserve"> have moved into work. What we are seeing is that of those who are capped compared to those in similar circumstances who are uncapped, there is a 41% increase of those who are able to flow into work.</w:t>
      </w:r>
      <w:r w:rsidRPr="004D6CDE">
        <w:rPr>
          <w:rStyle w:val="FootnoteReference"/>
        </w:rPr>
        <w:footnoteReference w:id="74"/>
      </w:r>
    </w:p>
    <w:p w14:paraId="0E13AC51" w14:textId="77777777" w:rsidR="004D6CDE" w:rsidRPr="004D6CDE" w:rsidRDefault="004D6CDE" w:rsidP="004D6CDE">
      <w:pPr>
        <w:pStyle w:val="Para1"/>
        <w:rPr>
          <w:rStyle w:val="Conclusion"/>
        </w:rPr>
      </w:pPr>
      <w:r w:rsidRPr="004D6CDE">
        <w:rPr>
          <w:rStyle w:val="Conclusion"/>
        </w:rPr>
        <w:t>The Department's own evaluation clearly shows that just 4.7% of households moved into work because of the original benefit cap (£26,000). Despite this small impact, Ministers have repeatedly sought to over-claim the cap's effectiveness as a work incentive by quoting the total number of people who have moved off the cap and into work—even in the face of clear warnings from the UK Statistics Authority. The Government should be fully transparent about the impact of the cap on moving claimants into work. It must make it clear that while some capped households move into work because of the cap, the vast majority would have found work anyway.</w:t>
      </w:r>
    </w:p>
    <w:p w14:paraId="23C667F5" w14:textId="77777777" w:rsidR="004D6CDE" w:rsidRPr="004D6CDE" w:rsidRDefault="004D6CDE" w:rsidP="004D6CDE">
      <w:pPr>
        <w:pStyle w:val="Para1"/>
        <w:rPr>
          <w:rStyle w:val="Conclusion"/>
        </w:rPr>
      </w:pPr>
      <w:r w:rsidRPr="004D6CDE">
        <w:rPr>
          <w:rStyle w:val="Conclusion"/>
        </w:rPr>
        <w:t xml:space="preserve">In arguing that the cap is effective in getting people into work, the Department has relied heavily on the relative increase (41%) in capped households moving into work, compared to non-capped households. That is certainly a more impressive figure than the absolute increase of just 4.7%. But for most people, the distinction is difficult to grasp. The Government should take care that its use of statistics does not inadvertently mislead the public into thinking that the cap is doing better at getting people into work than it really is. </w:t>
      </w:r>
    </w:p>
    <w:p w14:paraId="0D8EF541" w14:textId="77777777" w:rsidR="004D6CDE" w:rsidRPr="004D6CDE" w:rsidRDefault="004D6CDE" w:rsidP="004D6CDE">
      <w:pPr>
        <w:pStyle w:val="Para1"/>
        <w:rPr>
          <w:rStyle w:val="Recommendation"/>
        </w:rPr>
      </w:pPr>
      <w:r w:rsidRPr="004D6CDE">
        <w:rPr>
          <w:rStyle w:val="Recommendation"/>
        </w:rPr>
        <w:t>We recommend that when referring to the cap's effectiveness as a work incentive, the Department should no longer:</w:t>
      </w:r>
    </w:p>
    <w:p w14:paraId="40636A86" w14:textId="77777777" w:rsidR="004D6CDE" w:rsidRPr="004D6CDE" w:rsidRDefault="004D6CDE" w:rsidP="004D6CDE">
      <w:pPr>
        <w:pStyle w:val="Para"/>
        <w:rPr>
          <w:rStyle w:val="Recommendation"/>
        </w:rPr>
      </w:pPr>
      <w:r w:rsidRPr="004D6CDE">
        <w:rPr>
          <w:rStyle w:val="Recommendation"/>
        </w:rPr>
        <w:t>a) cite the total number of people who have moved off the cap and into work as evidence of the cap's effectiveness, since the majority would have moved into work anyway; or</w:t>
      </w:r>
    </w:p>
    <w:p w14:paraId="40FA5B17" w14:textId="77777777" w:rsidR="004D6CDE" w:rsidRPr="004D6CDE" w:rsidRDefault="004D6CDE" w:rsidP="004D6CDE">
      <w:pPr>
        <w:pStyle w:val="Para"/>
        <w:rPr>
          <w:rStyle w:val="Recommendation"/>
        </w:rPr>
      </w:pPr>
      <w:r w:rsidRPr="004D6CDE">
        <w:rPr>
          <w:rStyle w:val="Recommendation"/>
        </w:rPr>
        <w:t xml:space="preserve">b) cite the relative increase (41%) in capped households moving into work without also making clear that the absolute increase is just 4.7%. </w:t>
      </w:r>
    </w:p>
    <w:p w14:paraId="5F8554F9" w14:textId="77777777" w:rsidR="004D6CDE" w:rsidRPr="004D6CDE" w:rsidRDefault="004D6CDE" w:rsidP="00C64E53">
      <w:pPr>
        <w:pStyle w:val="Para"/>
        <w:rPr>
          <w:rStyle w:val="Strong"/>
        </w:rPr>
      </w:pPr>
    </w:p>
    <w:p w14:paraId="1919C993" w14:textId="77777777" w:rsidR="00393479" w:rsidRPr="00316FE9" w:rsidRDefault="00393479" w:rsidP="00393479">
      <w:pPr>
        <w:pStyle w:val="UnorderedList1"/>
        <w:numPr>
          <w:ilvl w:val="0"/>
          <w:numId w:val="0"/>
        </w:numPr>
        <w:ind w:left="578"/>
        <w:rPr>
          <w:rStyle w:val="Recommendation"/>
        </w:rPr>
      </w:pPr>
      <w:bookmarkStart w:id="41" w:name="_Toc273390"/>
      <w:bookmarkStart w:id="42" w:name="_Toc431442"/>
      <w:bookmarkEnd w:id="41"/>
    </w:p>
    <w:p w14:paraId="0D56BC36" w14:textId="77777777" w:rsidR="00082388" w:rsidRDefault="000D4315" w:rsidP="00891BDB">
      <w:pPr>
        <w:pStyle w:val="ChapterHeading1"/>
      </w:pPr>
      <w:r>
        <w:t>Is the benefit cap fair?</w:t>
      </w:r>
      <w:bookmarkEnd w:id="42"/>
    </w:p>
    <w:p w14:paraId="537F12BF" w14:textId="77777777" w:rsidR="00B76F49" w:rsidRDefault="00F74FF4" w:rsidP="00265ABD">
      <w:pPr>
        <w:pStyle w:val="Para1"/>
      </w:pPr>
      <w:r>
        <w:t xml:space="preserve">The </w:t>
      </w:r>
      <w:r w:rsidR="002359EA">
        <w:t xml:space="preserve">Government said that one of the main aims of introducing the benefit cap was </w:t>
      </w:r>
      <w:r>
        <w:t>to</w:t>
      </w:r>
      <w:r w:rsidR="00B76F49">
        <w:t>:</w:t>
      </w:r>
    </w:p>
    <w:p w14:paraId="4CFF0CE4" w14:textId="77777777" w:rsidR="00861C49" w:rsidRPr="00CA0DA2" w:rsidRDefault="0036687D" w:rsidP="00CA0DA2">
      <w:pPr>
        <w:pStyle w:val="Quote"/>
        <w:rPr>
          <w:rStyle w:val="Emphasis"/>
        </w:rPr>
      </w:pPr>
      <w:r w:rsidRPr="00CA0DA2">
        <w:rPr>
          <w:rStyle w:val="Emphasis"/>
        </w:rPr>
        <w:t>Introduce greater fairness between those on out-of-work benefits and taxpayers in employment</w:t>
      </w:r>
      <w:r w:rsidR="00892A69">
        <w:rPr>
          <w:rStyle w:val="Emphasis"/>
        </w:rPr>
        <w:t>.</w:t>
      </w:r>
      <w:r w:rsidR="002D3465">
        <w:rPr>
          <w:rStyle w:val="FootnoteReference"/>
          <w:i/>
          <w:iCs/>
        </w:rPr>
        <w:footnoteReference w:id="75"/>
      </w:r>
    </w:p>
    <w:p w14:paraId="2B31434F" w14:textId="77777777" w:rsidR="00691343" w:rsidRDefault="00D9710C" w:rsidP="00265ABD">
      <w:pPr>
        <w:pStyle w:val="Para1"/>
        <w:numPr>
          <w:ilvl w:val="0"/>
          <w:numId w:val="0"/>
        </w:numPr>
        <w:ind w:left="578"/>
      </w:pPr>
      <w:r>
        <w:t>The Minister reiterated this argument in oral evidence</w:t>
      </w:r>
      <w:r w:rsidR="00691343">
        <w:t>:</w:t>
      </w:r>
    </w:p>
    <w:p w14:paraId="1BF0060B" w14:textId="77777777" w:rsidR="00082388" w:rsidRPr="002D45D1" w:rsidRDefault="00CF39EE" w:rsidP="00691343">
      <w:pPr>
        <w:pStyle w:val="Quote"/>
        <w:rPr>
          <w:rStyle w:val="Emphasis"/>
        </w:rPr>
      </w:pPr>
      <w:r w:rsidRPr="002D45D1">
        <w:rPr>
          <w:rStyle w:val="Emphasis"/>
        </w:rPr>
        <w:t xml:space="preserve"> </w:t>
      </w:r>
      <w:r w:rsidR="00952D2F" w:rsidRPr="002D45D1">
        <w:rPr>
          <w:rStyle w:val="Emphasis"/>
        </w:rPr>
        <w:t>We also wanted to p</w:t>
      </w:r>
      <w:r w:rsidR="00EF68B3" w:rsidRPr="002D45D1">
        <w:rPr>
          <w:rStyle w:val="Emphasis"/>
        </w:rPr>
        <w:t>ut in place a reasonable limit….</w:t>
      </w:r>
      <w:r w:rsidRPr="002D45D1">
        <w:rPr>
          <w:rStyle w:val="Emphasis"/>
        </w:rPr>
        <w:t xml:space="preserve">We did not think it was right for hardworking families often seeing people able to get more in benefits than they were able to get through </w:t>
      </w:r>
      <w:r w:rsidR="00300F6F">
        <w:rPr>
          <w:rStyle w:val="Emphasis"/>
        </w:rPr>
        <w:t>full time work themselves</w:t>
      </w:r>
      <w:r w:rsidRPr="002D45D1">
        <w:rPr>
          <w:rStyle w:val="Emphasis"/>
        </w:rPr>
        <w:t>.</w:t>
      </w:r>
      <w:r w:rsidR="002D3465">
        <w:rPr>
          <w:rStyle w:val="FootnoteReference"/>
          <w:i/>
          <w:iCs/>
        </w:rPr>
        <w:footnoteReference w:id="76"/>
      </w:r>
    </w:p>
    <w:p w14:paraId="2F51146A" w14:textId="77777777" w:rsidR="00641FB1" w:rsidRDefault="00641FB1" w:rsidP="00AC3B9B">
      <w:pPr>
        <w:pStyle w:val="Heading2"/>
      </w:pPr>
      <w:bookmarkStart w:id="43" w:name="_Toc431443"/>
      <w:r>
        <w:t>Fairness in the existing benefit system</w:t>
      </w:r>
      <w:bookmarkEnd w:id="43"/>
    </w:p>
    <w:p w14:paraId="5488ED3D" w14:textId="77777777" w:rsidR="000570FF" w:rsidRDefault="000570FF" w:rsidP="00257983">
      <w:pPr>
        <w:pStyle w:val="Para1"/>
      </w:pPr>
      <w:r>
        <w:t>The cap limits a household working less than the required 16 hours per week to £23,000 in London or £20,000 for households in the rest of the UK</w:t>
      </w:r>
      <w:r w:rsidR="00FF6A9A">
        <w:t>.</w:t>
      </w:r>
      <w:r w:rsidR="006E4F18">
        <w:t xml:space="preserve"> </w:t>
      </w:r>
      <w:r w:rsidR="00FF6A9A">
        <w:t xml:space="preserve">The Government has argued that this is </w:t>
      </w:r>
      <w:r w:rsidR="00C607FD">
        <w:t>"fair" because around 4 in 10 workers earn this amount or less.</w:t>
      </w:r>
      <w:r w:rsidR="006E4F18">
        <w:t xml:space="preserve"> </w:t>
      </w:r>
      <w:r>
        <w:t xml:space="preserve">However, this does not include the additional benefits </w:t>
      </w:r>
      <w:r w:rsidR="000E171B">
        <w:t xml:space="preserve">to which </w:t>
      </w:r>
      <w:r>
        <w:t>in-work families are entitle</w:t>
      </w:r>
      <w:r w:rsidR="000E171B">
        <w:t>d</w:t>
      </w:r>
      <w:r>
        <w:t>, such as Child Benefit, Child Tax credit and Housing Benefit.</w:t>
      </w:r>
      <w:r w:rsidR="006E4F18">
        <w:t xml:space="preserve"> </w:t>
      </w:r>
      <w:r w:rsidR="00E8160E">
        <w:t xml:space="preserve">Organisations such as CIH and </w:t>
      </w:r>
      <w:r w:rsidR="00F8567A">
        <w:t xml:space="preserve">Child Poverty Action Group (CPAG) </w:t>
      </w:r>
      <w:r w:rsidR="00E8160E">
        <w:t xml:space="preserve">told us that </w:t>
      </w:r>
      <w:r>
        <w:t>this results in</w:t>
      </w:r>
      <w:r w:rsidR="00E8160E">
        <w:t xml:space="preserve"> </w:t>
      </w:r>
      <w:r w:rsidR="00A644A8">
        <w:t>a</w:t>
      </w:r>
      <w:r w:rsidR="00E8160E">
        <w:t xml:space="preserve"> "false comparison" between some of the income of working households and all of the income of those who aren't working</w:t>
      </w:r>
      <w:r>
        <w:t>. CPAG argued that the Government's claim is therefore misleading as it implies that in-work households are in a similar position</w:t>
      </w:r>
      <w:r w:rsidR="00821299">
        <w:t xml:space="preserve"> to capped households</w:t>
      </w:r>
      <w:r>
        <w:t xml:space="preserve"> and face similar choices on, for example, where they should live</w:t>
      </w:r>
      <w:r>
        <w:rPr>
          <w:rStyle w:val="FootnoteReference"/>
        </w:rPr>
        <w:footnoteReference w:id="77"/>
      </w:r>
      <w:r>
        <w:t>.</w:t>
      </w:r>
      <w:r w:rsidR="006E4F18">
        <w:t xml:space="preserve"> </w:t>
      </w:r>
    </w:p>
    <w:p w14:paraId="01EB0DA3" w14:textId="77777777" w:rsidR="008D48CC" w:rsidRDefault="00F44F9D" w:rsidP="00257983">
      <w:pPr>
        <w:pStyle w:val="Para1"/>
      </w:pPr>
      <w:r>
        <w:t>Both a</w:t>
      </w:r>
      <w:r w:rsidR="00CF39EE">
        <w:t>nalysis by</w:t>
      </w:r>
      <w:r w:rsidR="00816870">
        <w:t xml:space="preserve"> </w:t>
      </w:r>
      <w:r w:rsidR="006B072E">
        <w:t>the CIH</w:t>
      </w:r>
      <w:r w:rsidR="00CF39EE">
        <w:t xml:space="preserve"> </w:t>
      </w:r>
      <w:r>
        <w:t>and analysis we commis</w:t>
      </w:r>
      <w:r w:rsidR="00E8160E">
        <w:t>sioned from the House of Common</w:t>
      </w:r>
      <w:r>
        <w:t xml:space="preserve">s Library </w:t>
      </w:r>
      <w:r w:rsidR="00CF39EE">
        <w:t>showed that fairness, as defined by the Department,</w:t>
      </w:r>
      <w:r w:rsidR="00F36394">
        <w:t xml:space="preserve"> is already built into the system</w:t>
      </w:r>
      <w:r w:rsidR="00CB1332">
        <w:t>—</w:t>
      </w:r>
      <w:r w:rsidR="00CF39EE">
        <w:t xml:space="preserve">as households are better off in-work than </w:t>
      </w:r>
      <w:r w:rsidR="00CB1332">
        <w:t>similar households</w:t>
      </w:r>
      <w:r w:rsidR="00A75BEA">
        <w:t xml:space="preserve"> on benefits </w:t>
      </w:r>
      <w:r w:rsidR="00CF39EE">
        <w:t xml:space="preserve">even without </w:t>
      </w:r>
      <w:r w:rsidR="00A319A2">
        <w:t>the cap</w:t>
      </w:r>
      <w:r w:rsidR="006C67E1">
        <w:t>.</w:t>
      </w:r>
      <w:r w:rsidR="00BB0349">
        <w:rPr>
          <w:rStyle w:val="FootnoteReference"/>
        </w:rPr>
        <w:footnoteReference w:id="78"/>
      </w:r>
      <w:r w:rsidR="00970C33">
        <w:t xml:space="preserve"> For example, </w:t>
      </w:r>
      <w:r w:rsidR="008D48CC">
        <w:t>the Library's analysis showed that a single</w:t>
      </w:r>
      <w:r w:rsidR="00CF5D95">
        <w:t xml:space="preserve"> </w:t>
      </w:r>
      <w:r w:rsidR="008D48CC">
        <w:t xml:space="preserve">parent with three children earning £20,000 (after tax and </w:t>
      </w:r>
      <w:r w:rsidR="00E8160E">
        <w:t>N</w:t>
      </w:r>
      <w:r w:rsidR="008D48CC">
        <w:t xml:space="preserve">ational </w:t>
      </w:r>
      <w:r w:rsidR="00E8160E">
        <w:t>I</w:t>
      </w:r>
      <w:r w:rsidR="008D48CC">
        <w:t>nsurance) is around £8</w:t>
      </w:r>
      <w:r w:rsidR="00D06002">
        <w:t>,</w:t>
      </w:r>
      <w:r w:rsidR="008D48CC">
        <w:t>000 (or £150 per week) better off than they would be on out-of-work benefits.</w:t>
      </w:r>
      <w:r w:rsidR="000570FF">
        <w:rPr>
          <w:rStyle w:val="FootnoteReference"/>
        </w:rPr>
        <w:footnoteReference w:id="79"/>
      </w:r>
      <w:r w:rsidR="001D6B7B">
        <w:t xml:space="preserve"> </w:t>
      </w:r>
    </w:p>
    <w:p w14:paraId="74141542" w14:textId="77777777" w:rsidR="00FC1FA7" w:rsidRDefault="00492202" w:rsidP="00972FCB">
      <w:pPr>
        <w:pStyle w:val="Para1"/>
      </w:pPr>
      <w:r>
        <w:t>When the cap is</w:t>
      </w:r>
      <w:r w:rsidR="00AC7E06">
        <w:t xml:space="preserve"> applied,</w:t>
      </w:r>
      <w:r>
        <w:t xml:space="preserve"> </w:t>
      </w:r>
      <w:r w:rsidR="00C76F1B">
        <w:t>the gap in income between those in-work and those considered out-of-work by the Department</w:t>
      </w:r>
      <w:r>
        <w:t xml:space="preserve"> can equate to tens of thousands of pounds.</w:t>
      </w:r>
      <w:r w:rsidR="006E4F18">
        <w:t xml:space="preserve"> </w:t>
      </w:r>
      <w:r w:rsidR="008D48CC">
        <w:t>The Library's analysis</w:t>
      </w:r>
      <w:r w:rsidR="00891F4E">
        <w:t xml:space="preserve"> (see figure 6)</w:t>
      </w:r>
      <w:r w:rsidR="008D48CC">
        <w:t xml:space="preserve"> showed</w:t>
      </w:r>
      <w:r w:rsidR="005327EE">
        <w:t xml:space="preserve"> </w:t>
      </w:r>
      <w:r w:rsidR="00824AE9">
        <w:t xml:space="preserve">that the </w:t>
      </w:r>
      <w:r w:rsidR="0045290F">
        <w:t>greater the number of</w:t>
      </w:r>
      <w:r w:rsidR="00824AE9">
        <w:t xml:space="preserve"> children in a family</w:t>
      </w:r>
      <w:r>
        <w:t>,</w:t>
      </w:r>
      <w:r w:rsidR="00824AE9">
        <w:t xml:space="preserve"> the </w:t>
      </w:r>
      <w:r w:rsidR="0045290F">
        <w:t>larger</w:t>
      </w:r>
      <w:r w:rsidR="00824AE9">
        <w:t xml:space="preserve"> the</w:t>
      </w:r>
      <w:r w:rsidR="00C76F1B">
        <w:t>se</w:t>
      </w:r>
      <w:r w:rsidR="00824AE9">
        <w:t xml:space="preserve"> gap</w:t>
      </w:r>
      <w:r w:rsidR="00C76F1B">
        <w:t>s become</w:t>
      </w:r>
      <w:r w:rsidR="00824AE9">
        <w:t>.</w:t>
      </w:r>
      <w:r w:rsidR="000E39E1">
        <w:t xml:space="preserve"> </w:t>
      </w:r>
      <w:r w:rsidR="00952D2F">
        <w:t>For example, a</w:t>
      </w:r>
      <w:r w:rsidR="00511583">
        <w:t xml:space="preserve"> </w:t>
      </w:r>
      <w:r w:rsidR="00F34F92">
        <w:t xml:space="preserve">working </w:t>
      </w:r>
      <w:r w:rsidR="00511583">
        <w:t xml:space="preserve">single parent with three children would be </w:t>
      </w:r>
      <w:r w:rsidR="000E39E1">
        <w:t xml:space="preserve">around </w:t>
      </w:r>
      <w:r w:rsidR="00511583">
        <w:t xml:space="preserve">£12,000 better off than </w:t>
      </w:r>
      <w:r w:rsidR="00952D2F">
        <w:t>their out</w:t>
      </w:r>
      <w:r w:rsidR="001514D4">
        <w:t>-</w:t>
      </w:r>
      <w:r w:rsidR="00952D2F">
        <w:t xml:space="preserve"> of</w:t>
      </w:r>
      <w:r w:rsidR="001514D4">
        <w:t>-</w:t>
      </w:r>
      <w:r w:rsidR="00952D2F">
        <w:t>work counterpart</w:t>
      </w:r>
      <w:r w:rsidR="00511583">
        <w:t xml:space="preserve">, while </w:t>
      </w:r>
      <w:r w:rsidR="00952D2F">
        <w:t>a</w:t>
      </w:r>
      <w:r w:rsidR="00806B88">
        <w:t xml:space="preserve"> working</w:t>
      </w:r>
      <w:r w:rsidR="00952D2F">
        <w:t xml:space="preserve"> single parent</w:t>
      </w:r>
      <w:r w:rsidR="00AD0464">
        <w:t xml:space="preserve"> with </w:t>
      </w:r>
      <w:r w:rsidR="001043D9">
        <w:t>five</w:t>
      </w:r>
      <w:r w:rsidR="00AD0464">
        <w:t xml:space="preserve"> children </w:t>
      </w:r>
      <w:r w:rsidR="001043D9">
        <w:t>would be</w:t>
      </w:r>
      <w:r w:rsidR="00952D2F">
        <w:t xml:space="preserve"> </w:t>
      </w:r>
      <w:r w:rsidR="001043D9">
        <w:t xml:space="preserve">around </w:t>
      </w:r>
      <w:r w:rsidR="00AD0464">
        <w:t>£22,000</w:t>
      </w:r>
      <w:r w:rsidR="00ED6713">
        <w:t xml:space="preserve"> </w:t>
      </w:r>
      <w:r w:rsidR="001043D9">
        <w:t>better off</w:t>
      </w:r>
      <w:r w:rsidR="00AD0464">
        <w:t>.</w:t>
      </w:r>
      <w:r w:rsidR="001D6B7B">
        <w:t xml:space="preserve"> </w:t>
      </w:r>
    </w:p>
    <w:p w14:paraId="418071D9" w14:textId="77777777" w:rsidR="00FC1FA7" w:rsidRDefault="00FC1FA7" w:rsidP="00FC1FA7">
      <w:pPr>
        <w:pStyle w:val="Para1"/>
        <w:numPr>
          <w:ilvl w:val="0"/>
          <w:numId w:val="0"/>
        </w:numPr>
        <w:ind w:left="578" w:hanging="578"/>
      </w:pPr>
    </w:p>
    <w:p w14:paraId="779C68D2" w14:textId="77777777" w:rsidR="00C32B06" w:rsidRDefault="00C07E78" w:rsidP="00D207B4">
      <w:pPr>
        <w:pStyle w:val="Caption"/>
      </w:pPr>
      <w:r>
        <w:t>Figure 6: Single parent income scenarios</w:t>
      </w:r>
      <w:r w:rsidR="00C32B06" w:rsidRPr="00C32B06">
        <w:t xml:space="preserve"> </w:t>
      </w:r>
      <w:r w:rsidR="00A51A71" w:rsidRPr="00A51A71">
        <w:rPr>
          <w:noProof/>
        </w:rPr>
        <w:drawing>
          <wp:inline distT="0" distB="0" distL="0" distR="0" wp14:anchorId="25360C05" wp14:editId="3AC227F8">
            <wp:extent cx="5410200" cy="5362575"/>
            <wp:effectExtent l="0" t="0" r="0" b="9525"/>
            <wp:docPr id="16" name="Chart 16">
              <a:extLst xmlns:a="http://schemas.openxmlformats.org/drawingml/2006/main">
                <a:ext uri="{FF2B5EF4-FFF2-40B4-BE49-F238E27FC236}">
                  <a16:creationId xmlns:a16="http://schemas.microsoft.com/office/drawing/2014/main" id="{6511BD44-445D-4D78-8772-CB7B64E6DD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66E3C12" w14:textId="77777777" w:rsidR="00C07E78" w:rsidRDefault="00C07E78" w:rsidP="00C07E78">
      <w:pPr>
        <w:pStyle w:val="Source"/>
      </w:pPr>
      <w:r>
        <w:t>Source: House of Commons Library</w:t>
      </w:r>
      <w:r w:rsidR="00855FB1">
        <w:t xml:space="preserve"> </w:t>
      </w:r>
      <w:r w:rsidR="00BE41EA">
        <w:t>analysis</w:t>
      </w:r>
    </w:p>
    <w:p w14:paraId="0E035B14" w14:textId="77777777" w:rsidR="00641FB1" w:rsidRDefault="00641FB1" w:rsidP="00641FB1">
      <w:pPr>
        <w:pStyle w:val="Heading3"/>
      </w:pPr>
      <w:bookmarkStart w:id="44" w:name="_Toc431444"/>
      <w:r>
        <w:t>Interaction with the two-child limit</w:t>
      </w:r>
      <w:bookmarkEnd w:id="44"/>
    </w:p>
    <w:p w14:paraId="31C9CE41" w14:textId="77777777" w:rsidR="002D5572" w:rsidRDefault="009F06BE" w:rsidP="00D60C59">
      <w:pPr>
        <w:pStyle w:val="Para1"/>
      </w:pPr>
      <w:r>
        <w:t>If a family is subject to the two-child limit these income gaps are reduced.</w:t>
      </w:r>
      <w:r w:rsidR="00685357">
        <w:t xml:space="preserve"> </w:t>
      </w:r>
      <w:r w:rsidR="00B73CA3">
        <w:t xml:space="preserve">The two-child limit means </w:t>
      </w:r>
      <w:r w:rsidR="00BD5A11">
        <w:t xml:space="preserve">that </w:t>
      </w:r>
      <w:r w:rsidR="00B73CA3">
        <w:t>a family can only claim child benefits for two children</w:t>
      </w:r>
      <w:r w:rsidR="00D06002">
        <w:t>,</w:t>
      </w:r>
      <w:r w:rsidR="00B73CA3">
        <w:t xml:space="preserve"> unless their third or subsequent child was born before 6 April 2017 or special circumstances apply.</w:t>
      </w:r>
      <w:r w:rsidR="006E4F18">
        <w:t xml:space="preserve"> </w:t>
      </w:r>
      <w:r w:rsidR="00E837E3">
        <w:t>As shown in the figure below, a</w:t>
      </w:r>
      <w:r w:rsidR="00685357">
        <w:t xml:space="preserve"> family with three children </w:t>
      </w:r>
      <w:r w:rsidR="00B73CA3">
        <w:t>would be around £8,000 better off in-work</w:t>
      </w:r>
      <w:r w:rsidR="00E837E3">
        <w:t xml:space="preserve"> if subject to the two-child limit</w:t>
      </w:r>
      <w:r w:rsidR="00701ECB">
        <w:t>,</w:t>
      </w:r>
      <w:r w:rsidR="00B73CA3">
        <w:t xml:space="preserve"> as opposed to £12,000</w:t>
      </w:r>
      <w:r w:rsidR="00E837E3">
        <w:t xml:space="preserve"> better off</w:t>
      </w:r>
      <w:r w:rsidR="00B73CA3">
        <w:t xml:space="preserve"> if the two child-limit was</w:t>
      </w:r>
      <w:r w:rsidR="00093F11">
        <w:t xml:space="preserve"> not</w:t>
      </w:r>
      <w:r w:rsidR="00B73CA3">
        <w:t xml:space="preserve"> in place.</w:t>
      </w:r>
      <w:r w:rsidR="006E4F18">
        <w:t xml:space="preserve"> </w:t>
      </w:r>
      <w:r w:rsidR="003837A1">
        <w:t>Josephine Tucker</w:t>
      </w:r>
      <w:r w:rsidR="00792020">
        <w:t xml:space="preserve"> </w:t>
      </w:r>
      <w:r w:rsidR="00D06002">
        <w:t xml:space="preserve">of CPAG </w:t>
      </w:r>
      <w:r w:rsidR="00792020">
        <w:t>explained "the two policies broadly work in a similar direction for larger families"</w:t>
      </w:r>
      <w:r w:rsidR="001C54DA">
        <w:t>.</w:t>
      </w:r>
      <w:r w:rsidR="00D06002" w:rsidRPr="00D06002">
        <w:rPr>
          <w:rStyle w:val="FootnoteReference"/>
        </w:rPr>
        <w:t xml:space="preserve"> </w:t>
      </w:r>
      <w:r w:rsidR="001C54DA">
        <w:t xml:space="preserve">She also </w:t>
      </w:r>
      <w:r w:rsidR="00AD0464">
        <w:t>highlighted</w:t>
      </w:r>
      <w:r w:rsidR="001C54DA">
        <w:t xml:space="preserve"> that</w:t>
      </w:r>
      <w:r w:rsidR="00D06002">
        <w:t>,</w:t>
      </w:r>
      <w:r w:rsidR="00A859DD">
        <w:t xml:space="preserve"> for some families,</w:t>
      </w:r>
      <w:r w:rsidR="001C54DA">
        <w:t xml:space="preserve"> the two-child-limit</w:t>
      </w:r>
      <w:r w:rsidR="00A859DD">
        <w:t xml:space="preserve"> could</w:t>
      </w:r>
      <w:r w:rsidR="001C54DA">
        <w:t xml:space="preserve"> </w:t>
      </w:r>
      <w:r w:rsidR="00AD0464">
        <w:t xml:space="preserve">effectively remove the </w:t>
      </w:r>
      <w:r w:rsidR="001C54DA">
        <w:t xml:space="preserve">work </w:t>
      </w:r>
      <w:r w:rsidR="00AD0464">
        <w:t>incentive</w:t>
      </w:r>
      <w:r w:rsidR="001C54DA">
        <w:t xml:space="preserve"> the benefit cap intends to create</w:t>
      </w:r>
      <w:r w:rsidR="00701ECB">
        <w:t>, because</w:t>
      </w:r>
      <w:r w:rsidR="00B56751">
        <w:t xml:space="preserve"> </w:t>
      </w:r>
      <w:r w:rsidR="00701ECB">
        <w:t>those</w:t>
      </w:r>
      <w:r w:rsidR="00BD540E">
        <w:t xml:space="preserve"> </w:t>
      </w:r>
      <w:r w:rsidR="002927D2">
        <w:t xml:space="preserve">families </w:t>
      </w:r>
      <w:r w:rsidR="00207C44">
        <w:t>would not see a significant increase in income if they moved into work</w:t>
      </w:r>
      <w:r w:rsidR="002D5572">
        <w:t>.</w:t>
      </w:r>
      <w:r w:rsidR="008E09DB" w:rsidRPr="008E09DB">
        <w:rPr>
          <w:rStyle w:val="FootnoteReference"/>
        </w:rPr>
        <w:t xml:space="preserve"> </w:t>
      </w:r>
      <w:r w:rsidR="008E09DB" w:rsidRPr="008E09DB">
        <w:rPr>
          <w:rStyle w:val="FootnoteReference"/>
        </w:rPr>
        <w:footnoteReference w:id="80"/>
      </w:r>
      <w:r w:rsidR="008E09DB" w:rsidRPr="008E09DB">
        <w:t xml:space="preserve"> </w:t>
      </w:r>
      <w:r w:rsidR="006E4F18">
        <w:t xml:space="preserve"> </w:t>
      </w:r>
    </w:p>
    <w:p w14:paraId="13F804CC" w14:textId="77777777" w:rsidR="00160BE3" w:rsidRDefault="00160BE3" w:rsidP="00160BE3">
      <w:pPr>
        <w:pStyle w:val="Caption"/>
      </w:pPr>
      <w:r>
        <w:t>Figure 7: Income scenarios for a single</w:t>
      </w:r>
      <w:r w:rsidR="00067E32">
        <w:t xml:space="preserve"> </w:t>
      </w:r>
      <w:r>
        <w:t>parent with three children</w:t>
      </w:r>
    </w:p>
    <w:p w14:paraId="2CDCC62D" w14:textId="77777777" w:rsidR="00E95414" w:rsidRDefault="00E95414" w:rsidP="00E837E3">
      <w:pPr>
        <w:pStyle w:val="Para1"/>
        <w:numPr>
          <w:ilvl w:val="0"/>
          <w:numId w:val="0"/>
        </w:numPr>
      </w:pPr>
      <w:r w:rsidRPr="00E837E3">
        <w:rPr>
          <w:rStyle w:val="Strong"/>
          <w:noProof/>
        </w:rPr>
        <w:drawing>
          <wp:inline distT="0" distB="0" distL="0" distR="0" wp14:anchorId="45817762" wp14:editId="357F40E3">
            <wp:extent cx="4859547" cy="4533900"/>
            <wp:effectExtent l="0" t="0" r="17780" b="0"/>
            <wp:docPr id="24" name="Chart 24">
              <a:extLst xmlns:a="http://schemas.openxmlformats.org/drawingml/2006/main">
                <a:ext uri="{FF2B5EF4-FFF2-40B4-BE49-F238E27FC236}">
                  <a16:creationId xmlns:a16="http://schemas.microsoft.com/office/drawing/2014/main" id="{4E9B67B7-B6D0-444E-A4ED-05073F51CA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CAB6B70" w14:textId="77777777" w:rsidR="000A6715" w:rsidRDefault="000A6715" w:rsidP="000A6715">
      <w:pPr>
        <w:pStyle w:val="Source"/>
      </w:pPr>
      <w:r>
        <w:t>Source: House of Commons Library</w:t>
      </w:r>
      <w:r w:rsidR="00BE41EA">
        <w:t xml:space="preserve"> analysis</w:t>
      </w:r>
    </w:p>
    <w:p w14:paraId="47457F47" w14:textId="77777777" w:rsidR="00B85B9B" w:rsidRDefault="00D60AF9" w:rsidP="004C3163">
      <w:pPr>
        <w:pStyle w:val="Para1"/>
      </w:pPr>
      <w:r>
        <w:t>For</w:t>
      </w:r>
      <w:r w:rsidR="003121CF">
        <w:t xml:space="preserve"> the moment</w:t>
      </w:r>
      <w:r w:rsidR="00E626EC">
        <w:t>,</w:t>
      </w:r>
      <w:r w:rsidR="003121CF">
        <w:t xml:space="preserve"> it is likely</w:t>
      </w:r>
      <w:r w:rsidR="00224C19">
        <w:t xml:space="preserve"> that</w:t>
      </w:r>
      <w:r w:rsidR="003121CF">
        <w:t xml:space="preserve"> </w:t>
      </w:r>
      <w:r w:rsidR="006A61BB">
        <w:t>the</w:t>
      </w:r>
      <w:r w:rsidR="003121CF">
        <w:t xml:space="preserve"> majority of capped claimants are not affected by the </w:t>
      </w:r>
      <w:r w:rsidR="008248F1">
        <w:t xml:space="preserve">two-child limit </w:t>
      </w:r>
      <w:r w:rsidR="00B85B9B">
        <w:t>because their children were born before April 2017. However, as time goes on, more and more families will be affected by the two</w:t>
      </w:r>
      <w:r w:rsidR="00224C19">
        <w:t>-</w:t>
      </w:r>
      <w:r w:rsidR="00B85B9B">
        <w:t xml:space="preserve">child limit. </w:t>
      </w:r>
      <w:r w:rsidR="00E12B26">
        <w:t xml:space="preserve">As this happens, the work incentive offered by the benefit cap will be further </w:t>
      </w:r>
      <w:r w:rsidR="006133E6">
        <w:t>eroded. We have already raised concerns about the impact of the two child limit</w:t>
      </w:r>
      <w:r w:rsidR="00D43271">
        <w:t>, and plan to look at that policy in a wider inquiry.</w:t>
      </w:r>
      <w:r w:rsidR="001D6B7B">
        <w:t xml:space="preserve"> </w:t>
      </w:r>
      <w:r w:rsidR="00AA3E13">
        <w:rPr>
          <w:rStyle w:val="FootnoteReference"/>
        </w:rPr>
        <w:footnoteReference w:id="81"/>
      </w:r>
    </w:p>
    <w:p w14:paraId="76808226" w14:textId="77777777" w:rsidR="00D90657" w:rsidRDefault="00D90657" w:rsidP="004C3163">
      <w:pPr>
        <w:pStyle w:val="Para1"/>
      </w:pPr>
      <w:r>
        <w:t xml:space="preserve">CPAG also pointed out that there is no </w:t>
      </w:r>
      <w:r w:rsidR="005F6B50">
        <w:t>provision in legislation to ensure that the</w:t>
      </w:r>
      <w:r w:rsidR="00800668">
        <w:t xml:space="preserve"> cap</w:t>
      </w:r>
      <w:r w:rsidR="005F6B50">
        <w:t xml:space="preserve"> rises in line with inflation.</w:t>
      </w:r>
      <w:r w:rsidR="00A37A24">
        <w:rPr>
          <w:rStyle w:val="FootnoteReference"/>
        </w:rPr>
        <w:footnoteReference w:id="82"/>
      </w:r>
      <w:r w:rsidR="009F6547">
        <w:t xml:space="preserve"> </w:t>
      </w:r>
      <w:r w:rsidR="000662B0" w:rsidRPr="00632217">
        <w:t xml:space="preserve"> Its</w:t>
      </w:r>
      <w:r w:rsidR="00125748" w:rsidRPr="00632217">
        <w:t xml:space="preserve"> </w:t>
      </w:r>
      <w:r w:rsidR="00156567" w:rsidRPr="00632217">
        <w:t xml:space="preserve">analysis </w:t>
      </w:r>
      <w:r w:rsidR="00125748" w:rsidRPr="00632217">
        <w:t>found that</w:t>
      </w:r>
      <w:r w:rsidR="00156567" w:rsidRPr="00632217">
        <w:t xml:space="preserve"> a</w:t>
      </w:r>
      <w:r w:rsidR="009F6547" w:rsidRPr="00632217">
        <w:t xml:space="preserve"> </w:t>
      </w:r>
      <w:r w:rsidR="00B64EF0" w:rsidRPr="00632217">
        <w:t>family with three-children on benefits</w:t>
      </w:r>
      <w:r w:rsidR="009F6547" w:rsidRPr="00632217">
        <w:t xml:space="preserve"> were already 40% short of affording what the public deems to be minimum acceptable standard of living</w:t>
      </w:r>
      <w:r w:rsidR="00192109" w:rsidRPr="00632217">
        <w:t>—</w:t>
      </w:r>
      <w:r w:rsidR="006A1889" w:rsidRPr="00632217">
        <w:t>"</w:t>
      </w:r>
      <w:r w:rsidR="000662B0" w:rsidRPr="00632217">
        <w:t xml:space="preserve">a </w:t>
      </w:r>
      <w:proofErr w:type="spellStart"/>
      <w:r w:rsidR="000662B0" w:rsidRPr="00632217">
        <w:t>well</w:t>
      </w:r>
      <w:r w:rsidR="00D66404">
        <w:t xml:space="preserve"> </w:t>
      </w:r>
      <w:r w:rsidR="000662B0" w:rsidRPr="00632217">
        <w:t>researched</w:t>
      </w:r>
      <w:proofErr w:type="spellEnd"/>
      <w:r w:rsidR="000662B0" w:rsidRPr="00632217">
        <w:t xml:space="preserve"> process, costing a basic no-frills but acceptable standard of living in the UK</w:t>
      </w:r>
      <w:r w:rsidR="0027016A" w:rsidRPr="00632217">
        <w:t>"</w:t>
      </w:r>
      <w:r w:rsidR="000662B0" w:rsidRPr="00632217">
        <w:t>—</w:t>
      </w:r>
      <w:r w:rsidR="009F6547" w:rsidRPr="00632217">
        <w:t xml:space="preserve">before the implementation of the lower cap (a £200 a week shortfall). By 2021, </w:t>
      </w:r>
      <w:r w:rsidR="00F92ABE" w:rsidRPr="00632217">
        <w:t>due to the rising cost of living</w:t>
      </w:r>
      <w:r w:rsidR="009F6547" w:rsidRPr="00632217">
        <w:t xml:space="preserve"> and the lower benefit cap, </w:t>
      </w:r>
      <w:r w:rsidR="00F92ABE" w:rsidRPr="00632217">
        <w:t xml:space="preserve">it said </w:t>
      </w:r>
      <w:r w:rsidR="00192109" w:rsidRPr="00632217">
        <w:t xml:space="preserve">that </w:t>
      </w:r>
      <w:r w:rsidR="00F92ABE" w:rsidRPr="00632217">
        <w:t xml:space="preserve">this </w:t>
      </w:r>
      <w:r w:rsidR="009F6547" w:rsidRPr="00632217">
        <w:t xml:space="preserve">gap will have </w:t>
      </w:r>
      <w:proofErr w:type="gramStart"/>
      <w:r w:rsidR="009F6547" w:rsidRPr="00632217">
        <w:t>doubled</w:t>
      </w:r>
      <w:proofErr w:type="gramEnd"/>
      <w:r w:rsidR="009F6547" w:rsidRPr="00632217">
        <w:t xml:space="preserve"> and </w:t>
      </w:r>
      <w:r w:rsidR="00F92ABE" w:rsidRPr="00632217">
        <w:t>the same family</w:t>
      </w:r>
      <w:r w:rsidR="009F6547" w:rsidRPr="00632217">
        <w:t xml:space="preserve"> will have barely a third</w:t>
      </w:r>
      <w:r w:rsidR="007F4920" w:rsidRPr="00632217">
        <w:t xml:space="preserve"> (</w:t>
      </w:r>
      <w:r w:rsidR="00201BCD" w:rsidRPr="00632217">
        <w:t>36%)</w:t>
      </w:r>
      <w:r w:rsidR="009F6547" w:rsidRPr="00632217">
        <w:t xml:space="preserve"> of what they need.</w:t>
      </w:r>
      <w:r w:rsidR="006564CF" w:rsidRPr="00632217">
        <w:t xml:space="preserve">  Without the cap they would still face a shortfall of </w:t>
      </w:r>
      <w:r w:rsidR="007F4920" w:rsidRPr="00632217">
        <w:t>almost half (47%) of what they need.</w:t>
      </w:r>
      <w:r w:rsidR="00A37A24" w:rsidRPr="00A37A24">
        <w:rPr>
          <w:rStyle w:val="FootnoteReference"/>
        </w:rPr>
        <w:t xml:space="preserve"> </w:t>
      </w:r>
      <w:r w:rsidR="00A37A24">
        <w:rPr>
          <w:rStyle w:val="FootnoteReference"/>
        </w:rPr>
        <w:footnoteReference w:id="83"/>
      </w:r>
    </w:p>
    <w:p w14:paraId="389FEB89" w14:textId="77777777" w:rsidR="007F3FBD" w:rsidRPr="007F3FBD" w:rsidRDefault="007F3FBD" w:rsidP="007F3FBD">
      <w:pPr>
        <w:pStyle w:val="Para1"/>
        <w:rPr>
          <w:rStyle w:val="Conclusion"/>
        </w:rPr>
      </w:pPr>
      <w:bookmarkStart w:id="45" w:name="_Toc431445"/>
      <w:r w:rsidRPr="007F3FBD">
        <w:rPr>
          <w:rStyle w:val="Conclusion"/>
        </w:rPr>
        <w:t xml:space="preserve">We are not convinced by the Government's argument that the cap restores fairness to the benefit system.  Families in work were already better off than similar families who were out-of-work, even without the cap. Furthermore, the Government sets the cap by referring to earned income, without taking into account the additional benefits that in-work families can receive.  This means that, when the cap is in place, differences in income between capped claimants and similar families in-work earning the cap limit can amount to tens of thousands of pounds. The greater the number of children in a family, the more pronounced these differences become—from a difference of £12,000 for a single parent with 3 children (a third of capped households), rising to £22,000 for a single parent with five children (5% of capped households). Comparing only part of the income of an in-work household with all of the income of a capped household is not fair. The result of this is that the benefit cap is set far too low. </w:t>
      </w:r>
    </w:p>
    <w:p w14:paraId="6A1BAD93" w14:textId="77777777" w:rsidR="007F3FBD" w:rsidRPr="007F3FBD" w:rsidRDefault="007F3FBD" w:rsidP="007F3FBD">
      <w:pPr>
        <w:pStyle w:val="Para1"/>
        <w:rPr>
          <w:rStyle w:val="Recommendation"/>
        </w:rPr>
      </w:pPr>
      <w:r w:rsidRPr="007F3FBD">
        <w:rPr>
          <w:rStyle w:val="Recommendation"/>
        </w:rPr>
        <w:t>We recommend that the Government increases the current cap limits, by taking account of in-work benefits as well as earnings when calculating the limits.  It should also ensure that cap levels are uprated in line with inflation.</w:t>
      </w:r>
    </w:p>
    <w:p w14:paraId="42DED331" w14:textId="77777777" w:rsidR="00082388" w:rsidRDefault="00763C63" w:rsidP="00D76935">
      <w:pPr>
        <w:pStyle w:val="Heading2"/>
      </w:pPr>
      <w:r>
        <w:t>Impact</w:t>
      </w:r>
      <w:r w:rsidR="0023395F">
        <w:t xml:space="preserve"> on claimants unable to escape the cap</w:t>
      </w:r>
      <w:bookmarkEnd w:id="45"/>
    </w:p>
    <w:p w14:paraId="7958E320" w14:textId="77777777" w:rsidR="00792020" w:rsidRDefault="00792020" w:rsidP="00792020">
      <w:pPr>
        <w:pStyle w:val="Heading3"/>
      </w:pPr>
      <w:bookmarkStart w:id="46" w:name="_Toc431446"/>
      <w:r>
        <w:t>Financial shortfalls</w:t>
      </w:r>
      <w:bookmarkEnd w:id="46"/>
    </w:p>
    <w:p w14:paraId="620E4B25" w14:textId="77777777" w:rsidR="00114F0F" w:rsidRDefault="00E81A5A" w:rsidP="0080367D">
      <w:pPr>
        <w:pStyle w:val="Para1"/>
      </w:pPr>
      <w:r>
        <w:t>CPAG stressed that the benefit cap 'breaks the link between need and entitlement'</w:t>
      </w:r>
      <w:r w:rsidR="00CF2E84">
        <w:t>,</w:t>
      </w:r>
      <w:r>
        <w:t xml:space="preserve"> which it argued was 'fundamental to a means tested social security</w:t>
      </w:r>
      <w:r w:rsidR="00EA1725">
        <w:t xml:space="preserve"> system</w:t>
      </w:r>
      <w:r>
        <w:t xml:space="preserve">'. </w:t>
      </w:r>
      <w:r w:rsidR="00723F10">
        <w:t xml:space="preserve">We heard </w:t>
      </w:r>
      <w:r w:rsidR="00747868">
        <w:t xml:space="preserve">that households </w:t>
      </w:r>
      <w:r w:rsidR="005A7274">
        <w:t xml:space="preserve">unable to escape the cap </w:t>
      </w:r>
      <w:r w:rsidR="009B622E">
        <w:t xml:space="preserve">are </w:t>
      </w:r>
      <w:r w:rsidR="00957E9E">
        <w:t>left with significantly less money than they need</w:t>
      </w:r>
      <w:r w:rsidR="00544E92" w:rsidRPr="00544E92">
        <w:t>.</w:t>
      </w:r>
      <w:r w:rsidR="00747868">
        <w:rPr>
          <w:rStyle w:val="FootnoteReference"/>
        </w:rPr>
        <w:footnoteReference w:id="84"/>
      </w:r>
      <w:r w:rsidR="006E4F18">
        <w:t xml:space="preserve"> </w:t>
      </w:r>
      <w:r w:rsidR="007C70E3">
        <w:t>DWP's most recent statistics show that</w:t>
      </w:r>
      <w:r w:rsidR="009B622E">
        <w:t>,</w:t>
      </w:r>
      <w:r w:rsidR="007C70E3">
        <w:t xml:space="preserve"> as of </w:t>
      </w:r>
      <w:r w:rsidR="00B410EC">
        <w:t xml:space="preserve">November </w:t>
      </w:r>
      <w:r w:rsidR="00F87628">
        <w:t>2018</w:t>
      </w:r>
      <w:r>
        <w:t>,</w:t>
      </w:r>
      <w:r w:rsidR="00F87628">
        <w:t xml:space="preserve"> 5</w:t>
      </w:r>
      <w:r w:rsidR="00B410EC">
        <w:t>8</w:t>
      </w:r>
      <w:r w:rsidR="00F87628">
        <w:t xml:space="preserve">% of households had their Housing Benefit capped by £50 or less a week, </w:t>
      </w:r>
      <w:r w:rsidR="00AF30D8">
        <w:t>a further 29% of households were capped by £50-100 per week</w:t>
      </w:r>
      <w:r w:rsidR="00304CD1">
        <w:t xml:space="preserve"> and</w:t>
      </w:r>
      <w:r w:rsidR="0080367D">
        <w:t xml:space="preserve"> 1</w:t>
      </w:r>
      <w:r w:rsidR="00B414F1">
        <w:t>3</w:t>
      </w:r>
      <w:r w:rsidR="0080367D" w:rsidRPr="0080367D">
        <w:t>% (</w:t>
      </w:r>
      <w:r w:rsidR="005C5125">
        <w:t>6,390</w:t>
      </w:r>
      <w:r w:rsidR="0080367D" w:rsidRPr="0080367D">
        <w:t>) of capped households had their Housin</w:t>
      </w:r>
      <w:r w:rsidR="0080367D">
        <w:t>g Benefit capped by more than £1</w:t>
      </w:r>
      <w:r w:rsidR="0080367D" w:rsidRPr="0080367D">
        <w:t>00, including 0.4% (</w:t>
      </w:r>
      <w:r w:rsidR="00A66BDD">
        <w:t>180)</w:t>
      </w:r>
      <w:r w:rsidR="0080367D" w:rsidRPr="0080367D">
        <w:t xml:space="preserve"> capped by more than £300 a week.</w:t>
      </w:r>
      <w:r w:rsidR="0080367D">
        <w:rPr>
          <w:rStyle w:val="FootnoteReference"/>
        </w:rPr>
        <w:footnoteReference w:id="85"/>
      </w:r>
      <w:r w:rsidR="006E4F18">
        <w:t xml:space="preserve"> </w:t>
      </w:r>
      <w:r w:rsidR="00704577">
        <w:t>Weekly reductions to capped households</w:t>
      </w:r>
      <w:r w:rsidR="009B622E">
        <w:t>'</w:t>
      </w:r>
      <w:r w:rsidR="00704577">
        <w:t xml:space="preserve"> Housing Benefit</w:t>
      </w:r>
      <w:r w:rsidR="00304CD1">
        <w:t xml:space="preserve"> </w:t>
      </w:r>
      <w:r w:rsidR="006D2434">
        <w:t>are shown in the figure</w:t>
      </w:r>
      <w:r w:rsidR="00484ED1">
        <w:t xml:space="preserve"> 7</w:t>
      </w:r>
      <w:r w:rsidR="00114F0F">
        <w:t xml:space="preserve"> </w:t>
      </w:r>
      <w:r w:rsidR="006D2434">
        <w:t>below</w:t>
      </w:r>
      <w:r w:rsidR="00114F0F">
        <w:t>.</w:t>
      </w:r>
    </w:p>
    <w:p w14:paraId="3409C408" w14:textId="77777777" w:rsidR="008A3A8E" w:rsidRDefault="008A3A8E" w:rsidP="008A3A8E">
      <w:pPr>
        <w:pStyle w:val="Caption"/>
      </w:pPr>
      <w:r>
        <w:t xml:space="preserve">Fig </w:t>
      </w:r>
      <w:r w:rsidR="00C07E02">
        <w:t>7</w:t>
      </w:r>
      <w:r>
        <w:t>: Capped households by weekly amount capped, at November 2018 (Housing Benefit only)</w:t>
      </w:r>
    </w:p>
    <w:p w14:paraId="75B22C23" w14:textId="77777777" w:rsidR="006402D8" w:rsidRDefault="007A5B5B" w:rsidP="00035EA0">
      <w:pPr>
        <w:pStyle w:val="Para1"/>
        <w:numPr>
          <w:ilvl w:val="0"/>
          <w:numId w:val="0"/>
        </w:numPr>
        <w:ind w:left="578"/>
      </w:pPr>
      <w:r w:rsidRPr="007A5B5B">
        <w:rPr>
          <w:noProof/>
        </w:rPr>
        <w:drawing>
          <wp:inline distT="0" distB="0" distL="0" distR="0" wp14:anchorId="7531507E" wp14:editId="0F70D135">
            <wp:extent cx="5181600" cy="2438498"/>
            <wp:effectExtent l="0" t="0" r="0" b="0"/>
            <wp:docPr id="12" name="Chart 12">
              <a:extLst xmlns:a="http://schemas.openxmlformats.org/drawingml/2006/main">
                <a:ext uri="{FF2B5EF4-FFF2-40B4-BE49-F238E27FC236}">
                  <a16:creationId xmlns:a16="http://schemas.microsoft.com/office/drawing/2014/main" id="{1C35947D-4039-4554-B614-D93C326F12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F54349F" w14:textId="77777777" w:rsidR="009B09EA" w:rsidRDefault="009B09EA" w:rsidP="009B09EA">
      <w:pPr>
        <w:pStyle w:val="Source"/>
      </w:pPr>
      <w:r>
        <w:t>Source: DWP Benefit Cap statistics to November 2018</w:t>
      </w:r>
    </w:p>
    <w:p w14:paraId="6C73A5FB" w14:textId="77777777" w:rsidR="00941928" w:rsidRDefault="00E81A5A" w:rsidP="007666FA">
      <w:pPr>
        <w:pStyle w:val="Para1"/>
      </w:pPr>
      <w:r>
        <w:t>Organisations including Policy in Practice</w:t>
      </w:r>
      <w:r w:rsidR="00977806">
        <w:t xml:space="preserve"> and Shelter</w:t>
      </w:r>
      <w:r w:rsidR="00AA3660">
        <w:t xml:space="preserve"> </w:t>
      </w:r>
      <w:r w:rsidR="008925D0">
        <w:t>told us</w:t>
      </w:r>
      <w:r w:rsidR="00AA3660">
        <w:t xml:space="preserve"> that </w:t>
      </w:r>
      <w:r w:rsidR="00465601">
        <w:t>these reductions simply do not leave</w:t>
      </w:r>
      <w:r w:rsidR="00866370">
        <w:t xml:space="preserve"> most</w:t>
      </w:r>
      <w:r w:rsidR="00465601">
        <w:t xml:space="preserve"> families with enough </w:t>
      </w:r>
      <w:r>
        <w:t xml:space="preserve">money </w:t>
      </w:r>
      <w:r w:rsidR="00465601">
        <w:t>to cover their basic needs.</w:t>
      </w:r>
      <w:r w:rsidR="003E634E">
        <w:rPr>
          <w:rStyle w:val="FootnoteReference"/>
        </w:rPr>
        <w:footnoteReference w:id="86"/>
      </w:r>
      <w:r w:rsidR="006E4F18">
        <w:t xml:space="preserve"> </w:t>
      </w:r>
      <w:r w:rsidR="00A25ED3">
        <w:t xml:space="preserve">Shelter </w:t>
      </w:r>
      <w:r w:rsidR="002E0FE8">
        <w:t>told the Committee</w:t>
      </w:r>
      <w:r w:rsidR="001320C2">
        <w:t xml:space="preserve"> that </w:t>
      </w:r>
      <w:r w:rsidR="00C97D0A">
        <w:t>"</w:t>
      </w:r>
      <w:r w:rsidR="00C97D0A" w:rsidRPr="00C97D0A">
        <w:t>housing costs are now so high, and the cap is so low, that it is not possible for thousands of families caught by the cap to both pay rent and avoid destitution</w:t>
      </w:r>
      <w:r w:rsidR="00C97D0A">
        <w:t>".</w:t>
      </w:r>
      <w:r w:rsidR="002E0FE8">
        <w:rPr>
          <w:rStyle w:val="FootnoteReference"/>
        </w:rPr>
        <w:footnoteReference w:id="87"/>
      </w:r>
      <w:r w:rsidR="003E634E">
        <w:t xml:space="preserve"> </w:t>
      </w:r>
      <w:r w:rsidR="0080471C">
        <w:t>Its</w:t>
      </w:r>
      <w:r w:rsidR="001718EF">
        <w:t xml:space="preserve"> analysis to determine </w:t>
      </w:r>
      <w:r w:rsidR="003E634E">
        <w:t>whether</w:t>
      </w:r>
      <w:r w:rsidR="001718EF">
        <w:t xml:space="preserve"> </w:t>
      </w:r>
      <w:r w:rsidR="003E634E">
        <w:t>families</w:t>
      </w:r>
      <w:r w:rsidR="004E0F8C">
        <w:t xml:space="preserve"> affected by the cap</w:t>
      </w:r>
      <w:r w:rsidR="003E634E">
        <w:t xml:space="preserve"> would</w:t>
      </w:r>
      <w:r w:rsidR="008925D0">
        <w:t xml:space="preserve"> have enough money to pay for "</w:t>
      </w:r>
      <w:r w:rsidR="003E634E">
        <w:t>a set of very basic essential family costs" after paying their rent found that a one-parent family with three children would not be able to meet the</w:t>
      </w:r>
      <w:r w:rsidR="003C4D25">
        <w:t>ir living</w:t>
      </w:r>
      <w:r w:rsidR="003E634E">
        <w:t xml:space="preserve"> costs in a third of the country</w:t>
      </w:r>
      <w:r w:rsidR="00941928">
        <w:t xml:space="preserve"> and a one-parent family with four children would not be able to meet the</w:t>
      </w:r>
      <w:r w:rsidR="008925D0">
        <w:t>se</w:t>
      </w:r>
      <w:r w:rsidR="00941928">
        <w:t xml:space="preserve"> costs in 43% of the country.</w:t>
      </w:r>
      <w:r w:rsidR="0012309B">
        <w:t xml:space="preserve"> </w:t>
      </w:r>
      <w:r w:rsidR="00941928">
        <w:t xml:space="preserve">Giovanni </w:t>
      </w:r>
      <w:proofErr w:type="spellStart"/>
      <w:r w:rsidR="00941928">
        <w:t>Tutti</w:t>
      </w:r>
      <w:proofErr w:type="spellEnd"/>
      <w:r w:rsidR="00763C63" w:rsidRPr="00763C63">
        <w:t xml:space="preserve"> told </w:t>
      </w:r>
      <w:r w:rsidR="0012309B">
        <w:t>us</w:t>
      </w:r>
      <w:r w:rsidR="008925D0">
        <w:t xml:space="preserve"> that</w:t>
      </w:r>
      <w:r w:rsidR="0012309B">
        <w:t xml:space="preserve"> </w:t>
      </w:r>
      <w:r w:rsidR="00941928">
        <w:t>Policy in Practice's</w:t>
      </w:r>
      <w:r w:rsidR="00763C63" w:rsidRPr="00763C63">
        <w:t xml:space="preserve"> analysis</w:t>
      </w:r>
      <w:r w:rsidR="001C6B03">
        <w:t xml:space="preserve"> of 11 local authorities had found that </w:t>
      </w:r>
      <w:r w:rsidR="00763C63" w:rsidRPr="00763C63">
        <w:t>around 60% of claimants who are not able to escape the cap faced a shortfall between their monthly income and their estimated costs</w:t>
      </w:r>
      <w:r w:rsidR="00941928">
        <w:t>.</w:t>
      </w:r>
      <w:r w:rsidR="00941928">
        <w:rPr>
          <w:rStyle w:val="FootnoteReference"/>
        </w:rPr>
        <w:footnoteReference w:id="88"/>
      </w:r>
    </w:p>
    <w:p w14:paraId="01F4CB94" w14:textId="77777777" w:rsidR="00A2681D" w:rsidRDefault="00A2681D" w:rsidP="00A2681D">
      <w:pPr>
        <w:pStyle w:val="Heading3"/>
      </w:pPr>
      <w:bookmarkStart w:id="47" w:name="_Toc431447"/>
      <w:r>
        <w:t>Impact</w:t>
      </w:r>
      <w:bookmarkEnd w:id="47"/>
      <w:r>
        <w:t xml:space="preserve"> </w:t>
      </w:r>
    </w:p>
    <w:p w14:paraId="27328F9C" w14:textId="77777777" w:rsidR="00A2681D" w:rsidRDefault="00CF2E84" w:rsidP="007666FA">
      <w:pPr>
        <w:pStyle w:val="Para1"/>
      </w:pPr>
      <w:r>
        <w:t>The</w:t>
      </w:r>
      <w:r w:rsidR="009B357F">
        <w:t xml:space="preserve"> majority of e</w:t>
      </w:r>
      <w:r w:rsidR="00A2681D">
        <w:t xml:space="preserve">vidence to our inquiry stressed </w:t>
      </w:r>
      <w:r w:rsidR="00427944">
        <w:t>that</w:t>
      </w:r>
      <w:r w:rsidR="00485E1C">
        <w:t xml:space="preserve"> </w:t>
      </w:r>
      <w:r w:rsidR="009B357F">
        <w:t>the</w:t>
      </w:r>
      <w:r w:rsidR="00A2681D">
        <w:t xml:space="preserve"> "intolerable" financial position the cap </w:t>
      </w:r>
      <w:r w:rsidR="009B357F">
        <w:t>places families</w:t>
      </w:r>
      <w:r w:rsidR="00894CB3">
        <w:t xml:space="preserve"> in</w:t>
      </w:r>
      <w:r w:rsidR="009B357F">
        <w:t xml:space="preserve"> </w:t>
      </w:r>
      <w:r w:rsidR="00EF21CA">
        <w:t>is causing</w:t>
      </w:r>
      <w:r w:rsidR="00A2681D">
        <w:t xml:space="preserve"> poverty and hardship.</w:t>
      </w:r>
      <w:r w:rsidR="00A2681D">
        <w:rPr>
          <w:rStyle w:val="FootnoteReference"/>
        </w:rPr>
        <w:footnoteReference w:id="89"/>
      </w:r>
      <w:r w:rsidR="006E4F18">
        <w:t xml:space="preserve"> </w:t>
      </w:r>
      <w:r w:rsidR="008225DB">
        <w:t>We heard evidence that many households were falling into rent arrear</w:t>
      </w:r>
      <w:r w:rsidR="007666FA">
        <w:t>s, and in some cases losing their homes</w:t>
      </w:r>
      <w:r w:rsidR="004A1897">
        <w:t>.</w:t>
      </w:r>
      <w:r w:rsidR="006E4F18">
        <w:t xml:space="preserve"> </w:t>
      </w:r>
      <w:r w:rsidR="007666FA">
        <w:t xml:space="preserve">Witnesses also </w:t>
      </w:r>
      <w:r w:rsidR="00273AD4">
        <w:t>told us that</w:t>
      </w:r>
      <w:r w:rsidR="004A1897">
        <w:t xml:space="preserve"> </w:t>
      </w:r>
      <w:r w:rsidR="00704577">
        <w:t xml:space="preserve">families </w:t>
      </w:r>
      <w:r w:rsidR="00DD3DBC">
        <w:t xml:space="preserve">who were unable to escape the </w:t>
      </w:r>
      <w:r w:rsidR="00704577">
        <w:t>cap</w:t>
      </w:r>
      <w:r w:rsidR="004A1897">
        <w:t xml:space="preserve"> were</w:t>
      </w:r>
      <w:r w:rsidR="008225DB">
        <w:t xml:space="preserve"> </w:t>
      </w:r>
      <w:r w:rsidR="007666FA">
        <w:t xml:space="preserve">buying less food, </w:t>
      </w:r>
      <w:r w:rsidR="008225DB">
        <w:t>resorting to foodbanks</w:t>
      </w:r>
      <w:r w:rsidR="007666FA">
        <w:t xml:space="preserve"> and turning off their heating.</w:t>
      </w:r>
      <w:r w:rsidR="007666FA">
        <w:rPr>
          <w:rStyle w:val="FootnoteReference"/>
        </w:rPr>
        <w:footnoteReference w:id="90"/>
      </w:r>
      <w:r w:rsidR="006E4F18">
        <w:t xml:space="preserve"> </w:t>
      </w:r>
      <w:r w:rsidR="00485E1C">
        <w:t>Rob Gowans,</w:t>
      </w:r>
      <w:r w:rsidR="00AD6651">
        <w:t xml:space="preserve"> Policy Officer for</w:t>
      </w:r>
      <w:r w:rsidR="00A2681D">
        <w:t xml:space="preserve"> C</w:t>
      </w:r>
      <w:r w:rsidR="00AD6651">
        <w:t xml:space="preserve">itizen's </w:t>
      </w:r>
      <w:r w:rsidR="00A2681D">
        <w:t>A</w:t>
      </w:r>
      <w:r w:rsidR="00AD6651">
        <w:t xml:space="preserve">dvice </w:t>
      </w:r>
      <w:r w:rsidR="00A2681D">
        <w:t>S</w:t>
      </w:r>
      <w:r w:rsidR="00AD6651">
        <w:t>cotland (CAS)</w:t>
      </w:r>
      <w:r w:rsidR="00DD3DBC">
        <w:t>,</w:t>
      </w:r>
      <w:r w:rsidR="00AD6651">
        <w:t xml:space="preserve"> told us </w:t>
      </w:r>
      <w:r w:rsidR="00273AD4">
        <w:t xml:space="preserve">that CAS </w:t>
      </w:r>
      <w:r w:rsidR="00A2681D">
        <w:t xml:space="preserve">had seen cases of people not moving in with their partner to avoid the cap and </w:t>
      </w:r>
      <w:r w:rsidR="00704577">
        <w:t>at</w:t>
      </w:r>
      <w:r w:rsidR="00A2681D">
        <w:t xml:space="preserve"> least one case where the stress of </w:t>
      </w:r>
      <w:r w:rsidR="00063998">
        <w:t>the</w:t>
      </w:r>
      <w:r w:rsidR="00A2681D">
        <w:t xml:space="preserve"> cap caused a relationship to break down.</w:t>
      </w:r>
      <w:r w:rsidR="00AD6651">
        <w:rPr>
          <w:rStyle w:val="FootnoteReference"/>
        </w:rPr>
        <w:footnoteReference w:id="91"/>
      </w:r>
    </w:p>
    <w:p w14:paraId="74D84BD4" w14:textId="77777777" w:rsidR="00A2681D" w:rsidRDefault="00852304" w:rsidP="00A2681D">
      <w:pPr>
        <w:pStyle w:val="Para1"/>
      </w:pPr>
      <w:r>
        <w:t xml:space="preserve">We also heard from </w:t>
      </w:r>
      <w:r w:rsidR="00193427">
        <w:t>four</w:t>
      </w:r>
      <w:r>
        <w:t xml:space="preserve"> people who had been subject to the cap. They told us about the impossible choices they have had to make: </w:t>
      </w:r>
      <w:r w:rsidR="00A2681D">
        <w:t>between paying rent, heating their homes, providing for their children, and having enough to eat.</w:t>
      </w:r>
      <w:r w:rsidR="008051AB">
        <w:rPr>
          <w:rStyle w:val="FootnoteReference"/>
        </w:rPr>
        <w:footnoteReference w:id="92"/>
      </w:r>
      <w:r w:rsidR="001D6B7B">
        <w:t xml:space="preserve"> </w:t>
      </w:r>
    </w:p>
    <w:p w14:paraId="0110B25F" w14:textId="77777777" w:rsidR="00A2681D" w:rsidRDefault="00A2681D" w:rsidP="00A2681D">
      <w:pPr>
        <w:pStyle w:val="Caption"/>
      </w:pPr>
      <w:r>
        <w:t xml:space="preserve">Box </w:t>
      </w:r>
      <w:r w:rsidR="00143B32">
        <w:rPr>
          <w:noProof/>
        </w:rPr>
        <w:fldChar w:fldCharType="begin"/>
      </w:r>
      <w:r w:rsidR="00143B32">
        <w:rPr>
          <w:noProof/>
        </w:rPr>
        <w:instrText xml:space="preserve"> SEQ Box \* ARABIC </w:instrText>
      </w:r>
      <w:r w:rsidR="00143B32">
        <w:rPr>
          <w:noProof/>
        </w:rPr>
        <w:fldChar w:fldCharType="separate"/>
      </w:r>
      <w:r w:rsidR="003128E1">
        <w:rPr>
          <w:noProof/>
        </w:rPr>
        <w:t>1</w:t>
      </w:r>
      <w:r w:rsidR="00143B32">
        <w:rPr>
          <w:noProof/>
        </w:rPr>
        <w:fldChar w:fldCharType="end"/>
      </w:r>
      <w:r>
        <w:t>: Coping with the cap</w:t>
      </w:r>
      <w:r w:rsidR="00046F60">
        <w:t xml:space="preserve">, </w:t>
      </w:r>
      <w:r w:rsidR="0026768B">
        <w:t>video testimonies</w:t>
      </w:r>
      <w:r w:rsidR="00046F60">
        <w:t>.</w:t>
      </w:r>
    </w:p>
    <w:tbl>
      <w:tblPr>
        <w:tblStyle w:val="Box"/>
        <w:tblW w:w="0" w:type="auto"/>
        <w:tblLook w:val="04A0" w:firstRow="1" w:lastRow="0" w:firstColumn="1" w:lastColumn="0" w:noHBand="0" w:noVBand="1"/>
      </w:tblPr>
      <w:tblGrid>
        <w:gridCol w:w="8494"/>
      </w:tblGrid>
      <w:tr w:rsidR="00A2681D" w14:paraId="2C6C4C65" w14:textId="77777777" w:rsidTr="007666FA">
        <w:tc>
          <w:tcPr>
            <w:tcW w:w="8494" w:type="dxa"/>
          </w:tcPr>
          <w:p w14:paraId="78979BB5" w14:textId="77777777" w:rsidR="0026768B" w:rsidRDefault="00A2681D" w:rsidP="00A2681D">
            <w:pPr>
              <w:pStyle w:val="BoxPara"/>
              <w:rPr>
                <w:rStyle w:val="Emphasis"/>
              </w:rPr>
            </w:pPr>
            <w:r w:rsidRPr="00603E8A">
              <w:rPr>
                <w:rStyle w:val="Emphasis"/>
              </w:rPr>
              <w:t>"</w:t>
            </w:r>
            <w:r w:rsidR="00603E8A" w:rsidRPr="00603E8A">
              <w:rPr>
                <w:rStyle w:val="Emphasis"/>
              </w:rPr>
              <w:t>It was either feed the kids or pay the rent" - Sally</w:t>
            </w:r>
            <w:r w:rsidR="00797DC3">
              <w:rPr>
                <w:rStyle w:val="Emphasis"/>
              </w:rPr>
              <w:t>,</w:t>
            </w:r>
            <w:r w:rsidR="00603E8A" w:rsidRPr="00603E8A">
              <w:rPr>
                <w:rStyle w:val="Emphasis"/>
              </w:rPr>
              <w:t xml:space="preserve"> single</w:t>
            </w:r>
            <w:r w:rsidR="009057E3">
              <w:rPr>
                <w:rStyle w:val="Emphasis"/>
              </w:rPr>
              <w:t xml:space="preserve"> </w:t>
            </w:r>
            <w:r w:rsidR="00603E8A" w:rsidRPr="00603E8A">
              <w:rPr>
                <w:rStyle w:val="Emphasis"/>
              </w:rPr>
              <w:t>mother of four children</w:t>
            </w:r>
          </w:p>
          <w:p w14:paraId="6B3D6D9B" w14:textId="77777777" w:rsidR="00834E35" w:rsidRDefault="00834E35" w:rsidP="00A2681D">
            <w:pPr>
              <w:pStyle w:val="BoxPara"/>
              <w:rPr>
                <w:rStyle w:val="Emphasis"/>
              </w:rPr>
            </w:pPr>
            <w:r>
              <w:rPr>
                <w:rStyle w:val="Emphasis"/>
              </w:rPr>
              <w:t>"You can't afford to eat, you can't afford to put your heating on, it's a case of heating or eating basically….</w:t>
            </w:r>
            <w:r w:rsidR="00275D6E">
              <w:rPr>
                <w:rStyle w:val="Emphasis"/>
              </w:rPr>
              <w:t xml:space="preserve">my eldest lad used to leave food because he knew I ate the leftovers… you don't want to take food away from the children as you don't know when you'll next be able to [buy it], because you're robbing Peter to pay Paul at this stage …..do you pay rent or do you pay your council tax? Do you buy </w:t>
            </w:r>
            <w:r w:rsidR="00721160">
              <w:rPr>
                <w:rStyle w:val="Emphasis"/>
              </w:rPr>
              <w:t>food,</w:t>
            </w:r>
            <w:r w:rsidR="00275D6E">
              <w:rPr>
                <w:rStyle w:val="Emphasis"/>
              </w:rPr>
              <w:t xml:space="preserve"> or do you pay your electric?" -</w:t>
            </w:r>
            <w:r w:rsidR="00D60D3F">
              <w:rPr>
                <w:rStyle w:val="Emphasis"/>
              </w:rPr>
              <w:t xml:space="preserve"> Paula</w:t>
            </w:r>
            <w:r w:rsidR="00797DC3">
              <w:rPr>
                <w:rStyle w:val="Emphasis"/>
              </w:rPr>
              <w:t>,</w:t>
            </w:r>
            <w:r w:rsidR="009057E3">
              <w:rPr>
                <w:rStyle w:val="Emphasis"/>
              </w:rPr>
              <w:t xml:space="preserve"> single </w:t>
            </w:r>
            <w:r w:rsidR="00275D6E">
              <w:rPr>
                <w:rStyle w:val="Emphasis"/>
              </w:rPr>
              <w:t>mother of three children</w:t>
            </w:r>
          </w:p>
          <w:p w14:paraId="2EA2CC9E" w14:textId="77777777" w:rsidR="00797DC3" w:rsidRDefault="00797DC3" w:rsidP="00797DC3">
            <w:pPr>
              <w:pStyle w:val="BoxPara"/>
              <w:rPr>
                <w:rStyle w:val="Emphasis"/>
              </w:rPr>
            </w:pPr>
            <w:r>
              <w:rPr>
                <w:rStyle w:val="Emphasis"/>
              </w:rPr>
              <w:t>"It was a case of do I feed the kids or pay the bills? I chose to feed my children and just got in more and more debt" - Jo, single</w:t>
            </w:r>
            <w:r w:rsidR="009057E3">
              <w:rPr>
                <w:rStyle w:val="Emphasis"/>
              </w:rPr>
              <w:t xml:space="preserve"> </w:t>
            </w:r>
            <w:r>
              <w:rPr>
                <w:rStyle w:val="Emphasis"/>
              </w:rPr>
              <w:t>mother in temporary accommodation</w:t>
            </w:r>
          </w:p>
          <w:p w14:paraId="3690A63C" w14:textId="77777777" w:rsidR="00A14B2F" w:rsidRDefault="00854F67" w:rsidP="00A14B2F">
            <w:pPr>
              <w:pStyle w:val="BoxPara"/>
              <w:rPr>
                <w:rStyle w:val="Emphasis"/>
              </w:rPr>
            </w:pPr>
            <w:r>
              <w:rPr>
                <w:rStyle w:val="Emphasis"/>
              </w:rPr>
              <w:t>"When the children went to school, me and my partner used to sit there in the cold with jumpers and coats on, so we could afford to have the heating on when they came home.</w:t>
            </w:r>
            <w:r w:rsidR="006E4F18">
              <w:rPr>
                <w:rStyle w:val="Emphasis"/>
              </w:rPr>
              <w:t xml:space="preserve"> </w:t>
            </w:r>
            <w:r>
              <w:rPr>
                <w:rStyle w:val="Emphasis"/>
              </w:rPr>
              <w:t xml:space="preserve">As soon as they went to bed at night, it went off, </w:t>
            </w:r>
            <w:r w:rsidR="00732A32">
              <w:rPr>
                <w:rStyle w:val="Emphasis"/>
              </w:rPr>
              <w:t xml:space="preserve">we </w:t>
            </w:r>
            <w:r>
              <w:rPr>
                <w:rStyle w:val="Emphasis"/>
              </w:rPr>
              <w:t xml:space="preserve">sat in the cold again" - </w:t>
            </w:r>
            <w:r w:rsidR="007E0606">
              <w:rPr>
                <w:rStyle w:val="Emphasis"/>
              </w:rPr>
              <w:t>Emma,</w:t>
            </w:r>
            <w:r w:rsidR="00A14B2F">
              <w:rPr>
                <w:rStyle w:val="Emphasis"/>
              </w:rPr>
              <w:t xml:space="preserve"> mother of four children caring for her</w:t>
            </w:r>
            <w:r w:rsidR="004D07D6">
              <w:rPr>
                <w:rStyle w:val="Emphasis"/>
              </w:rPr>
              <w:t xml:space="preserve"> sick</w:t>
            </w:r>
            <w:r w:rsidR="00A14B2F">
              <w:rPr>
                <w:rStyle w:val="Emphasis"/>
              </w:rPr>
              <w:t xml:space="preserve"> partner</w:t>
            </w:r>
          </w:p>
          <w:p w14:paraId="664627A8" w14:textId="77777777" w:rsidR="00603E8A" w:rsidRPr="00603E8A" w:rsidRDefault="00603E8A" w:rsidP="00193427">
            <w:pPr>
              <w:pStyle w:val="BoxPara"/>
              <w:rPr>
                <w:rStyle w:val="Emphasis"/>
              </w:rPr>
            </w:pPr>
          </w:p>
        </w:tc>
      </w:tr>
    </w:tbl>
    <w:p w14:paraId="51BB9BE7" w14:textId="77777777" w:rsidR="00A2681D" w:rsidRDefault="00A2681D" w:rsidP="00A2681D">
      <w:pPr>
        <w:pStyle w:val="ParaforTable"/>
      </w:pPr>
    </w:p>
    <w:p w14:paraId="2558C543" w14:textId="77777777" w:rsidR="00A2681D" w:rsidRPr="00D91ECF" w:rsidRDefault="00A2681D" w:rsidP="00A2681D">
      <w:pPr>
        <w:pStyle w:val="Source"/>
        <w:rPr>
          <w:highlight w:val="yellow"/>
        </w:rPr>
      </w:pPr>
      <w:r w:rsidRPr="00D91ECF">
        <w:rPr>
          <w:highlight w:val="yellow"/>
        </w:rPr>
        <w:t>Source: Claimant videos</w:t>
      </w:r>
    </w:p>
    <w:p w14:paraId="599454BC" w14:textId="77777777" w:rsidR="00A2681D" w:rsidRDefault="00603E8A" w:rsidP="00A2681D">
      <w:pPr>
        <w:pStyle w:val="Para1"/>
      </w:pPr>
      <w:r>
        <w:t xml:space="preserve">We heard how these </w:t>
      </w:r>
      <w:r w:rsidR="00DD21CD">
        <w:t xml:space="preserve">"very </w:t>
      </w:r>
      <w:r>
        <w:t xml:space="preserve">desperate" situations </w:t>
      </w:r>
      <w:r w:rsidR="0026768B">
        <w:t>can cause "eno</w:t>
      </w:r>
      <w:r>
        <w:t xml:space="preserve">rmous stress" and </w:t>
      </w:r>
      <w:r w:rsidR="00DD21CD">
        <w:t>exacerbate existing</w:t>
      </w:r>
      <w:r>
        <w:t xml:space="preserve"> mental health conditions</w:t>
      </w:r>
      <w:r w:rsidR="007666FA">
        <w:t>.</w:t>
      </w:r>
      <w:r w:rsidR="007666FA">
        <w:rPr>
          <w:rStyle w:val="FootnoteReference"/>
        </w:rPr>
        <w:footnoteReference w:id="93"/>
      </w:r>
      <w:r w:rsidR="006E4F18">
        <w:t xml:space="preserve"> </w:t>
      </w:r>
      <w:r w:rsidR="004D07D6">
        <w:t>This theme also came through in witness testimonies</w:t>
      </w:r>
      <w:r w:rsidR="00042C66">
        <w:t>.</w:t>
      </w:r>
      <w:r w:rsidR="005D656A">
        <w:rPr>
          <w:rStyle w:val="FootnoteReference"/>
        </w:rPr>
        <w:footnoteReference w:id="94"/>
      </w:r>
    </w:p>
    <w:p w14:paraId="3A75CDB4" w14:textId="77777777" w:rsidR="00A2681D" w:rsidRDefault="00A2681D" w:rsidP="00A2681D">
      <w:pPr>
        <w:pStyle w:val="Caption"/>
      </w:pPr>
      <w:r>
        <w:t xml:space="preserve">Box </w:t>
      </w:r>
      <w:r w:rsidR="00143B32">
        <w:rPr>
          <w:noProof/>
        </w:rPr>
        <w:fldChar w:fldCharType="begin"/>
      </w:r>
      <w:r w:rsidR="00143B32">
        <w:rPr>
          <w:noProof/>
        </w:rPr>
        <w:instrText xml:space="preserve"> SEQ Box \* ARABIC </w:instrText>
      </w:r>
      <w:r w:rsidR="00143B32">
        <w:rPr>
          <w:noProof/>
        </w:rPr>
        <w:fldChar w:fldCharType="separate"/>
      </w:r>
      <w:r w:rsidR="003128E1">
        <w:rPr>
          <w:noProof/>
        </w:rPr>
        <w:t>2</w:t>
      </w:r>
      <w:r w:rsidR="00143B32">
        <w:rPr>
          <w:noProof/>
        </w:rPr>
        <w:fldChar w:fldCharType="end"/>
      </w:r>
      <w:r>
        <w:t xml:space="preserve">: </w:t>
      </w:r>
      <w:r w:rsidR="00046F60">
        <w:t xml:space="preserve">Stress </w:t>
      </w:r>
      <w:r>
        <w:t>and anxiety</w:t>
      </w:r>
      <w:r w:rsidR="00046F60">
        <w:t>, video testimonies.</w:t>
      </w:r>
    </w:p>
    <w:tbl>
      <w:tblPr>
        <w:tblStyle w:val="Box"/>
        <w:tblW w:w="0" w:type="auto"/>
        <w:tblLook w:val="04A0" w:firstRow="1" w:lastRow="0" w:firstColumn="1" w:lastColumn="0" w:noHBand="0" w:noVBand="1"/>
      </w:tblPr>
      <w:tblGrid>
        <w:gridCol w:w="8494"/>
      </w:tblGrid>
      <w:tr w:rsidR="00A2681D" w14:paraId="02C3807B" w14:textId="77777777" w:rsidTr="00FB01B4">
        <w:trPr>
          <w:trHeight w:val="5802"/>
        </w:trPr>
        <w:tc>
          <w:tcPr>
            <w:tcW w:w="8494" w:type="dxa"/>
          </w:tcPr>
          <w:p w14:paraId="5461347A" w14:textId="77777777" w:rsidR="00A2681D" w:rsidRDefault="0026768B" w:rsidP="00A2681D">
            <w:pPr>
              <w:pStyle w:val="BoxPara"/>
              <w:rPr>
                <w:rStyle w:val="Emphasis"/>
              </w:rPr>
            </w:pPr>
            <w:r w:rsidRPr="0026768B">
              <w:rPr>
                <w:rStyle w:val="Emphasis"/>
              </w:rPr>
              <w:t>" I couldn't cope very well</w:t>
            </w:r>
            <w:r>
              <w:rPr>
                <w:rStyle w:val="Emphasis"/>
              </w:rPr>
              <w:t>.</w:t>
            </w:r>
            <w:r w:rsidRPr="0026768B">
              <w:rPr>
                <w:rStyle w:val="Emphasis"/>
              </w:rPr>
              <w:t xml:space="preserve"> I didn't cope very well at all</w:t>
            </w:r>
            <w:r>
              <w:rPr>
                <w:rStyle w:val="Emphasis"/>
              </w:rPr>
              <w:t>,</w:t>
            </w:r>
            <w:r w:rsidRPr="0026768B">
              <w:rPr>
                <w:rStyle w:val="Emphasis"/>
              </w:rPr>
              <w:t xml:space="preserve"> due to debt pushing me over the edge, I got sectioned once because of it, I've been on antidepressants for year</w:t>
            </w:r>
            <w:r>
              <w:rPr>
                <w:rStyle w:val="Emphasis"/>
              </w:rPr>
              <w:t>s</w:t>
            </w:r>
            <w:r w:rsidRPr="0026768B">
              <w:rPr>
                <w:rStyle w:val="Emphasis"/>
              </w:rPr>
              <w:t xml:space="preserve"> because of it,</w:t>
            </w:r>
            <w:r>
              <w:rPr>
                <w:rStyle w:val="Emphasis"/>
              </w:rPr>
              <w:t xml:space="preserve"> and</w:t>
            </w:r>
            <w:r w:rsidRPr="0026768B">
              <w:rPr>
                <w:rStyle w:val="Emphasis"/>
              </w:rPr>
              <w:t xml:space="preserve"> I was offered no </w:t>
            </w:r>
            <w:r>
              <w:rPr>
                <w:rStyle w:val="Emphasis"/>
              </w:rPr>
              <w:t>support</w:t>
            </w:r>
            <w:r w:rsidRPr="0026768B">
              <w:rPr>
                <w:rStyle w:val="Emphasis"/>
              </w:rPr>
              <w:t xml:space="preserve"> whatsoever</w:t>
            </w:r>
            <w:r>
              <w:rPr>
                <w:rStyle w:val="Emphasis"/>
              </w:rPr>
              <w:t>, I didn't know where to turn.</w:t>
            </w:r>
            <w:r w:rsidRPr="0026768B">
              <w:rPr>
                <w:rStyle w:val="Emphasis"/>
              </w:rPr>
              <w:t>"</w:t>
            </w:r>
            <w:r>
              <w:rPr>
                <w:rStyle w:val="Emphasis"/>
              </w:rPr>
              <w:t xml:space="preserve"> - Jo single</w:t>
            </w:r>
            <w:r w:rsidR="00067E32">
              <w:rPr>
                <w:rStyle w:val="Emphasis"/>
              </w:rPr>
              <w:t xml:space="preserve"> </w:t>
            </w:r>
            <w:r>
              <w:rPr>
                <w:rStyle w:val="Emphasis"/>
              </w:rPr>
              <w:t>parent in temporary accom</w:t>
            </w:r>
            <w:r w:rsidR="00275D6E">
              <w:rPr>
                <w:rStyle w:val="Emphasis"/>
              </w:rPr>
              <w:t>m</w:t>
            </w:r>
            <w:r>
              <w:rPr>
                <w:rStyle w:val="Emphasis"/>
              </w:rPr>
              <w:t>odation</w:t>
            </w:r>
          </w:p>
          <w:p w14:paraId="30270E1A" w14:textId="77777777" w:rsidR="00290B48" w:rsidRDefault="00290B48" w:rsidP="00A2681D">
            <w:pPr>
              <w:pStyle w:val="BoxPara"/>
              <w:rPr>
                <w:rStyle w:val="Emphasis"/>
              </w:rPr>
            </w:pPr>
            <w:r>
              <w:rPr>
                <w:rStyle w:val="Emphasis"/>
              </w:rPr>
              <w:t>"</w:t>
            </w:r>
            <w:r w:rsidR="00CC1EDD">
              <w:rPr>
                <w:rStyle w:val="Emphasis"/>
              </w:rPr>
              <w:t>Because he can't work</w:t>
            </w:r>
            <w:r w:rsidR="00854F67">
              <w:rPr>
                <w:rStyle w:val="Emphasis"/>
              </w:rPr>
              <w:t>, he thinks that he's failed me and the children so</w:t>
            </w:r>
            <w:r w:rsidR="00CC1EDD">
              <w:rPr>
                <w:rStyle w:val="Emphasis"/>
              </w:rPr>
              <w:t xml:space="preserve"> he's got a lot of anxiety and depression problem</w:t>
            </w:r>
            <w:r>
              <w:rPr>
                <w:rStyle w:val="Emphasis"/>
              </w:rPr>
              <w:t>s</w:t>
            </w:r>
            <w:r w:rsidR="00854F67">
              <w:rPr>
                <w:rStyle w:val="Emphasis"/>
              </w:rPr>
              <w:t xml:space="preserve"> and because he's got the anxiety and depression problems, I'm now on antidepressants, I feel like a bad parent</w:t>
            </w:r>
            <w:r w:rsidR="00CC1EDD">
              <w:rPr>
                <w:rStyle w:val="Emphasis"/>
              </w:rPr>
              <w:t>,</w:t>
            </w:r>
            <w:r w:rsidR="00854F67">
              <w:rPr>
                <w:rStyle w:val="Emphasis"/>
              </w:rPr>
              <w:t xml:space="preserve"> I feel like I can't contribute maybe and look after my family</w:t>
            </w:r>
            <w:r w:rsidR="009057E3">
              <w:rPr>
                <w:rStyle w:val="Emphasis"/>
              </w:rPr>
              <w:t>" - Emma,</w:t>
            </w:r>
            <w:r>
              <w:rPr>
                <w:rStyle w:val="Emphasis"/>
              </w:rPr>
              <w:t xml:space="preserve"> mother of four children caring for her partner</w:t>
            </w:r>
          </w:p>
          <w:p w14:paraId="6554D6DB" w14:textId="77777777" w:rsidR="00854F67" w:rsidRPr="0026768B" w:rsidRDefault="00854F67" w:rsidP="00193427">
            <w:pPr>
              <w:pStyle w:val="BoxPara"/>
              <w:rPr>
                <w:rStyle w:val="Emphasis"/>
              </w:rPr>
            </w:pPr>
          </w:p>
        </w:tc>
      </w:tr>
    </w:tbl>
    <w:p w14:paraId="212497E5" w14:textId="77777777" w:rsidR="00A2681D" w:rsidRDefault="00A2681D" w:rsidP="00A2681D">
      <w:pPr>
        <w:pStyle w:val="ParaforTable"/>
      </w:pPr>
    </w:p>
    <w:p w14:paraId="13E4024A" w14:textId="77777777" w:rsidR="00A2681D" w:rsidRPr="00D817E7" w:rsidRDefault="00A2681D" w:rsidP="00A2681D">
      <w:pPr>
        <w:pStyle w:val="Source"/>
        <w:rPr>
          <w:highlight w:val="yellow"/>
        </w:rPr>
      </w:pPr>
      <w:r w:rsidRPr="00D817E7">
        <w:rPr>
          <w:highlight w:val="yellow"/>
        </w:rPr>
        <w:t>Source: Claimant videos</w:t>
      </w:r>
    </w:p>
    <w:p w14:paraId="2D38900D" w14:textId="77777777" w:rsidR="00A24D77" w:rsidRPr="00A24D77" w:rsidRDefault="00A24D77" w:rsidP="00A24D77">
      <w:pPr>
        <w:pStyle w:val="Heading3"/>
      </w:pPr>
      <w:bookmarkStart w:id="48" w:name="_Toc431448"/>
      <w:r>
        <w:t>Impact on children</w:t>
      </w:r>
      <w:bookmarkEnd w:id="48"/>
    </w:p>
    <w:p w14:paraId="6DFAFAEB" w14:textId="77777777" w:rsidR="00A2681D" w:rsidRDefault="00A2681D" w:rsidP="003A3CEF">
      <w:pPr>
        <w:pStyle w:val="Para1"/>
      </w:pPr>
      <w:r>
        <w:t>CPAG stressed that the "main losers" from the benefit cap will be children.</w:t>
      </w:r>
      <w:r w:rsidR="001D6B7B">
        <w:t xml:space="preserve"> </w:t>
      </w:r>
      <w:r>
        <w:t xml:space="preserve">It cited research from the Public Policy Institute that showed </w:t>
      </w:r>
      <w:r w:rsidR="00B10CA2">
        <w:t>the benefit cap will lead to</w:t>
      </w:r>
      <w:r>
        <w:t xml:space="preserve"> 200,000 more children</w:t>
      </w:r>
      <w:r w:rsidR="00742056">
        <w:t xml:space="preserve"> living</w:t>
      </w:r>
      <w:r>
        <w:t xml:space="preserve"> in severe poverty - below 50% of the median income</w:t>
      </w:r>
      <w:r w:rsidR="00E358E0">
        <w:t>.</w:t>
      </w:r>
      <w:r w:rsidR="00D817E7">
        <w:rPr>
          <w:rStyle w:val="FootnoteReference"/>
        </w:rPr>
        <w:footnoteReference w:id="95"/>
      </w:r>
      <w:r w:rsidR="001D6B7B">
        <w:t xml:space="preserve"> </w:t>
      </w:r>
      <w:r w:rsidR="00E358E0">
        <w:t xml:space="preserve">We </w:t>
      </w:r>
      <w:r w:rsidR="00AC3B9B">
        <w:t xml:space="preserve">also </w:t>
      </w:r>
      <w:r w:rsidR="00E358E0">
        <w:t xml:space="preserve">heard that </w:t>
      </w:r>
      <w:r w:rsidR="00F31C90">
        <w:t>parents are having to cut back on healthy food and essentials.</w:t>
      </w:r>
      <w:r w:rsidR="006E4F18">
        <w:t xml:space="preserve"> </w:t>
      </w:r>
      <w:r w:rsidR="00683903">
        <w:t>In addition, w</w:t>
      </w:r>
      <w:r w:rsidR="00F31C90">
        <w:t xml:space="preserve">itnesses </w:t>
      </w:r>
      <w:r w:rsidR="00655A11">
        <w:t>told us that</w:t>
      </w:r>
      <w:r w:rsidR="00F31C90">
        <w:t xml:space="preserve"> some parents are unable to pay for school trips and </w:t>
      </w:r>
      <w:r w:rsidR="00721160">
        <w:t>activities or</w:t>
      </w:r>
      <w:r w:rsidR="00F31C90">
        <w:t xml:space="preserve"> are cutting off their internet</w:t>
      </w:r>
      <w:r w:rsidR="00655A11">
        <w:t>—</w:t>
      </w:r>
      <w:r w:rsidR="00F31C90">
        <w:t>affecting children's progress and their ability to do their work.</w:t>
      </w:r>
      <w:r w:rsidR="00D817E7">
        <w:rPr>
          <w:rStyle w:val="FootnoteReference"/>
        </w:rPr>
        <w:footnoteReference w:id="96"/>
      </w:r>
      <w:r w:rsidR="00A14B2F">
        <w:t>Sally</w:t>
      </w:r>
      <w:r w:rsidR="00066B8F">
        <w:t xml:space="preserve"> </w:t>
      </w:r>
      <w:r w:rsidR="00A14B2F">
        <w:t>told us her story.</w:t>
      </w:r>
    </w:p>
    <w:p w14:paraId="2C3F7F3E" w14:textId="77777777" w:rsidR="00A2681D" w:rsidRDefault="00A2681D" w:rsidP="00A2681D">
      <w:pPr>
        <w:pStyle w:val="Caption"/>
      </w:pPr>
      <w:r>
        <w:t xml:space="preserve">Box </w:t>
      </w:r>
      <w:r w:rsidR="00143B32">
        <w:rPr>
          <w:noProof/>
        </w:rPr>
        <w:fldChar w:fldCharType="begin"/>
      </w:r>
      <w:r w:rsidR="00143B32">
        <w:rPr>
          <w:noProof/>
        </w:rPr>
        <w:instrText xml:space="preserve"> SEQ Box \* ARABIC </w:instrText>
      </w:r>
      <w:r w:rsidR="00143B32">
        <w:rPr>
          <w:noProof/>
        </w:rPr>
        <w:fldChar w:fldCharType="separate"/>
      </w:r>
      <w:r w:rsidR="003128E1">
        <w:rPr>
          <w:noProof/>
        </w:rPr>
        <w:t>3</w:t>
      </w:r>
      <w:r w:rsidR="00143B32">
        <w:rPr>
          <w:noProof/>
        </w:rPr>
        <w:fldChar w:fldCharType="end"/>
      </w:r>
      <w:r>
        <w:t>: Sally's story</w:t>
      </w:r>
    </w:p>
    <w:tbl>
      <w:tblPr>
        <w:tblStyle w:val="Box"/>
        <w:tblW w:w="0" w:type="auto"/>
        <w:tblLook w:val="04A0" w:firstRow="1" w:lastRow="0" w:firstColumn="1" w:lastColumn="0" w:noHBand="0" w:noVBand="1"/>
      </w:tblPr>
      <w:tblGrid>
        <w:gridCol w:w="8494"/>
      </w:tblGrid>
      <w:tr w:rsidR="00A2681D" w14:paraId="19A01D88" w14:textId="77777777" w:rsidTr="007666FA">
        <w:tc>
          <w:tcPr>
            <w:tcW w:w="8494" w:type="dxa"/>
          </w:tcPr>
          <w:p w14:paraId="1B013D79" w14:textId="77777777" w:rsidR="00A2681D" w:rsidRDefault="00A2681D" w:rsidP="007666FA">
            <w:pPr>
              <w:pStyle w:val="BoxPara"/>
            </w:pPr>
            <w:r>
              <w:t>Sally</w:t>
            </w:r>
            <w:r w:rsidR="006356BD">
              <w:t>,</w:t>
            </w:r>
            <w:r w:rsidR="00DD3DBC">
              <w:t xml:space="preserve"> a single </w:t>
            </w:r>
            <w:r w:rsidR="00A14B2F">
              <w:t>mother of four</w:t>
            </w:r>
            <w:r w:rsidR="00DD3DBC">
              <w:t xml:space="preserve"> children</w:t>
            </w:r>
            <w:r w:rsidR="00A14B2F">
              <w:t xml:space="preserve"> </w:t>
            </w:r>
            <w:r w:rsidR="00DA7DF3">
              <w:t>was told she h</w:t>
            </w:r>
            <w:r>
              <w:t xml:space="preserve">ad </w:t>
            </w:r>
            <w:r w:rsidR="00C852F1">
              <w:t>thirty-nine</w:t>
            </w:r>
            <w:r>
              <w:t xml:space="preserve"> weeks to find a job</w:t>
            </w:r>
            <w:r w:rsidR="00DA7DF3">
              <w:t xml:space="preserve"> </w:t>
            </w:r>
            <w:r w:rsidR="00C852F1">
              <w:t xml:space="preserve">or she would </w:t>
            </w:r>
            <w:r w:rsidR="00DD3DBC">
              <w:t>have her benefits</w:t>
            </w:r>
            <w:r w:rsidR="00C852F1">
              <w:t xml:space="preserve"> capped, </w:t>
            </w:r>
            <w:r w:rsidR="00DA7DF3">
              <w:t>after her husband left her</w:t>
            </w:r>
            <w:r>
              <w:t>.</w:t>
            </w:r>
            <w:r w:rsidR="006E4F18">
              <w:t xml:space="preserve"> </w:t>
            </w:r>
            <w:r w:rsidR="00DA7DF3">
              <w:t xml:space="preserve">Three weeks before her rent was due she received a letter </w:t>
            </w:r>
            <w:r w:rsidR="00FE1204">
              <w:t xml:space="preserve">telling </w:t>
            </w:r>
            <w:r w:rsidR="00DA7DF3">
              <w:t>her that her Housing Benefit would be reduced to £150</w:t>
            </w:r>
            <w:r w:rsidR="006356BD">
              <w:t>.</w:t>
            </w:r>
            <w:r w:rsidR="006E4F18">
              <w:t xml:space="preserve"> </w:t>
            </w:r>
            <w:r w:rsidR="00C852F1">
              <w:t>She did not</w:t>
            </w:r>
            <w:r w:rsidR="00066B8F">
              <w:t xml:space="preserve"> have the money to pay the</w:t>
            </w:r>
            <w:r w:rsidR="00C852F1">
              <w:t xml:space="preserve"> £750 shortfall in her </w:t>
            </w:r>
            <w:r w:rsidR="00500588">
              <w:t>rent</w:t>
            </w:r>
            <w:r w:rsidR="006356BD">
              <w:t xml:space="preserve"> and quickly </w:t>
            </w:r>
            <w:r w:rsidR="00C852F1">
              <w:t>built up</w:t>
            </w:r>
            <w:r w:rsidR="006356BD">
              <w:t xml:space="preserve"> rent arrears</w:t>
            </w:r>
            <w:r w:rsidR="00DA7DF3">
              <w:t>.</w:t>
            </w:r>
            <w:r w:rsidR="006E4F18">
              <w:t xml:space="preserve"> </w:t>
            </w:r>
            <w:r w:rsidR="00DA7DF3">
              <w:t xml:space="preserve">When her ex-husband </w:t>
            </w:r>
            <w:r w:rsidR="00C852F1">
              <w:t>did not</w:t>
            </w:r>
            <w:r w:rsidR="00DA7DF3">
              <w:t xml:space="preserve"> pay </w:t>
            </w:r>
            <w:r w:rsidR="006356BD">
              <w:t xml:space="preserve">her </w:t>
            </w:r>
            <w:r w:rsidR="00DA7DF3">
              <w:t xml:space="preserve">maintenance money she </w:t>
            </w:r>
            <w:r w:rsidR="00C852F1">
              <w:t>was forced to go to a foodbank</w:t>
            </w:r>
            <w:r w:rsidR="00500588">
              <w:t xml:space="preserve"> and </w:t>
            </w:r>
            <w:r w:rsidR="00C852F1">
              <w:t>is living on £7 a day to cover the essentials for herself and her four children</w:t>
            </w:r>
            <w:r w:rsidR="006356BD">
              <w:t>.</w:t>
            </w:r>
            <w:r w:rsidR="001D6B7B">
              <w:t xml:space="preserve"> </w:t>
            </w:r>
            <w:r w:rsidR="00FE1204">
              <w:t>S</w:t>
            </w:r>
            <w:r w:rsidR="00C852F1">
              <w:t xml:space="preserve">he tried to keep the effect of the cap </w:t>
            </w:r>
            <w:r w:rsidR="00D14519">
              <w:t>away from her children</w:t>
            </w:r>
            <w:r w:rsidR="0046127B">
              <w:t xml:space="preserve">, </w:t>
            </w:r>
            <w:r w:rsidR="00046F60">
              <w:t xml:space="preserve">but this </w:t>
            </w:r>
            <w:r w:rsidR="00FE1204">
              <w:t>was</w:t>
            </w:r>
            <w:r w:rsidR="006E4F18">
              <w:t xml:space="preserve"> </w:t>
            </w:r>
            <w:r w:rsidR="00FE1204">
              <w:t>im</w:t>
            </w:r>
            <w:r w:rsidR="00046F60">
              <w:t>possible</w:t>
            </w:r>
            <w:r w:rsidR="00FE1204">
              <w:t>:</w:t>
            </w:r>
            <w:r w:rsidR="006E4F18">
              <w:t xml:space="preserve"> </w:t>
            </w:r>
            <w:r w:rsidR="00D14519">
              <w:t>she ha</w:t>
            </w:r>
            <w:r w:rsidR="00DD4605">
              <w:t>s had to move house a number of times</w:t>
            </w:r>
            <w:r w:rsidR="00FE1204">
              <w:t xml:space="preserve">, </w:t>
            </w:r>
            <w:r w:rsidR="00147514">
              <w:t>which has meant her children have had</w:t>
            </w:r>
            <w:r w:rsidR="0046127B">
              <w:t xml:space="preserve"> to move schools several times </w:t>
            </w:r>
            <w:r w:rsidR="00147514">
              <w:t>with</w:t>
            </w:r>
            <w:r w:rsidR="0046127B">
              <w:t xml:space="preserve">in a very </w:t>
            </w:r>
            <w:r w:rsidR="00046F60">
              <w:t>short time period</w:t>
            </w:r>
            <w:r w:rsidR="0046127B">
              <w:t>.</w:t>
            </w:r>
          </w:p>
        </w:tc>
      </w:tr>
    </w:tbl>
    <w:p w14:paraId="2E99A454" w14:textId="77777777" w:rsidR="00A2681D" w:rsidRDefault="00A2681D" w:rsidP="00A2681D">
      <w:pPr>
        <w:pStyle w:val="ParaforTable"/>
      </w:pPr>
    </w:p>
    <w:p w14:paraId="5741EDA6" w14:textId="77777777" w:rsidR="00A2681D" w:rsidRPr="00D817E7" w:rsidRDefault="00A2681D" w:rsidP="00B43934">
      <w:pPr>
        <w:pStyle w:val="Source"/>
        <w:rPr>
          <w:highlight w:val="yellow"/>
        </w:rPr>
      </w:pPr>
      <w:r w:rsidRPr="00D817E7">
        <w:rPr>
          <w:highlight w:val="yellow"/>
        </w:rPr>
        <w:t xml:space="preserve">Source: </w:t>
      </w:r>
      <w:r w:rsidR="00D817E7">
        <w:rPr>
          <w:highlight w:val="yellow"/>
        </w:rPr>
        <w:t>Claimant videos</w:t>
      </w:r>
    </w:p>
    <w:p w14:paraId="1746EFEB" w14:textId="77777777" w:rsidR="00587500" w:rsidRPr="00587500" w:rsidRDefault="00587500" w:rsidP="0013198B">
      <w:pPr>
        <w:pStyle w:val="Heading4"/>
      </w:pPr>
      <w:r>
        <w:t>Human rights</w:t>
      </w:r>
    </w:p>
    <w:p w14:paraId="176ED274" w14:textId="77777777" w:rsidR="00B43251" w:rsidRDefault="008E2388" w:rsidP="008E2388">
      <w:pPr>
        <w:pStyle w:val="Para1"/>
      </w:pPr>
      <w:r w:rsidRPr="008E2388">
        <w:t xml:space="preserve">Organisations including Gingerbread and CPAG </w:t>
      </w:r>
      <w:r w:rsidR="00CB7C56">
        <w:t>drew attention to</w:t>
      </w:r>
      <w:r w:rsidRPr="008E2388">
        <w:t xml:space="preserve"> the Supreme Court's </w:t>
      </w:r>
      <w:r w:rsidR="00EB5C0E">
        <w:t xml:space="preserve">2015 </w:t>
      </w:r>
      <w:r w:rsidRPr="008E2388">
        <w:t xml:space="preserve">ruling, which found </w:t>
      </w:r>
      <w:r w:rsidR="00375C41">
        <w:t xml:space="preserve">that </w:t>
      </w:r>
      <w:r w:rsidRPr="008E2388">
        <w:t>the original cap</w:t>
      </w:r>
      <w:r w:rsidR="00E667A8">
        <w:t xml:space="preserve">'s application to </w:t>
      </w:r>
      <w:r w:rsidR="00A67AD9">
        <w:t>single parents with children under two</w:t>
      </w:r>
      <w:r w:rsidRPr="008E2388">
        <w:t xml:space="preserve"> breached the UK's international obligations in relation to children under the UN Convention on the Rights of the Child</w:t>
      </w:r>
      <w:r w:rsidR="004F3A79" w:rsidRPr="004F3A79">
        <w:t xml:space="preserve"> ([2015] UKSC 16</w:t>
      </w:r>
      <w:r w:rsidR="00E30A1C">
        <w:t>)</w:t>
      </w:r>
      <w:r w:rsidRPr="008E2388">
        <w:t xml:space="preserve">.  In </w:t>
      </w:r>
      <w:r w:rsidR="00B43251">
        <w:t xml:space="preserve">her concluding statement </w:t>
      </w:r>
      <w:r w:rsidRPr="008E2388">
        <w:t>Lady Hale</w:t>
      </w:r>
      <w:r w:rsidR="0062293E">
        <w:t xml:space="preserve">, now </w:t>
      </w:r>
      <w:r w:rsidR="002F6C5F">
        <w:t>President</w:t>
      </w:r>
      <w:r w:rsidR="0062293E">
        <w:t xml:space="preserve"> of the Supreme Court</w:t>
      </w:r>
      <w:r w:rsidR="00EE5181">
        <w:t>,</w:t>
      </w:r>
      <w:r w:rsidRPr="008E2388">
        <w:t xml:space="preserve"> said</w:t>
      </w:r>
      <w:r w:rsidR="00B43251">
        <w:t>:</w:t>
      </w:r>
    </w:p>
    <w:p w14:paraId="118C7BF1" w14:textId="77777777" w:rsidR="00B43251" w:rsidRPr="00B9193A" w:rsidRDefault="00A258EE" w:rsidP="00B43251">
      <w:pPr>
        <w:pStyle w:val="Quote"/>
        <w:rPr>
          <w:rStyle w:val="Emphasis"/>
        </w:rPr>
      </w:pPr>
      <w:r w:rsidRPr="00B9193A">
        <w:rPr>
          <w:rStyle w:val="Emphasis"/>
        </w:rPr>
        <w:t>The prejudicial effect of the cap is obvious and stark. It breaks the link between benefit and need. Claimants affected by the cap will, by definition, not receive the sums of money which the State deems necessary for them adequately to house, feed, clothe and warm themselves and their children.</w:t>
      </w:r>
      <w:r w:rsidR="00375C41" w:rsidRPr="00B9193A">
        <w:rPr>
          <w:rStyle w:val="Emphasis"/>
        </w:rPr>
        <w:t xml:space="preserve"> I</w:t>
      </w:r>
      <w:r w:rsidR="008E2388" w:rsidRPr="00B9193A">
        <w:rPr>
          <w:rStyle w:val="Emphasis"/>
        </w:rPr>
        <w:t xml:space="preserve">t cannot possibly be in the best interests of children affected by the cap to deprive them of the means to provide them with adequate food, clothing, warmth and housing, the basic necessities of life. </w:t>
      </w:r>
      <w:r w:rsidR="00F82692">
        <w:rPr>
          <w:rStyle w:val="FootnoteReference"/>
          <w:i/>
          <w:iCs/>
        </w:rPr>
        <w:footnoteReference w:id="97"/>
      </w:r>
    </w:p>
    <w:p w14:paraId="007DA09A" w14:textId="77777777" w:rsidR="00132CE1" w:rsidRDefault="008E2388" w:rsidP="00132CE1">
      <w:pPr>
        <w:pStyle w:val="Para"/>
      </w:pPr>
      <w:r w:rsidRPr="008E2388">
        <w:t xml:space="preserve"> CPAG </w:t>
      </w:r>
      <w:r w:rsidR="007000AC">
        <w:t xml:space="preserve">said </w:t>
      </w:r>
      <w:r w:rsidRPr="008E2388">
        <w:t>it was "alarming" that in the light of this judgement, the decision was made to lower the cap further.</w:t>
      </w:r>
      <w:r w:rsidR="001F5217">
        <w:rPr>
          <w:rStyle w:val="FootnoteReference"/>
        </w:rPr>
        <w:footnoteReference w:id="98"/>
      </w:r>
      <w:r w:rsidRPr="008E2388">
        <w:t xml:space="preserve">  </w:t>
      </w:r>
    </w:p>
    <w:p w14:paraId="4AA4F22C" w14:textId="77777777" w:rsidR="008E2388" w:rsidRPr="008E2388" w:rsidRDefault="008E2388" w:rsidP="00132CE1">
      <w:pPr>
        <w:pStyle w:val="Para1"/>
      </w:pPr>
      <w:r w:rsidRPr="008E2388">
        <w:t xml:space="preserve">The Government successfully appealed this judgement </w:t>
      </w:r>
      <w:r w:rsidR="009C13AF">
        <w:t>in March 2018</w:t>
      </w:r>
      <w:r w:rsidR="0097725A">
        <w:t xml:space="preserve">. </w:t>
      </w:r>
      <w:r w:rsidR="00903264">
        <w:t xml:space="preserve">However, </w:t>
      </w:r>
      <w:r w:rsidR="007E30D4">
        <w:t>the case was considered again by the Supreme Court</w:t>
      </w:r>
      <w:r w:rsidRPr="008E2388">
        <w:t xml:space="preserve"> </w:t>
      </w:r>
      <w:r w:rsidR="007E30D4">
        <w:t xml:space="preserve">in </w:t>
      </w:r>
      <w:r w:rsidRPr="008E2388">
        <w:t>July 2018</w:t>
      </w:r>
      <w:r w:rsidR="00A13604">
        <w:t>,</w:t>
      </w:r>
      <w:r w:rsidRPr="008E2388">
        <w:t xml:space="preserve"> alongside a further judicial review which challenged the application of the benefit cap to all </w:t>
      </w:r>
      <w:r w:rsidR="00A01125">
        <w:t xml:space="preserve">single </w:t>
      </w:r>
      <w:r w:rsidRPr="008E2388">
        <w:t xml:space="preserve">parents </w:t>
      </w:r>
      <w:r w:rsidR="00A32E39">
        <w:t>and</w:t>
      </w:r>
      <w:r w:rsidRPr="008E2388">
        <w:t xml:space="preserve"> in particular </w:t>
      </w:r>
      <w:r w:rsidR="00A32E39">
        <w:t xml:space="preserve">to </w:t>
      </w:r>
      <w:r w:rsidRPr="008E2388">
        <w:t xml:space="preserve">lone parents with children under 5.  </w:t>
      </w:r>
      <w:r w:rsidR="00326FC7">
        <w:t>The ruling is awaited.</w:t>
      </w:r>
      <w:r w:rsidR="00B07E22">
        <w:rPr>
          <w:rStyle w:val="FootnoteReference"/>
        </w:rPr>
        <w:footnoteReference w:id="99"/>
      </w:r>
      <w:r w:rsidRPr="008E2388">
        <w:t xml:space="preserve"> </w:t>
      </w:r>
    </w:p>
    <w:p w14:paraId="43B00504" w14:textId="77777777" w:rsidR="000C43C8" w:rsidRPr="0031080C" w:rsidRDefault="000C43C8" w:rsidP="000C43C8">
      <w:pPr>
        <w:pStyle w:val="Heading2"/>
      </w:pPr>
      <w:bookmarkStart w:id="49" w:name="_Toc431449"/>
      <w:r w:rsidRPr="0031080C">
        <w:t>Monitoring the impact of the cap</w:t>
      </w:r>
      <w:bookmarkEnd w:id="49"/>
    </w:p>
    <w:p w14:paraId="52BD395A" w14:textId="77777777" w:rsidR="000C43C8" w:rsidRDefault="000C43C8" w:rsidP="000C43C8">
      <w:pPr>
        <w:pStyle w:val="Para1"/>
      </w:pPr>
      <w:r>
        <w:t>The Department's evaluation of the original higher-level cap</w:t>
      </w:r>
      <w:r w:rsidR="001D4768">
        <w:t xml:space="preserve"> (£26,000)</w:t>
      </w:r>
      <w:r>
        <w:t xml:space="preserve"> reported that most interviewees </w:t>
      </w:r>
      <w:r w:rsidR="006C340D">
        <w:t>said that</w:t>
      </w:r>
      <w:r>
        <w:t xml:space="preserve"> they were "getting by but struggling".</w:t>
      </w:r>
      <w:r w:rsidR="00D72F93">
        <w:rPr>
          <w:rStyle w:val="FootnoteReference"/>
        </w:rPr>
        <w:footnoteReference w:id="100"/>
      </w:r>
      <w:r w:rsidR="006E4F18">
        <w:t xml:space="preserve"> </w:t>
      </w:r>
      <w:r>
        <w:t xml:space="preserve">It </w:t>
      </w:r>
      <w:r w:rsidR="001D4768">
        <w:t>found</w:t>
      </w:r>
      <w:r>
        <w:t xml:space="preserve"> that people </w:t>
      </w:r>
      <w:r w:rsidR="001D4768">
        <w:t>were</w:t>
      </w:r>
      <w:r>
        <w:t xml:space="preserve"> buying less food, not paying other bills, turning down the heating and borrowing money from doorstep lenders.</w:t>
      </w:r>
      <w:r w:rsidR="006E4F18">
        <w:t xml:space="preserve"> </w:t>
      </w:r>
      <w:r>
        <w:t>Over a third (35%) of those affected by the original cap reported spending less on "household essentials".</w:t>
      </w:r>
      <w:r w:rsidR="006148DA">
        <w:rPr>
          <w:rStyle w:val="FootnoteReference"/>
        </w:rPr>
        <w:footnoteReference w:id="101"/>
      </w:r>
      <w:r w:rsidR="000133C5">
        <w:t xml:space="preserve"> </w:t>
      </w:r>
      <w:r w:rsidR="000133C5" w:rsidRPr="000133C5">
        <w:t>It is particularly concerning that despite evidence—from its own research—that the cap was causing considerable hardship for many claimants, the Government decided to lower the cap limits potentially fuelling more illegal lending and other crime.</w:t>
      </w:r>
    </w:p>
    <w:p w14:paraId="3D856B76" w14:textId="77777777" w:rsidR="000C43C8" w:rsidRDefault="000C43C8" w:rsidP="000C43C8">
      <w:pPr>
        <w:pStyle w:val="Para1"/>
      </w:pPr>
      <w:r>
        <w:t>Witnesses</w:t>
      </w:r>
      <w:r w:rsidR="00842941">
        <w:t>,</w:t>
      </w:r>
      <w:r>
        <w:t xml:space="preserve"> including CPAG</w:t>
      </w:r>
      <w:r w:rsidR="00842941">
        <w:t>,</w:t>
      </w:r>
      <w:r>
        <w:t xml:space="preserve"> </w:t>
      </w:r>
      <w:r w:rsidR="00842941">
        <w:t xml:space="preserve">expressed </w:t>
      </w:r>
      <w:r>
        <w:t>concerns that the Department h</w:t>
      </w:r>
      <w:r w:rsidR="001D4768">
        <w:t>as not published any evaluation of</w:t>
      </w:r>
      <w:r>
        <w:t xml:space="preserve"> the impact of the lower cap.</w:t>
      </w:r>
      <w:r w:rsidR="006E4F18">
        <w:t xml:space="preserve"> </w:t>
      </w:r>
      <w:r>
        <w:t xml:space="preserve">The Department told us </w:t>
      </w:r>
      <w:r w:rsidR="006C340D">
        <w:t xml:space="preserve">that </w:t>
      </w:r>
      <w:r>
        <w:t>it has commissioned the National Centre for Social Research to carry out an evaluation of the lower cap which includes a survey of capped claimants and case studies of local authority areas with jobcentre staff, local authorities and local support agencies.</w:t>
      </w:r>
      <w:r w:rsidR="006E4F18">
        <w:t xml:space="preserve"> </w:t>
      </w:r>
      <w:r>
        <w:t>It plans to publish this evaluation in Spring 2019.</w:t>
      </w:r>
      <w:r>
        <w:rPr>
          <w:rStyle w:val="FootnoteReference"/>
        </w:rPr>
        <w:footnoteReference w:id="102"/>
      </w:r>
      <w:r w:rsidR="006E4F18">
        <w:t xml:space="preserve"> </w:t>
      </w:r>
    </w:p>
    <w:p w14:paraId="20631A1A" w14:textId="77777777" w:rsidR="00D96366" w:rsidRPr="008E1C40" w:rsidRDefault="00D96366" w:rsidP="000C43C8">
      <w:pPr>
        <w:pStyle w:val="Para1"/>
      </w:pPr>
      <w:r>
        <w:t xml:space="preserve">This is all the more </w:t>
      </w:r>
      <w:r w:rsidR="00434AA4">
        <w:t xml:space="preserve">concerning given that </w:t>
      </w:r>
      <w:r w:rsidR="007108F9">
        <w:t>even without the cap, benefit</w:t>
      </w:r>
      <w:r w:rsidR="00ED1DED">
        <w:t xml:space="preserve"> claimants have seen </w:t>
      </w:r>
      <w:r w:rsidR="00EA0C28">
        <w:t xml:space="preserve">reductions in the value of their income </w:t>
      </w:r>
      <w:r w:rsidR="00434AA4">
        <w:t xml:space="preserve">due to </w:t>
      </w:r>
      <w:r w:rsidR="00434AA4" w:rsidRPr="008E1C40">
        <w:t>various caps and freezes to benefits and tax credits since 2010</w:t>
      </w:r>
      <w:r w:rsidR="00EA0C28">
        <w:t>.  Th</w:t>
      </w:r>
      <w:r w:rsidR="001D46E1">
        <w:t>is</w:t>
      </w:r>
      <w:r w:rsidR="00434AA4" w:rsidRPr="008E1C40">
        <w:t xml:space="preserve"> will have reduced the real incomes of out-of-work households by at least 5.7% by 2019</w:t>
      </w:r>
      <w:r w:rsidR="001D46E1">
        <w:t>-</w:t>
      </w:r>
      <w:r w:rsidR="00434AA4" w:rsidRPr="008E1C40">
        <w:t>20 compared to a 19.6% increase in average earnings</w:t>
      </w:r>
      <w:r w:rsidR="001D46E1">
        <w:t xml:space="preserve"> for working households</w:t>
      </w:r>
      <w:r w:rsidR="003F0224" w:rsidRPr="008E1C40">
        <w:t>.</w:t>
      </w:r>
      <w:r w:rsidR="003D4FD6">
        <w:t xml:space="preserve"> </w:t>
      </w:r>
      <w:r w:rsidR="00F02F29">
        <w:rPr>
          <w:rStyle w:val="FootnoteReference"/>
        </w:rPr>
        <w:footnoteReference w:id="103"/>
      </w:r>
      <w:r w:rsidR="003D4FD6">
        <w:t xml:space="preserve"> The Committee heard that </w:t>
      </w:r>
      <w:r w:rsidR="00734813" w:rsidRPr="00734813">
        <w:t xml:space="preserve">the freeze to working-age benefits has reduced household resilience to income and expenditure shocks, and left households at </w:t>
      </w:r>
      <w:r w:rsidR="00122511">
        <w:t xml:space="preserve">greater </w:t>
      </w:r>
      <w:r w:rsidR="00734813" w:rsidRPr="00734813">
        <w:t>risk of destitution</w:t>
      </w:r>
      <w:r w:rsidR="00F02F29">
        <w:t>.</w:t>
      </w:r>
      <w:r w:rsidR="00122511">
        <w:rPr>
          <w:rStyle w:val="FootnoteReference"/>
        </w:rPr>
        <w:footnoteReference w:id="104"/>
      </w:r>
    </w:p>
    <w:p w14:paraId="16C9F11D" w14:textId="77777777" w:rsidR="00F63022" w:rsidRDefault="00F63022" w:rsidP="00F63022">
      <w:pPr>
        <w:pStyle w:val="Heading3"/>
      </w:pPr>
      <w:bookmarkStart w:id="50" w:name="_Toc431450"/>
      <w:r>
        <w:t>Reassessing the cap limits</w:t>
      </w:r>
      <w:bookmarkEnd w:id="50"/>
    </w:p>
    <w:p w14:paraId="5C3397E3" w14:textId="77777777" w:rsidR="00F63022" w:rsidRDefault="00F63022" w:rsidP="00F63022">
      <w:pPr>
        <w:pStyle w:val="Para1"/>
      </w:pPr>
      <w:r>
        <w:t>The Minister told us the benefit cap limits must be reviewed by the Secretary of State at least once every Parliament. In correspondence he set out that the Department plans to publish its evaluation of the lower cap in Spring 2019, and said, "the level of the cap will be reviewed in due course following the publication and in the fullness of this Parliament".</w:t>
      </w:r>
      <w:r>
        <w:rPr>
          <w:rStyle w:val="FootnoteReference"/>
        </w:rPr>
        <w:footnoteReference w:id="105"/>
      </w:r>
      <w:r>
        <w:t xml:space="preserve"> </w:t>
      </w:r>
    </w:p>
    <w:p w14:paraId="146BB2DF" w14:textId="77777777" w:rsidR="00457EA6" w:rsidRPr="00457EA6" w:rsidRDefault="00457EA6" w:rsidP="00457EA6">
      <w:pPr>
        <w:pStyle w:val="Para1"/>
        <w:rPr>
          <w:rStyle w:val="Conclusion"/>
          <w:highlight w:val="yellow"/>
        </w:rPr>
      </w:pPr>
      <w:bookmarkStart w:id="51" w:name="_Toc431451"/>
      <w:r w:rsidRPr="00457EA6">
        <w:rPr>
          <w:rStyle w:val="Conclusion"/>
        </w:rPr>
        <w:t>The Department decides whether people are entitled to benefits, and how much it thinks they need to live on. It is therefore inevitable that the benefit cap, which takes some of that money away, leaves many families without enough money to meet even their basic needs. Parents are left making impossible choices: whether to pay their rent, feed their children or heat their homes. Many experience stress and anxiety because of mounting debt and insecurity; we even heard cases of relationships breaking down and in some cases families losing their homes. Bluntly, the Government's policy is plunging families into hardship—but it is only just beginning to consider the impact. It last looked at this in 2014 when the cap was set at £26,000. Its next evaluation of the impact of the cap will be published in spring 2019—more than two years after the lower cap was introduced. Given the backdrop of various caps and freezes to benefits and tax credits since 2010, which mean that even without the cap, benefit claimants have been significantly left behind—real incomes of out-of-work households will have reduced by at least 5.7% by 2020 compared to a 19.6% increase in average earnings—a competent Department must surely recognise that assessing the impact of the cap every 5 years is unacceptable.</w:t>
      </w:r>
    </w:p>
    <w:p w14:paraId="02B9DD9F" w14:textId="77777777" w:rsidR="00457EA6" w:rsidRPr="00457EA6" w:rsidRDefault="00457EA6" w:rsidP="00457EA6">
      <w:pPr>
        <w:pStyle w:val="Para1"/>
        <w:rPr>
          <w:rStyle w:val="Recommendation"/>
        </w:rPr>
      </w:pPr>
      <w:r w:rsidRPr="00457EA6">
        <w:rPr>
          <w:rStyle w:val="Recommendation"/>
        </w:rPr>
        <w:t>In order to ensure that families do not face hardship because of the cap, the Department should:</w:t>
      </w:r>
    </w:p>
    <w:p w14:paraId="2F77D09D" w14:textId="77777777" w:rsidR="00457EA6" w:rsidRPr="00457EA6" w:rsidRDefault="00457EA6" w:rsidP="00457EA6">
      <w:pPr>
        <w:pStyle w:val="UnorderedList1"/>
        <w:rPr>
          <w:rStyle w:val="Recommendation"/>
        </w:rPr>
      </w:pPr>
      <w:r w:rsidRPr="00457EA6">
        <w:rPr>
          <w:rStyle w:val="Recommendation"/>
        </w:rPr>
        <w:t>Establish methods to continuously monitor financial hardship, including whether capped households are accruing rent arrears, getting into debt, or going without essentials such as adequate food or heating;</w:t>
      </w:r>
    </w:p>
    <w:p w14:paraId="228AE531" w14:textId="77777777" w:rsidR="00457EA6" w:rsidRPr="00457EA6" w:rsidRDefault="00457EA6" w:rsidP="00457EA6">
      <w:pPr>
        <w:pStyle w:val="UnorderedList1"/>
        <w:rPr>
          <w:rStyle w:val="Recommendation"/>
        </w:rPr>
      </w:pPr>
      <w:r w:rsidRPr="00457EA6">
        <w:rPr>
          <w:rStyle w:val="Recommendation"/>
        </w:rPr>
        <w:t>Collect regular feedback about how the cap is working in practice from local authorities and from other organisations who work with capped families; and</w:t>
      </w:r>
    </w:p>
    <w:p w14:paraId="45873E3A" w14:textId="77777777" w:rsidR="00457EA6" w:rsidRPr="00457EA6" w:rsidRDefault="00457EA6" w:rsidP="00457EA6">
      <w:pPr>
        <w:pStyle w:val="UnorderedList1"/>
        <w:rPr>
          <w:rStyle w:val="Recommendation"/>
        </w:rPr>
      </w:pPr>
      <w:r w:rsidRPr="00457EA6">
        <w:rPr>
          <w:rStyle w:val="Recommendation"/>
        </w:rPr>
        <w:t>Use this information, alongside its review of Discretionary Housing Payments, to ensure that an adequate safety net is in place to address any challenges it identifies.</w:t>
      </w:r>
    </w:p>
    <w:p w14:paraId="706AFE1A" w14:textId="77777777" w:rsidR="00C16A41" w:rsidRDefault="00C16A41" w:rsidP="00C16A41">
      <w:pPr>
        <w:pStyle w:val="Heading2"/>
      </w:pPr>
      <w:r>
        <w:t xml:space="preserve">Temporary </w:t>
      </w:r>
      <w:r w:rsidR="006D09B6">
        <w:t>a</w:t>
      </w:r>
      <w:r>
        <w:t>ccommodation</w:t>
      </w:r>
      <w:bookmarkEnd w:id="51"/>
    </w:p>
    <w:p w14:paraId="53A30CC7" w14:textId="77777777" w:rsidR="00C16A41" w:rsidRDefault="00C16A41" w:rsidP="00257983">
      <w:pPr>
        <w:pStyle w:val="Para1"/>
      </w:pPr>
      <w:r>
        <w:t>Local authorities often use more expensive temporary accommodation to house homeless households. Research by Shelter Scotland showed that temporary accommodation can be 282% higher than the local housing allowance rate.</w:t>
      </w:r>
      <w:r>
        <w:rPr>
          <w:rStyle w:val="FootnoteReference"/>
        </w:rPr>
        <w:footnoteReference w:id="106"/>
      </w:r>
      <w:r>
        <w:t xml:space="preserve"> </w:t>
      </w:r>
      <w:r w:rsidR="00BD7BA6" w:rsidRPr="00BD7BA6">
        <w:t xml:space="preserve">In its 2014 report, </w:t>
      </w:r>
      <w:r w:rsidR="00BD7BA6" w:rsidRPr="00BD7BA6">
        <w:rPr>
          <w:rStyle w:val="Emphasis"/>
        </w:rPr>
        <w:t>Support for Housing Costs in a Reformed Welfare System</w:t>
      </w:r>
      <w:r w:rsidR="00BD7BA6" w:rsidRPr="00BD7BA6">
        <w:t xml:space="preserve">, our predecessor </w:t>
      </w:r>
      <w:r w:rsidR="006B1C37">
        <w:t>C</w:t>
      </w:r>
      <w:r w:rsidR="00BD7BA6">
        <w:t xml:space="preserve">ommittee </w:t>
      </w:r>
      <w:r w:rsidR="00BD7BA6" w:rsidRPr="00BD7BA6">
        <w:t xml:space="preserve">called on the Government to exempt households in temporary accommodation from the cap on the basis that </w:t>
      </w:r>
      <w:r w:rsidR="00BE3DD9">
        <w:t>"</w:t>
      </w:r>
      <w:r w:rsidR="00BD7BA6" w:rsidRPr="00BD7BA6">
        <w:t>these claimants have no choice about where they are housed and few options for reducing their housing costs.</w:t>
      </w:r>
      <w:r w:rsidR="00BE3DD9">
        <w:t>"</w:t>
      </w:r>
      <w:r w:rsidR="00BD7BA6" w:rsidRPr="00BD7BA6">
        <w:rPr>
          <w:rStyle w:val="FootnoteReference"/>
        </w:rPr>
        <w:footnoteReference w:id="107"/>
      </w:r>
      <w:r w:rsidR="00BD7BA6" w:rsidRPr="00BD7BA6">
        <w:t xml:space="preserve"> </w:t>
      </w:r>
      <w:r w:rsidR="00BD7BA6">
        <w:t>Evidence to our inquiry reiterated this argument</w:t>
      </w:r>
      <w:r>
        <w:t>.</w:t>
      </w:r>
      <w:r w:rsidR="006E4F18">
        <w:t xml:space="preserve"> </w:t>
      </w:r>
      <w:r>
        <w:t xml:space="preserve">We also heard that households who attempt to move elsewhere to escape the cap risk homelessness as they may be </w:t>
      </w:r>
      <w:r w:rsidR="00772565">
        <w:t xml:space="preserve">deemed to be </w:t>
      </w:r>
      <w:r>
        <w:t>intentionally homeless and the</w:t>
      </w:r>
      <w:r w:rsidR="00772565">
        <w:t>y would lose</w:t>
      </w:r>
      <w:r>
        <w:t xml:space="preserve"> priority </w:t>
      </w:r>
      <w:r w:rsidR="00772565">
        <w:t>for housing</w:t>
      </w:r>
      <w:r>
        <w:t>.</w:t>
      </w:r>
      <w:r w:rsidR="006E4F18">
        <w:t xml:space="preserve"> </w:t>
      </w:r>
      <w:r w:rsidR="001D4768">
        <w:rPr>
          <w:rStyle w:val="FootnoteReference"/>
        </w:rPr>
        <w:footnoteReference w:id="108"/>
      </w:r>
    </w:p>
    <w:p w14:paraId="3F4C6F66" w14:textId="77777777" w:rsidR="00C16A41" w:rsidRDefault="00C16A41" w:rsidP="00C16A41">
      <w:pPr>
        <w:pStyle w:val="Caption"/>
      </w:pPr>
      <w:r>
        <w:t xml:space="preserve">Box </w:t>
      </w:r>
      <w:r w:rsidR="00143B32">
        <w:rPr>
          <w:noProof/>
        </w:rPr>
        <w:fldChar w:fldCharType="begin"/>
      </w:r>
      <w:r w:rsidR="00143B32">
        <w:rPr>
          <w:noProof/>
        </w:rPr>
        <w:instrText xml:space="preserve"> SEQ Box \* ARABIC </w:instrText>
      </w:r>
      <w:r w:rsidR="00143B32">
        <w:rPr>
          <w:noProof/>
        </w:rPr>
        <w:fldChar w:fldCharType="separate"/>
      </w:r>
      <w:r w:rsidR="003128E1">
        <w:rPr>
          <w:noProof/>
        </w:rPr>
        <w:t>4</w:t>
      </w:r>
      <w:r w:rsidR="00143B32">
        <w:rPr>
          <w:noProof/>
        </w:rPr>
        <w:fldChar w:fldCharType="end"/>
      </w:r>
      <w:r>
        <w:t>: Jo's story</w:t>
      </w:r>
    </w:p>
    <w:tbl>
      <w:tblPr>
        <w:tblStyle w:val="Box"/>
        <w:tblW w:w="0" w:type="auto"/>
        <w:tblLook w:val="04A0" w:firstRow="1" w:lastRow="0" w:firstColumn="1" w:lastColumn="0" w:noHBand="0" w:noVBand="1"/>
      </w:tblPr>
      <w:tblGrid>
        <w:gridCol w:w="8494"/>
      </w:tblGrid>
      <w:tr w:rsidR="00C16A41" w14:paraId="12782EBB" w14:textId="77777777" w:rsidTr="0060300D">
        <w:trPr>
          <w:trHeight w:val="1692"/>
        </w:trPr>
        <w:tc>
          <w:tcPr>
            <w:tcW w:w="8494" w:type="dxa"/>
          </w:tcPr>
          <w:p w14:paraId="725A6F99" w14:textId="77777777" w:rsidR="00C16A41" w:rsidRDefault="00C16A41" w:rsidP="00B72FCA">
            <w:pPr>
              <w:pStyle w:val="BoxPara"/>
            </w:pPr>
            <w:r>
              <w:t>Jo was in temporary accommodation when she was affected by the benefit cap.</w:t>
            </w:r>
            <w:r w:rsidR="006E4F18">
              <w:t xml:space="preserve"> </w:t>
            </w:r>
            <w:r>
              <w:t xml:space="preserve">The cap meant </w:t>
            </w:r>
            <w:r w:rsidR="006B1C37">
              <w:t xml:space="preserve">that </w:t>
            </w:r>
            <w:r w:rsidR="00FF4E61">
              <w:t>Jo</w:t>
            </w:r>
            <w:r>
              <w:t xml:space="preserve"> </w:t>
            </w:r>
            <w:r w:rsidR="0060300D">
              <w:t>needed to find</w:t>
            </w:r>
            <w:r w:rsidR="00EC4E84">
              <w:t xml:space="preserve"> </w:t>
            </w:r>
            <w:r>
              <w:t>£117</w:t>
            </w:r>
            <w:r w:rsidR="0060300D">
              <w:t xml:space="preserve"> a week</w:t>
            </w:r>
            <w:r>
              <w:t xml:space="preserve"> to cover the shortfall in </w:t>
            </w:r>
            <w:r w:rsidR="0060300D">
              <w:t>her rent</w:t>
            </w:r>
            <w:r w:rsidR="00582518">
              <w:t>,</w:t>
            </w:r>
            <w:r w:rsidR="0060300D">
              <w:t xml:space="preserve"> which was</w:t>
            </w:r>
            <w:r>
              <w:t xml:space="preserve"> £330 </w:t>
            </w:r>
            <w:r w:rsidR="00174AA8">
              <w:t>a</w:t>
            </w:r>
            <w:r>
              <w:t xml:space="preserve"> week in total.</w:t>
            </w:r>
            <w:r w:rsidR="006E4F18">
              <w:t xml:space="preserve"> </w:t>
            </w:r>
            <w:r>
              <w:t>She went from being in credit with her rent to being in £400 of rent arrears within 3 weeks of the cap setting in.</w:t>
            </w:r>
            <w:r w:rsidR="006E4F18">
              <w:t xml:space="preserve"> </w:t>
            </w:r>
            <w:r w:rsidR="00FF4E61">
              <w:t>Jo</w:t>
            </w:r>
            <w:r>
              <w:t xml:space="preserve"> lost her home and was transferred to different temp</w:t>
            </w:r>
            <w:r w:rsidR="0060300D">
              <w:t>orary accommodation, which she has</w:t>
            </w:r>
            <w:r>
              <w:t xml:space="preserve"> been in for 8 years, resulting in thousands of pounds of debt.</w:t>
            </w:r>
            <w:r w:rsidR="006E4F18">
              <w:t xml:space="preserve"> </w:t>
            </w:r>
            <w:r>
              <w:t>The stress of being in debt led to mental health problems that meant she struggled to leave the house</w:t>
            </w:r>
            <w:r w:rsidR="0060300D">
              <w:t xml:space="preserve"> and was sectioned at one point</w:t>
            </w:r>
            <w:r>
              <w:t>.</w:t>
            </w:r>
            <w:r w:rsidR="001D6B7B">
              <w:t xml:space="preserve"> </w:t>
            </w:r>
            <w:r>
              <w:t xml:space="preserve">Jo </w:t>
            </w:r>
            <w:r w:rsidR="00634F54">
              <w:t>told us that</w:t>
            </w:r>
            <w:r>
              <w:t xml:space="preserve"> her decision to return to work</w:t>
            </w:r>
            <w:r w:rsidR="001D4768">
              <w:t>,</w:t>
            </w:r>
            <w:r>
              <w:t xml:space="preserve"> for her own mental health, has actually left her worse off and in even more debt.</w:t>
            </w:r>
            <w:r w:rsidR="006E4F18">
              <w:t xml:space="preserve"> </w:t>
            </w:r>
          </w:p>
        </w:tc>
      </w:tr>
    </w:tbl>
    <w:p w14:paraId="27A57003" w14:textId="77777777" w:rsidR="00C16A41" w:rsidRDefault="00C16A41" w:rsidP="00C16A41">
      <w:pPr>
        <w:pStyle w:val="ParaforTable"/>
      </w:pPr>
    </w:p>
    <w:p w14:paraId="10C6DFC9" w14:textId="77777777" w:rsidR="00C16A41" w:rsidRPr="006B25A2" w:rsidRDefault="00C16A41" w:rsidP="00C16A41">
      <w:pPr>
        <w:pStyle w:val="Source"/>
        <w:rPr>
          <w:highlight w:val="yellow"/>
        </w:rPr>
      </w:pPr>
      <w:r w:rsidRPr="006B25A2">
        <w:rPr>
          <w:highlight w:val="yellow"/>
        </w:rPr>
        <w:t xml:space="preserve">Source: </w:t>
      </w:r>
      <w:r w:rsidR="006B25A2" w:rsidRPr="006B25A2">
        <w:rPr>
          <w:highlight w:val="yellow"/>
        </w:rPr>
        <w:t>Benefit cap; claimant videos</w:t>
      </w:r>
    </w:p>
    <w:p w14:paraId="3883DA71" w14:textId="77777777" w:rsidR="00B41590" w:rsidRPr="00B41590" w:rsidRDefault="00B41590" w:rsidP="00B41590">
      <w:pPr>
        <w:pStyle w:val="Heading3"/>
      </w:pPr>
      <w:bookmarkStart w:id="52" w:name="_Toc431452"/>
      <w:r>
        <w:t>Department's rationale for capping households in temporary accommodation</w:t>
      </w:r>
      <w:bookmarkEnd w:id="52"/>
    </w:p>
    <w:p w14:paraId="355FF246" w14:textId="77777777" w:rsidR="00FF4E61" w:rsidRDefault="00FF4E61" w:rsidP="00FC4F3E">
      <w:pPr>
        <w:pStyle w:val="Para1"/>
      </w:pPr>
      <w:r>
        <w:t>When asked why the Government would not exclude households in temporary accommodation from the cap</w:t>
      </w:r>
      <w:r w:rsidR="00C16A41">
        <w:t>,</w:t>
      </w:r>
      <w:r>
        <w:t xml:space="preserve"> the Minister </w:t>
      </w:r>
      <w:r w:rsidR="00DB6FD0">
        <w:t>said</w:t>
      </w:r>
      <w:r>
        <w:t>:</w:t>
      </w:r>
    </w:p>
    <w:p w14:paraId="3CDE3D5F" w14:textId="77777777" w:rsidR="00FF4E61" w:rsidRPr="002D45D1" w:rsidRDefault="00C16A41" w:rsidP="00FF4E61">
      <w:pPr>
        <w:pStyle w:val="Quote"/>
        <w:rPr>
          <w:rStyle w:val="Emphasis"/>
        </w:rPr>
      </w:pPr>
      <w:r>
        <w:t xml:space="preserve"> </w:t>
      </w:r>
      <w:r w:rsidRPr="002D45D1">
        <w:rPr>
          <w:rStyle w:val="Emphasis"/>
        </w:rPr>
        <w:t>Because it is only meant to be temporary by nature.</w:t>
      </w:r>
      <w:r w:rsidR="006E4F18">
        <w:rPr>
          <w:rStyle w:val="Emphasis"/>
        </w:rPr>
        <w:t xml:space="preserve"> </w:t>
      </w:r>
      <w:r w:rsidRPr="002D45D1">
        <w:rPr>
          <w:rStyle w:val="Emphasis"/>
        </w:rPr>
        <w:t>It keeps all the organisations, plus that household, focused on looking for the long-term solution.</w:t>
      </w:r>
      <w:r w:rsidR="00E835D0">
        <w:rPr>
          <w:rStyle w:val="FootnoteReference"/>
          <w:i/>
          <w:iCs/>
        </w:rPr>
        <w:footnoteReference w:id="109"/>
      </w:r>
      <w:r w:rsidR="006E4F18">
        <w:rPr>
          <w:rStyle w:val="Emphasis"/>
        </w:rPr>
        <w:t xml:space="preserve"> </w:t>
      </w:r>
    </w:p>
    <w:p w14:paraId="5BB33ABC" w14:textId="77777777" w:rsidR="00C16A41" w:rsidRDefault="00B41590" w:rsidP="00FF4E61">
      <w:pPr>
        <w:pStyle w:val="Para"/>
      </w:pPr>
      <w:r>
        <w:t xml:space="preserve">He </w:t>
      </w:r>
      <w:r w:rsidR="00DB6FD0">
        <w:t xml:space="preserve">argued </w:t>
      </w:r>
      <w:r>
        <w:t>that households in temporary accommodation should be supported by Discretionary Housing Payments (DHPs)</w:t>
      </w:r>
      <w:r w:rsidR="00207C12">
        <w:t>—</w:t>
      </w:r>
      <w:r>
        <w:t>funding provided to local authorities to help claimants who struggle to adjust to the cap.</w:t>
      </w:r>
      <w:r w:rsidR="00E835D0">
        <w:rPr>
          <w:rStyle w:val="FootnoteReference"/>
        </w:rPr>
        <w:footnoteReference w:id="110"/>
      </w:r>
      <w:r w:rsidR="00056C57">
        <w:t xml:space="preserve"> </w:t>
      </w:r>
      <w:r w:rsidR="00056C57" w:rsidRPr="0097590F">
        <w:t>The Minister confirmed in correspondence that the Department has not conducted any analysis on the impact of</w:t>
      </w:r>
      <w:r w:rsidR="002A7D71" w:rsidRPr="0097590F">
        <w:t xml:space="preserve"> temporary accommodation on a claimant's ability </w:t>
      </w:r>
      <w:r w:rsidR="003A4F0D" w:rsidRPr="0097590F">
        <w:t>to move into work.</w:t>
      </w:r>
      <w:r w:rsidR="00AA7F24" w:rsidRPr="0097590F">
        <w:rPr>
          <w:rStyle w:val="FootnoteReference"/>
        </w:rPr>
        <w:footnoteReference w:id="111"/>
      </w:r>
      <w:r w:rsidR="003A4F0D" w:rsidRPr="0097590F">
        <w:t xml:space="preserve"> </w:t>
      </w:r>
    </w:p>
    <w:p w14:paraId="1C2D76C0" w14:textId="77777777" w:rsidR="005676D5" w:rsidRPr="005676D5" w:rsidRDefault="005676D5" w:rsidP="005676D5">
      <w:pPr>
        <w:pStyle w:val="Para1"/>
        <w:rPr>
          <w:rStyle w:val="Conclusion"/>
        </w:rPr>
      </w:pPr>
      <w:bookmarkStart w:id="53" w:name="_Toc431453"/>
      <w:r w:rsidRPr="005676D5">
        <w:rPr>
          <w:rStyle w:val="Conclusion"/>
        </w:rPr>
        <w:t>We stand by our predecessor Committee's conclusion in 2014 that capped claimants in temporary accommodation are immediately put at a disadvantage: they are placed in expensive accommodation over which they have no choice. We do not agree with the Government's argument that the cap should continue to apply to these households simply because it maintains pressure on local authorities to find a long-term solution. It is clearly not the claimant’s fault that their accommodation is significantly more expensive, so it seems ludicrous to apply the cap in these circumstances.</w:t>
      </w:r>
    </w:p>
    <w:p w14:paraId="17316FF4" w14:textId="77777777" w:rsidR="005676D5" w:rsidRPr="005676D5" w:rsidRDefault="005676D5" w:rsidP="005676D5">
      <w:pPr>
        <w:pStyle w:val="Para1"/>
        <w:rPr>
          <w:rStyle w:val="Recommendation"/>
        </w:rPr>
      </w:pPr>
      <w:r w:rsidRPr="005676D5">
        <w:rPr>
          <w:rStyle w:val="Recommendation"/>
        </w:rPr>
        <w:t>We recommend that the Government immediately exempts all claimants in temporary accommodation from the benefit cap.</w:t>
      </w:r>
    </w:p>
    <w:p w14:paraId="5EA0B310" w14:textId="77777777" w:rsidR="00C16A41" w:rsidRDefault="00183A5E" w:rsidP="00C16A41">
      <w:pPr>
        <w:pStyle w:val="Heading2"/>
      </w:pPr>
      <w:r>
        <w:t>UC</w:t>
      </w:r>
      <w:r w:rsidR="00C16A41" w:rsidRPr="001F250F">
        <w:t xml:space="preserve"> claimants</w:t>
      </w:r>
      <w:bookmarkEnd w:id="53"/>
    </w:p>
    <w:p w14:paraId="56025B55" w14:textId="77777777" w:rsidR="00C16A41" w:rsidRDefault="005623A0" w:rsidP="00C16A41">
      <w:pPr>
        <w:pStyle w:val="Para1"/>
      </w:pPr>
      <w:r>
        <w:t>Organisations including</w:t>
      </w:r>
      <w:r w:rsidR="00C16A41">
        <w:t xml:space="preserve"> CPAG and London Councils </w:t>
      </w:r>
      <w:r>
        <w:t>explained</w:t>
      </w:r>
      <w:r w:rsidR="00C16A41">
        <w:t xml:space="preserve"> that the way</w:t>
      </w:r>
      <w:r w:rsidR="007435A6">
        <w:t xml:space="preserve"> the benefit cap is applied in</w:t>
      </w:r>
      <w:r w:rsidR="00C16A41">
        <w:t xml:space="preserve"> </w:t>
      </w:r>
      <w:r w:rsidR="00183A5E">
        <w:t>UC</w:t>
      </w:r>
      <w:r w:rsidR="00C16A41">
        <w:t xml:space="preserve">—to the </w:t>
      </w:r>
      <w:r w:rsidR="007435A6">
        <w:t>overall</w:t>
      </w:r>
      <w:r w:rsidR="00C16A41">
        <w:t xml:space="preserve"> award, not solely </w:t>
      </w:r>
      <w:r w:rsidR="007435A6">
        <w:t>to a household</w:t>
      </w:r>
      <w:r w:rsidR="00A337AC">
        <w:t>'</w:t>
      </w:r>
      <w:r w:rsidR="007435A6">
        <w:t>s housing costs</w:t>
      </w:r>
      <w:r w:rsidR="00C16A41">
        <w:t>—can leave households in "even more severe hardship" as it can go "deeper into your benefits including benefits that were expected for children".</w:t>
      </w:r>
      <w:r w:rsidR="00C16A41">
        <w:rPr>
          <w:rStyle w:val="FootnoteReference"/>
        </w:rPr>
        <w:footnoteReference w:id="112"/>
      </w:r>
      <w:r w:rsidR="006E4F18">
        <w:t xml:space="preserve"> </w:t>
      </w:r>
      <w:r w:rsidR="005D0491">
        <w:t xml:space="preserve">If the amount a household is to be capped exceeds their housing costs, the cap can then eat into other parts of a claimant's award such as their standard allowance, </w:t>
      </w:r>
      <w:r w:rsidR="003F1500">
        <w:t xml:space="preserve">as well as </w:t>
      </w:r>
      <w:r w:rsidR="005D0491">
        <w:t>chil</w:t>
      </w:r>
      <w:r w:rsidR="003F1500">
        <w:t>d</w:t>
      </w:r>
      <w:r w:rsidR="005D0491">
        <w:t xml:space="preserve"> and disability elements.</w:t>
      </w:r>
      <w:r w:rsidR="00C16A41">
        <w:t xml:space="preserve"> </w:t>
      </w:r>
      <w:r w:rsidR="005718DE">
        <w:t>Jos</w:t>
      </w:r>
      <w:r w:rsidR="007817E7">
        <w:t>ephine</w:t>
      </w:r>
      <w:r w:rsidR="00DC7F0C">
        <w:t xml:space="preserve"> </w:t>
      </w:r>
      <w:r w:rsidR="005718DE">
        <w:t>Tucker</w:t>
      </w:r>
      <w:r w:rsidR="00950F27">
        <w:t xml:space="preserve"> </w:t>
      </w:r>
      <w:r w:rsidR="00A82DD4">
        <w:t xml:space="preserve">of CPAG </w:t>
      </w:r>
      <w:r w:rsidR="00950F27">
        <w:t>noted that if claimants had other deductions</w:t>
      </w:r>
      <w:r w:rsidR="00991559">
        <w:t>—</w:t>
      </w:r>
      <w:r w:rsidR="00950F27">
        <w:t xml:space="preserve">such as </w:t>
      </w:r>
      <w:r w:rsidR="00991559">
        <w:t>repayments of A</w:t>
      </w:r>
      <w:r w:rsidR="00950F27">
        <w:t>dvance</w:t>
      </w:r>
      <w:r w:rsidR="00991559">
        <w:t>s—</w:t>
      </w:r>
      <w:r w:rsidR="00950F27">
        <w:t xml:space="preserve">in place, their income could be even further reduced as </w:t>
      </w:r>
      <w:r w:rsidR="00877129">
        <w:t>deductions</w:t>
      </w:r>
      <w:r w:rsidR="00950F27">
        <w:t xml:space="preserve"> are applied after the cap has been calculated.</w:t>
      </w:r>
      <w:r w:rsidR="00950F27">
        <w:rPr>
          <w:rStyle w:val="FootnoteReference"/>
        </w:rPr>
        <w:footnoteReference w:id="113"/>
      </w:r>
      <w:r w:rsidR="00C16A41">
        <w:t xml:space="preserve"> The Department </w:t>
      </w:r>
      <w:r w:rsidR="001B123F">
        <w:t>explained</w:t>
      </w:r>
      <w:r w:rsidR="00C16A41">
        <w:t xml:space="preserve"> that the original approach of only capping a household's Housing Benefit under the legacy system was "a bit of a stopgap", and that the way the cap is operating under </w:t>
      </w:r>
      <w:r w:rsidR="00183A5E">
        <w:t>UC</w:t>
      </w:r>
      <w:r w:rsidR="00C16A41">
        <w:t xml:space="preserve"> is "delivering the policy intent".</w:t>
      </w:r>
      <w:r w:rsidR="00C16A41">
        <w:rPr>
          <w:rStyle w:val="FootnoteReference"/>
        </w:rPr>
        <w:footnoteReference w:id="114"/>
      </w:r>
    </w:p>
    <w:p w14:paraId="38655FE2" w14:textId="77777777" w:rsidR="00C16A41" w:rsidRDefault="00C16A41" w:rsidP="00C16A41">
      <w:pPr>
        <w:pStyle w:val="Para1"/>
      </w:pPr>
      <w:r>
        <w:t xml:space="preserve">Claire Horton, </w:t>
      </w:r>
      <w:r w:rsidR="005623A0">
        <w:t xml:space="preserve">Service Improvement Lead </w:t>
      </w:r>
      <w:r>
        <w:t>for Newcastle City Council</w:t>
      </w:r>
      <w:r w:rsidR="00784768">
        <w:t>,</w:t>
      </w:r>
      <w:r>
        <w:t xml:space="preserve"> said that "because </w:t>
      </w:r>
      <w:r w:rsidR="00877129">
        <w:t>[UC]</w:t>
      </w:r>
      <w:r>
        <w:t xml:space="preserve"> is eating into the personal allowance as well, not just the housing costs it can really go wrong".</w:t>
      </w:r>
      <w:r w:rsidR="006E4F18">
        <w:t xml:space="preserve"> </w:t>
      </w:r>
      <w:r>
        <w:t xml:space="preserve">She noted that </w:t>
      </w:r>
      <w:r w:rsidR="00877129">
        <w:t xml:space="preserve">a family in Newcastle </w:t>
      </w:r>
      <w:r w:rsidR="00FD77CF">
        <w:t>on</w:t>
      </w:r>
      <w:r w:rsidR="00877129">
        <w:t xml:space="preserve"> </w:t>
      </w:r>
      <w:r w:rsidR="00183A5E">
        <w:t>UC</w:t>
      </w:r>
      <w:r w:rsidR="00877129">
        <w:t xml:space="preserve"> w</w:t>
      </w:r>
      <w:r>
        <w:t>as losing £885 per month</w:t>
      </w:r>
      <w:r w:rsidR="00877129">
        <w:t xml:space="preserve"> because of the cap.</w:t>
      </w:r>
      <w:r w:rsidR="006E4F18">
        <w:t xml:space="preserve"> </w:t>
      </w:r>
      <w:r w:rsidR="00877129">
        <w:t>She explained that the</w:t>
      </w:r>
      <w:r w:rsidR="00F37C7C">
        <w:t xml:space="preserve"> family were in </w:t>
      </w:r>
      <w:r w:rsidR="004F57AD">
        <w:t>'</w:t>
      </w:r>
      <w:r w:rsidR="00F37C7C">
        <w:t>difficult and desperate</w:t>
      </w:r>
      <w:r w:rsidR="004F57AD">
        <w:t>' circumstances and that the</w:t>
      </w:r>
      <w:r w:rsidR="00877129">
        <w:t xml:space="preserve"> children were about to be removed because of neglect.</w:t>
      </w:r>
      <w:r>
        <w:rPr>
          <w:rStyle w:val="FootnoteReference"/>
        </w:rPr>
        <w:footnoteReference w:id="115"/>
      </w:r>
    </w:p>
    <w:p w14:paraId="6695C92F" w14:textId="77777777" w:rsidR="00D41F2F" w:rsidRDefault="00D0325D" w:rsidP="00C16A41">
      <w:pPr>
        <w:pStyle w:val="Para1"/>
      </w:pPr>
      <w:r>
        <w:t>The Minister was not able to provide data on how many</w:t>
      </w:r>
      <w:r w:rsidR="0052635D">
        <w:t xml:space="preserve"> households had bee</w:t>
      </w:r>
      <w:r w:rsidR="000C5CFD">
        <w:t xml:space="preserve">n capped </w:t>
      </w:r>
      <w:r w:rsidR="007570B1">
        <w:t>by</w:t>
      </w:r>
      <w:r w:rsidR="000C5CFD">
        <w:t xml:space="preserve"> </w:t>
      </w:r>
      <w:r w:rsidR="007570B1">
        <w:t>an</w:t>
      </w:r>
      <w:r w:rsidR="000C5CFD">
        <w:t xml:space="preserve"> amount </w:t>
      </w:r>
      <w:r w:rsidR="007570B1">
        <w:t xml:space="preserve">greater </w:t>
      </w:r>
      <w:r w:rsidR="000C5CFD">
        <w:t>than their housing costs</w:t>
      </w:r>
      <w:r w:rsidR="00CC1DA8">
        <w:t xml:space="preserve"> in Universal Credit</w:t>
      </w:r>
      <w:r w:rsidR="000C5CFD">
        <w:t>.</w:t>
      </w:r>
      <w:r w:rsidR="006B25A2">
        <w:rPr>
          <w:rStyle w:val="FootnoteReference"/>
        </w:rPr>
        <w:footnoteReference w:id="116"/>
      </w:r>
      <w:r w:rsidR="001D6B7B">
        <w:t xml:space="preserve"> </w:t>
      </w:r>
      <w:r w:rsidR="000C5CFD">
        <w:t>However, i</w:t>
      </w:r>
      <w:r w:rsidR="00D41F2F">
        <w:t xml:space="preserve">n correspondence, </w:t>
      </w:r>
      <w:r w:rsidR="000C5CFD">
        <w:t>he</w:t>
      </w:r>
      <w:r w:rsidR="00D41F2F">
        <w:t xml:space="preserve"> explained that </w:t>
      </w:r>
      <w:r w:rsidR="00E62ED4">
        <w:t xml:space="preserve">in August 2018 </w:t>
      </w:r>
      <w:r w:rsidR="000F5AC3">
        <w:t>around 10% (5,500 of the 58,000 households capped)</w:t>
      </w:r>
      <w:r w:rsidR="00FA16C7">
        <w:t xml:space="preserve"> </w:t>
      </w:r>
      <w:r w:rsidR="001A3184">
        <w:t>had the full amount of their Housing Benefit capped</w:t>
      </w:r>
      <w:r w:rsidR="001671D6">
        <w:t>.</w:t>
      </w:r>
      <w:r w:rsidR="001D6B7B">
        <w:t xml:space="preserve"> </w:t>
      </w:r>
      <w:r w:rsidR="001671D6">
        <w:t xml:space="preserve">He </w:t>
      </w:r>
      <w:r w:rsidR="0000418C">
        <w:t>said that this "may indicate that further reductions should have been applied".</w:t>
      </w:r>
      <w:r w:rsidR="006B25A2">
        <w:rPr>
          <w:rStyle w:val="FootnoteReference"/>
        </w:rPr>
        <w:footnoteReference w:id="117"/>
      </w:r>
    </w:p>
    <w:p w14:paraId="65936F6E" w14:textId="77777777" w:rsidR="000133C5" w:rsidRPr="000133C5" w:rsidRDefault="000133C5" w:rsidP="000133C5">
      <w:pPr>
        <w:pStyle w:val="Heading3"/>
      </w:pPr>
      <w:r w:rsidRPr="000133C5">
        <w:t>Direct rent payments</w:t>
      </w:r>
    </w:p>
    <w:p w14:paraId="6426C02D" w14:textId="77777777" w:rsidR="000133C5" w:rsidRPr="000133C5" w:rsidRDefault="000133C5" w:rsidP="000133C5">
      <w:pPr>
        <w:pStyle w:val="Para1"/>
      </w:pPr>
      <w:r w:rsidRPr="000133C5">
        <w:t>Several witnesses, including CPAG, also told us that when a household's rent is paid directly to their landlord (known as a managed payment to landlords), families can be left with zero income to meet their living costs as their rent is paid in full to their landlord and it is the rest of their benefits which are reduced. London Councils noted that some councils had asked for managed payments to landlords to be stopped but stressed that this does not solve the problem as "you are still left with not enough to pay your rent and pay for basics like food".  They noted that, while the numbers of UC claimants affected by the cap are currently relatively low, this could become a "serious issue" as increasing numbers of capped claimants are migrated to UC.</w:t>
      </w:r>
      <w:r w:rsidR="00DF1123" w:rsidRPr="00DF1123">
        <w:rPr>
          <w:rStyle w:val="FootnoteReference"/>
        </w:rPr>
        <w:t xml:space="preserve"> </w:t>
      </w:r>
      <w:r w:rsidR="00DF1123" w:rsidRPr="000133C5">
        <w:rPr>
          <w:rStyle w:val="FootnoteReference"/>
        </w:rPr>
        <w:footnoteReference w:id="118"/>
      </w:r>
    </w:p>
    <w:p w14:paraId="5A927CB7" w14:textId="77777777" w:rsidR="000133C5" w:rsidRPr="000133C5" w:rsidRDefault="000133C5" w:rsidP="000133C5">
      <w:pPr>
        <w:pStyle w:val="Para1"/>
        <w:rPr>
          <w:rStyle w:val="Conclusion"/>
        </w:rPr>
      </w:pPr>
      <w:r w:rsidRPr="000133C5">
        <w:rPr>
          <w:rStyle w:val="Conclusion"/>
        </w:rPr>
        <w:t xml:space="preserve">Where a UC claimant's rent goes directly to their landlord, they can find that the benefit cap leaves them with nothing. This is because their rent is paid in full to their landlord and the cap deduction is taken from their living costs. Removing the direct payment merely puts claimants in the position of being able to make the difficult choice between paying their rent or buying essentials—like food for themselves and their children. However, it is imperative that claimants are made aware that if their direct payment remains in place they could be left with nothing. </w:t>
      </w:r>
    </w:p>
    <w:p w14:paraId="40C76EDE" w14:textId="77777777" w:rsidR="0082097D" w:rsidRPr="0082097D" w:rsidRDefault="0082097D" w:rsidP="0082097D">
      <w:pPr>
        <w:pStyle w:val="Para1"/>
        <w:rPr>
          <w:rStyle w:val="Conclusion"/>
        </w:rPr>
      </w:pPr>
      <w:bookmarkStart w:id="54" w:name="_Toc431454"/>
      <w:r w:rsidRPr="0082097D">
        <w:rPr>
          <w:rStyle w:val="Conclusion"/>
        </w:rPr>
        <w:t xml:space="preserve">Until the introduction of Universal Credit, because of practical limitations, only Housing Benefit could be capped. Under Universal Credit it is not only a household's housing costs that can be reduced, but its whole UC award. That means that the cap can cut far deeper into the entirety of a household's income—including even money intended for children. </w:t>
      </w:r>
      <w:r w:rsidRPr="00E2615C">
        <w:rPr>
          <w:rStyle w:val="Conclusion"/>
        </w:rPr>
        <w:t>The little money that these households have left can then be further reduced by deductions to their UC awards, which can include the repayment of Advances necessary to tide people over during the five</w:t>
      </w:r>
      <w:r w:rsidR="00E2615C">
        <w:rPr>
          <w:rStyle w:val="Conclusion"/>
        </w:rPr>
        <w:t>-</w:t>
      </w:r>
      <w:r w:rsidRPr="00E2615C">
        <w:rPr>
          <w:rStyle w:val="Conclusion"/>
        </w:rPr>
        <w:t xml:space="preserve"> week wait for their first UC payment. </w:t>
      </w:r>
      <w:r w:rsidRPr="0082097D">
        <w:rPr>
          <w:rStyle w:val="Conclusion"/>
        </w:rPr>
        <w:t>The Government says simply that this is how the cap is supposed to work, but the risk that it leaves even more families facing severe hardship is obvious. Due to the delayed roll out, the number of capped households on Universal Credit so far is small, but it is rising.  Already we are hearing the appalling effects of families being left with so little, including—in extreme but real instances—children being taken into care because of neglect.  Given the Minister's indication that the proportion of households on Housing Benefit who should have been capped beyond their housing costs was around 10%, we estimate that any additional savings from applying the policy as intended under Universal Credit would not be substantial.</w:t>
      </w:r>
    </w:p>
    <w:p w14:paraId="3DF51430" w14:textId="77777777" w:rsidR="0082097D" w:rsidRPr="0082097D" w:rsidRDefault="0082097D" w:rsidP="0082097D">
      <w:pPr>
        <w:pStyle w:val="Para1"/>
        <w:rPr>
          <w:rStyle w:val="Recommendation"/>
        </w:rPr>
      </w:pPr>
      <w:r w:rsidRPr="0082097D">
        <w:rPr>
          <w:rStyle w:val="Recommendation"/>
        </w:rPr>
        <w:t>We recommend that the Department ring-fence elements of UC to ensure that claimants are not left without money for food. Specifically, the cap should not be applied to the following elements of a claimant's UC award:</w:t>
      </w:r>
    </w:p>
    <w:p w14:paraId="7E145199" w14:textId="77777777" w:rsidR="0082097D" w:rsidRPr="0082097D" w:rsidRDefault="0082097D" w:rsidP="0082097D">
      <w:pPr>
        <w:pStyle w:val="UnorderedList1"/>
        <w:rPr>
          <w:rStyle w:val="Recommendation"/>
        </w:rPr>
      </w:pPr>
      <w:r w:rsidRPr="0082097D">
        <w:rPr>
          <w:rStyle w:val="Recommendation"/>
        </w:rPr>
        <w:t>Standard Allowance</w:t>
      </w:r>
    </w:p>
    <w:p w14:paraId="6C8B4474" w14:textId="77777777" w:rsidR="0082097D" w:rsidRPr="0082097D" w:rsidRDefault="0082097D" w:rsidP="0082097D">
      <w:pPr>
        <w:pStyle w:val="UnorderedList1"/>
        <w:rPr>
          <w:rStyle w:val="Recommendation"/>
        </w:rPr>
      </w:pPr>
      <w:r w:rsidRPr="0082097D">
        <w:rPr>
          <w:rStyle w:val="Recommendation"/>
        </w:rPr>
        <w:t>Child element</w:t>
      </w:r>
    </w:p>
    <w:p w14:paraId="35CE094E" w14:textId="77777777" w:rsidR="0082097D" w:rsidRDefault="0082097D" w:rsidP="0082097D">
      <w:pPr>
        <w:pStyle w:val="UnorderedList1"/>
        <w:rPr>
          <w:rStyle w:val="Recommendation"/>
        </w:rPr>
      </w:pPr>
      <w:r w:rsidRPr="0082097D">
        <w:rPr>
          <w:rStyle w:val="Recommendation"/>
        </w:rPr>
        <w:t>Limited capability for work element.</w:t>
      </w:r>
    </w:p>
    <w:p w14:paraId="3C47D638" w14:textId="77777777" w:rsidR="00C15A05" w:rsidRPr="0082097D" w:rsidRDefault="00C15A05" w:rsidP="00C15A05">
      <w:pPr>
        <w:pStyle w:val="UnorderedList1"/>
        <w:numPr>
          <w:ilvl w:val="0"/>
          <w:numId w:val="0"/>
        </w:numPr>
        <w:ind w:left="1032"/>
        <w:rPr>
          <w:rStyle w:val="Recommendation"/>
        </w:rPr>
      </w:pPr>
      <w:r w:rsidRPr="00C15A05">
        <w:rPr>
          <w:rStyle w:val="Recommendation"/>
        </w:rPr>
        <w:t>In response to this report the Government should also provide an estimate of how many people it expects to be capped via Universal Credit and how many people it expects to be capped via Housing Benefit, once UC is fully rolled out.</w:t>
      </w:r>
    </w:p>
    <w:p w14:paraId="2AF1F6DD" w14:textId="77777777" w:rsidR="00C16A41" w:rsidRPr="00C16A41" w:rsidRDefault="00183A5E" w:rsidP="00C16A41">
      <w:pPr>
        <w:pStyle w:val="Heading3"/>
        <w:rPr>
          <w:rStyle w:val="Strong"/>
        </w:rPr>
      </w:pPr>
      <w:bookmarkStart w:id="55" w:name="_Toc431455"/>
      <w:bookmarkEnd w:id="54"/>
      <w:r>
        <w:rPr>
          <w:rStyle w:val="Strong"/>
        </w:rPr>
        <w:t>UC</w:t>
      </w:r>
      <w:r w:rsidR="00C16A41" w:rsidRPr="00C16A41">
        <w:rPr>
          <w:rStyle w:val="Strong"/>
        </w:rPr>
        <w:t xml:space="preserve"> assessment periods</w:t>
      </w:r>
      <w:bookmarkEnd w:id="55"/>
    </w:p>
    <w:p w14:paraId="1F9851EE" w14:textId="77777777" w:rsidR="00EC48AA" w:rsidRPr="00E125C3" w:rsidRDefault="00DE7A65" w:rsidP="005A77CE">
      <w:pPr>
        <w:pStyle w:val="Para1"/>
      </w:pPr>
      <w:r w:rsidRPr="00E125C3">
        <w:t xml:space="preserve">Problems </w:t>
      </w:r>
      <w:r w:rsidR="003241D3" w:rsidRPr="00E125C3">
        <w:t>arising from how frequently a claimant is paid and when their UC ass</w:t>
      </w:r>
      <w:r w:rsidR="00D85F27" w:rsidRPr="00E125C3">
        <w:t xml:space="preserve">essment period falls have already been widely reported.  In January 2019, the High Court </w:t>
      </w:r>
      <w:r w:rsidR="009D5E28" w:rsidRPr="00E125C3">
        <w:t>ruled</w:t>
      </w:r>
      <w:r w:rsidR="0037683F" w:rsidRPr="00E125C3">
        <w:t xml:space="preserve"> that</w:t>
      </w:r>
      <w:r w:rsidR="0094730A" w:rsidRPr="00E125C3">
        <w:t xml:space="preserve"> </w:t>
      </w:r>
      <w:r w:rsidR="000F378C" w:rsidRPr="00E125C3">
        <w:t xml:space="preserve">the way </w:t>
      </w:r>
      <w:r w:rsidR="00A8489D" w:rsidRPr="00E125C3">
        <w:t xml:space="preserve">in which </w:t>
      </w:r>
      <w:r w:rsidR="000F378C" w:rsidRPr="00E125C3">
        <w:t>the Department has been assessing income</w:t>
      </w:r>
      <w:r w:rsidR="008479CC" w:rsidRPr="00E125C3">
        <w:t xml:space="preserve"> from employment through its </w:t>
      </w:r>
      <w:r w:rsidR="00DE4F07" w:rsidRPr="00E125C3">
        <w:t xml:space="preserve">UC </w:t>
      </w:r>
      <w:r w:rsidR="008479CC" w:rsidRPr="00E125C3">
        <w:t>assessment periods is unlawful.</w:t>
      </w:r>
      <w:r w:rsidR="007762D5" w:rsidRPr="00E125C3">
        <w:t xml:space="preserve"> </w:t>
      </w:r>
      <w:r w:rsidR="00AD7A34" w:rsidRPr="00E125C3">
        <w:t xml:space="preserve">  </w:t>
      </w:r>
      <w:r w:rsidR="00D05E59" w:rsidRPr="00E125C3">
        <w:t>The four</w:t>
      </w:r>
      <w:r w:rsidR="00AD7A34" w:rsidRPr="00E125C3">
        <w:t xml:space="preserve"> claimants </w:t>
      </w:r>
      <w:r w:rsidR="00D05E59" w:rsidRPr="00E125C3">
        <w:t>in the case</w:t>
      </w:r>
      <w:r w:rsidR="00AD7A34" w:rsidRPr="00E125C3">
        <w:t xml:space="preserve"> received their monthly salaries </w:t>
      </w:r>
      <w:r w:rsidR="009D5E28" w:rsidRPr="00E125C3">
        <w:t>on or around either the last working day o</w:t>
      </w:r>
      <w:r w:rsidR="00D05E59" w:rsidRPr="00E125C3">
        <w:t>f the month.  This meant that there were</w:t>
      </w:r>
      <w:r w:rsidR="009D5E28" w:rsidRPr="00E125C3">
        <w:t xml:space="preserve"> times when </w:t>
      </w:r>
      <w:r w:rsidR="00A45C01" w:rsidRPr="00E125C3">
        <w:t>they received two months</w:t>
      </w:r>
      <w:r w:rsidR="00F8631D" w:rsidRPr="00E125C3">
        <w:t>'</w:t>
      </w:r>
      <w:r w:rsidR="00A45C01" w:rsidRPr="00E125C3">
        <w:t xml:space="preserve"> worth of salary </w:t>
      </w:r>
      <w:r w:rsidR="001A7506" w:rsidRPr="00E125C3">
        <w:t>within</w:t>
      </w:r>
      <w:r w:rsidR="009D5E28" w:rsidRPr="00E125C3">
        <w:t xml:space="preserve"> one assessment period.</w:t>
      </w:r>
      <w:r w:rsidR="00D16085" w:rsidRPr="00E125C3">
        <w:t xml:space="preserve"> </w:t>
      </w:r>
      <w:r w:rsidR="005D2168" w:rsidRPr="00E125C3">
        <w:t>I</w:t>
      </w:r>
      <w:r w:rsidR="005F6F70" w:rsidRPr="00E125C3">
        <w:t>n their judgmen</w:t>
      </w:r>
      <w:r w:rsidR="005F6F70">
        <w:t>t</w:t>
      </w:r>
      <w:r w:rsidR="008942FD">
        <w:t>,</w:t>
      </w:r>
      <w:r w:rsidR="005F6F70" w:rsidRPr="00E125C3">
        <w:t xml:space="preserve"> </w:t>
      </w:r>
      <w:r w:rsidR="005D2168" w:rsidRPr="00E125C3">
        <w:t>judges</w:t>
      </w:r>
      <w:r w:rsidR="00F8631D" w:rsidRPr="00E125C3">
        <w:t xml:space="preserve"> in the case</w:t>
      </w:r>
      <w:r w:rsidR="005D2168" w:rsidRPr="00E125C3">
        <w:t xml:space="preserve"> said </w:t>
      </w:r>
      <w:r w:rsidR="005F6F70" w:rsidRPr="00E125C3">
        <w:t>that treating claimants as having earned twice as much as they do if they happen to receive two pay cheques in one monthly assessment period,  and as having no earnings in the next assessment period is “odd in the extreme” and “…. could be said to lead to nonsensical situations”.</w:t>
      </w:r>
      <w:r w:rsidR="000F4734" w:rsidRPr="00E125C3">
        <w:rPr>
          <w:rStyle w:val="FootnoteReference"/>
        </w:rPr>
        <w:footnoteReference w:id="119"/>
      </w:r>
    </w:p>
    <w:p w14:paraId="5E7EA21F" w14:textId="77777777" w:rsidR="005A77CE" w:rsidRDefault="009A0B13" w:rsidP="005A77CE">
      <w:pPr>
        <w:pStyle w:val="Para1"/>
      </w:pPr>
      <w:r>
        <w:t>CPAG explained</w:t>
      </w:r>
      <w:r w:rsidR="00C16A41">
        <w:t xml:space="preserve"> that</w:t>
      </w:r>
      <w:r w:rsidR="00FD1A2E">
        <w:t xml:space="preserve"> in the context of the benefit cap,</w:t>
      </w:r>
      <w:r w:rsidR="00C16A41">
        <w:t xml:space="preserve"> </w:t>
      </w:r>
      <w:r w:rsidR="00C16A41" w:rsidRPr="006B1CF2">
        <w:t>people</w:t>
      </w:r>
      <w:r w:rsidR="00C16A41">
        <w:t xml:space="preserve"> on </w:t>
      </w:r>
      <w:r w:rsidR="00183A5E">
        <w:t>UC</w:t>
      </w:r>
      <w:r w:rsidR="00C16A41">
        <w:t xml:space="preserve"> whose </w:t>
      </w:r>
      <w:r w:rsidR="00C16A41" w:rsidRPr="006B1CF2">
        <w:t xml:space="preserve">paydays do not </w:t>
      </w:r>
      <w:r w:rsidR="00C16A41">
        <w:t>a</w:t>
      </w:r>
      <w:r w:rsidR="00C16A41" w:rsidRPr="006B1CF2">
        <w:t xml:space="preserve">lign with their </w:t>
      </w:r>
      <w:r w:rsidR="00183A5E">
        <w:t>UC</w:t>
      </w:r>
      <w:r w:rsidR="00C16A41" w:rsidRPr="006B1CF2">
        <w:t xml:space="preserve"> assessment periods can </w:t>
      </w:r>
      <w:r w:rsidR="00C16A41">
        <w:t>face</w:t>
      </w:r>
      <w:r w:rsidR="00C16A41" w:rsidRPr="006B1CF2">
        <w:t xml:space="preserve"> serious financial losses and </w:t>
      </w:r>
      <w:r w:rsidR="008066D3">
        <w:t>that there can be</w:t>
      </w:r>
      <w:r w:rsidR="008066D3" w:rsidRPr="006B1CF2">
        <w:t xml:space="preserve"> </w:t>
      </w:r>
      <w:r w:rsidR="00C16A41">
        <w:t>"</w:t>
      </w:r>
      <w:r w:rsidR="00C16A41" w:rsidRPr="006B1CF2">
        <w:t>arbitrary differences in awards between claimants purely bec</w:t>
      </w:r>
      <w:r w:rsidR="00C16A41">
        <w:t>ause of when their paydays fall".</w:t>
      </w:r>
      <w:r w:rsidR="001D6B7B">
        <w:t xml:space="preserve"> </w:t>
      </w:r>
      <w:r w:rsidR="00C16A41">
        <w:t>For example, if a claimant is paid four</w:t>
      </w:r>
      <w:r w:rsidR="005B3F93">
        <w:t>-</w:t>
      </w:r>
      <w:r w:rsidR="00C16A41">
        <w:t>weekly</w:t>
      </w:r>
      <w:r w:rsidR="005C12BB">
        <w:t xml:space="preserve"> rather than monthly</w:t>
      </w:r>
      <w:r w:rsidR="009840AA">
        <w:t xml:space="preserve"> </w:t>
      </w:r>
      <w:r w:rsidR="00A95868">
        <w:t xml:space="preserve">they </w:t>
      </w:r>
      <w:r w:rsidR="009840AA">
        <w:t xml:space="preserve">will usually be paid </w:t>
      </w:r>
      <w:r w:rsidR="006159A0">
        <w:t xml:space="preserve">their wages once in eleven of their UC assessment periods and twice in one </w:t>
      </w:r>
      <w:r w:rsidR="00EF78DA">
        <w:t>assessment period</w:t>
      </w:r>
      <w:r w:rsidR="00093673">
        <w:t>, because</w:t>
      </w:r>
      <w:r w:rsidR="00EF78DA">
        <w:t xml:space="preserve"> they are paid thirteen times in one year. This means that if they earn</w:t>
      </w:r>
      <w:r w:rsidR="006E4F18">
        <w:t xml:space="preserve"> </w:t>
      </w:r>
      <w:r w:rsidR="00C16A41">
        <w:t>just over the benefit cap threshold</w:t>
      </w:r>
      <w:r w:rsidR="00EF78DA">
        <w:t xml:space="preserve"> on a monthly basis</w:t>
      </w:r>
      <w:r w:rsidR="007A0A94">
        <w:t>, they will be paid slightly under the cap threshold</w:t>
      </w:r>
      <w:r w:rsidR="00C16A41">
        <w:t xml:space="preserve"> in eleven months, but well above the threshold in </w:t>
      </w:r>
      <w:r w:rsidR="006D3F0F">
        <w:t xml:space="preserve">the </w:t>
      </w:r>
      <w:r w:rsidR="00C16A41">
        <w:t>one month they are paid twice</w:t>
      </w:r>
      <w:r w:rsidR="005C2CC9">
        <w:t>.</w:t>
      </w:r>
      <w:r w:rsidR="00C16A41">
        <w:t xml:space="preserve"> This can result in them being capped in eleven months out of twelve</w:t>
      </w:r>
      <w:r w:rsidR="005C2CC9">
        <w:t xml:space="preserve">, while someone with </w:t>
      </w:r>
      <w:r w:rsidR="005B5A42">
        <w:t>identical earnings would never be capped</w:t>
      </w:r>
      <w:r w:rsidR="001538B0">
        <w:t>. A</w:t>
      </w:r>
      <w:r w:rsidR="00C16A41">
        <w:t xml:space="preserve">n example </w:t>
      </w:r>
      <w:r w:rsidR="001538B0">
        <w:t xml:space="preserve">of this </w:t>
      </w:r>
      <w:r w:rsidR="00C16A41">
        <w:t>is given below.</w:t>
      </w:r>
    </w:p>
    <w:p w14:paraId="3B1E5EDF" w14:textId="77777777" w:rsidR="00C16A41" w:rsidRPr="00C16A41" w:rsidRDefault="00C16A41" w:rsidP="00F53E2B">
      <w:pPr>
        <w:pStyle w:val="Caption"/>
      </w:pPr>
      <w:r>
        <w:t xml:space="preserve"> </w:t>
      </w:r>
      <w:r w:rsidRPr="00C16A41">
        <w:t xml:space="preserve">Box </w:t>
      </w:r>
      <w:r w:rsidR="00143B32">
        <w:rPr>
          <w:noProof/>
        </w:rPr>
        <w:fldChar w:fldCharType="begin"/>
      </w:r>
      <w:r w:rsidR="00143B32">
        <w:rPr>
          <w:noProof/>
        </w:rPr>
        <w:instrText xml:space="preserve"> SEQ Box \* ARABIC </w:instrText>
      </w:r>
      <w:r w:rsidR="00143B32">
        <w:rPr>
          <w:noProof/>
        </w:rPr>
        <w:fldChar w:fldCharType="separate"/>
      </w:r>
      <w:r w:rsidR="003128E1">
        <w:rPr>
          <w:noProof/>
        </w:rPr>
        <w:t>5</w:t>
      </w:r>
      <w:r w:rsidR="00143B32">
        <w:rPr>
          <w:noProof/>
        </w:rPr>
        <w:fldChar w:fldCharType="end"/>
      </w:r>
      <w:r w:rsidRPr="00C16A41">
        <w:t xml:space="preserve">: Example of unfair capping due to </w:t>
      </w:r>
      <w:r w:rsidR="008A2E27">
        <w:t xml:space="preserve">UC </w:t>
      </w:r>
      <w:r w:rsidRPr="00C16A41">
        <w:t>payment scheduling</w:t>
      </w:r>
    </w:p>
    <w:tbl>
      <w:tblPr>
        <w:tblStyle w:val="Box"/>
        <w:tblW w:w="0" w:type="auto"/>
        <w:tblLook w:val="04A0" w:firstRow="1" w:lastRow="0" w:firstColumn="1" w:lastColumn="0" w:noHBand="0" w:noVBand="1"/>
      </w:tblPr>
      <w:tblGrid>
        <w:gridCol w:w="8494"/>
      </w:tblGrid>
      <w:tr w:rsidR="00C16A41" w14:paraId="50048DDE" w14:textId="77777777" w:rsidTr="00B72FCA">
        <w:tc>
          <w:tcPr>
            <w:tcW w:w="8494" w:type="dxa"/>
          </w:tcPr>
          <w:p w14:paraId="172A6229" w14:textId="77777777" w:rsidR="00C16A41" w:rsidRPr="004E6A94" w:rsidRDefault="00C16A41" w:rsidP="00B72FCA">
            <w:pPr>
              <w:pStyle w:val="BoxPara"/>
              <w:rPr>
                <w:rStyle w:val="Emphasis"/>
              </w:rPr>
            </w:pPr>
            <w:r w:rsidRPr="004E6A94">
              <w:rPr>
                <w:rStyle w:val="Emphasis"/>
              </w:rPr>
              <w:t>A single mother working 17 hours per week is paid £510 every four weeks. The monthly equivalent would be £552.50 – enough to mean that she would not be benefit capped if she were paid monthly. However, as she receives less than this in almost all assessment periods, except the one in twelve where she is paid twice (receiving £1,020), she is benefit capped almost every month.</w:t>
            </w:r>
          </w:p>
        </w:tc>
      </w:tr>
    </w:tbl>
    <w:p w14:paraId="59C368B8" w14:textId="77777777" w:rsidR="00C16A41" w:rsidRDefault="00C16A41" w:rsidP="00C16A41">
      <w:pPr>
        <w:pStyle w:val="ParaforTable"/>
      </w:pPr>
    </w:p>
    <w:p w14:paraId="38954A56" w14:textId="77777777" w:rsidR="00C16A41" w:rsidRPr="004E6A94" w:rsidRDefault="00341AE6" w:rsidP="00C16A41">
      <w:pPr>
        <w:pStyle w:val="Source"/>
      </w:pPr>
      <w:r>
        <w:t xml:space="preserve">Source: </w:t>
      </w:r>
      <w:r w:rsidR="00F53E2B">
        <w:t xml:space="preserve">Child Poverty Action Group </w:t>
      </w:r>
      <w:r>
        <w:t>(</w:t>
      </w:r>
      <w:r w:rsidR="00F53E2B" w:rsidRPr="00F53E2B">
        <w:t>BEC0022</w:t>
      </w:r>
      <w:r w:rsidR="00F53E2B">
        <w:t>)</w:t>
      </w:r>
    </w:p>
    <w:p w14:paraId="5251A9DF" w14:textId="77777777" w:rsidR="00C16A41" w:rsidRDefault="00C16A41" w:rsidP="00C16A41">
      <w:pPr>
        <w:pStyle w:val="Para1"/>
      </w:pPr>
      <w:r>
        <w:t xml:space="preserve"> </w:t>
      </w:r>
      <w:r w:rsidR="00955D0D">
        <w:t>Figure</w:t>
      </w:r>
      <w:r w:rsidRPr="006B1CF2">
        <w:t xml:space="preserve"> </w:t>
      </w:r>
      <w:r w:rsidR="00B414DB">
        <w:t>8</w:t>
      </w:r>
      <w:r w:rsidRPr="006B1CF2">
        <w:t xml:space="preserve"> shows the different ways that people working 16 hours per week</w:t>
      </w:r>
      <w:r w:rsidR="00420C80">
        <w:t xml:space="preserve"> on the National Living Wage—the level at which the benefit cap should not apply—nonetheless face being benefit capped up to 11 months each year, depending on when their pay frequency and assessment period dates.</w:t>
      </w:r>
      <w:r w:rsidRPr="006B1CF2">
        <w:t> </w:t>
      </w:r>
    </w:p>
    <w:p w14:paraId="21EEA7AE" w14:textId="77777777" w:rsidR="00823325" w:rsidRDefault="00823325" w:rsidP="00823325">
      <w:pPr>
        <w:pStyle w:val="Caption"/>
      </w:pPr>
      <w:r>
        <w:t xml:space="preserve">Figure 8:  </w:t>
      </w:r>
      <w:r w:rsidR="00955D0D">
        <w:t xml:space="preserve">Examples of </w:t>
      </w:r>
      <w:r w:rsidR="00816ED1">
        <w:t xml:space="preserve">how </w:t>
      </w:r>
      <w:r w:rsidR="00EB047A">
        <w:t>claimants earning the same wage can be unfairly capped</w:t>
      </w:r>
      <w:r w:rsidR="00D10D96">
        <w:t xml:space="preserve"> d</w:t>
      </w:r>
      <w:r w:rsidR="005A77CE">
        <w:t xml:space="preserve">epending on </w:t>
      </w:r>
      <w:r w:rsidR="00541FC6">
        <w:t>their pay frequency and UC assessment period dates.</w:t>
      </w:r>
    </w:p>
    <w:p w14:paraId="5BA3859E" w14:textId="77777777" w:rsidR="00C16A41" w:rsidRDefault="00700703" w:rsidP="00700703">
      <w:pPr>
        <w:pStyle w:val="GraphicPara"/>
      </w:pPr>
      <w:r w:rsidRPr="00700703">
        <w:rPr>
          <w:noProof/>
        </w:rPr>
        <w:drawing>
          <wp:inline distT="0" distB="0" distL="0" distR="0" wp14:anchorId="653563F7" wp14:editId="2F8B78F1">
            <wp:extent cx="5400040" cy="39731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973195"/>
                    </a:xfrm>
                    <a:prstGeom prst="rect">
                      <a:avLst/>
                    </a:prstGeom>
                  </pic:spPr>
                </pic:pic>
              </a:graphicData>
            </a:graphic>
          </wp:inline>
        </w:drawing>
      </w:r>
    </w:p>
    <w:p w14:paraId="2B49DC36" w14:textId="77777777" w:rsidR="00F53E2B" w:rsidRPr="00F53E2B" w:rsidRDefault="00F53E2B" w:rsidP="00F53E2B">
      <w:pPr>
        <w:pStyle w:val="Source"/>
      </w:pPr>
      <w:r>
        <w:t xml:space="preserve">Source: </w:t>
      </w:r>
      <w:r w:rsidRPr="00F53E2B">
        <w:t>Child Poverty Action Group (BEC0022)</w:t>
      </w:r>
    </w:p>
    <w:p w14:paraId="4B91C6FA" w14:textId="77777777" w:rsidR="00C16A41" w:rsidRDefault="00C16A41" w:rsidP="00C16A41">
      <w:pPr>
        <w:pStyle w:val="Para1"/>
      </w:pPr>
      <w:r>
        <w:t>CPAG told us it had suggested a solution to address this issue to the Department.</w:t>
      </w:r>
      <w:r w:rsidR="006E4F18">
        <w:t xml:space="preserve"> </w:t>
      </w:r>
      <w:r>
        <w:t>It recommended using existing arrangements for averaging earnings, which are currently used to determine whether claimants are earning enough to exceed the threshold for in-work conditionality</w:t>
      </w:r>
      <w:r w:rsidR="00F1418A">
        <w:t>—</w:t>
      </w:r>
      <w:r>
        <w:t>if they are in work but below the threshold they may be required to look for more work in order to receive UC and face sanctions if they do not continue to seek additional work. The averaging, which is done to make sure the system does not unfairly penalise people, currently has to be done manually. CPAG recommended the system be applied immediately due to the "serious financial losses for affected claimants".</w:t>
      </w:r>
      <w:r>
        <w:rPr>
          <w:rStyle w:val="FootnoteReference"/>
        </w:rPr>
        <w:footnoteReference w:id="120"/>
      </w:r>
    </w:p>
    <w:p w14:paraId="24A1B78A" w14:textId="77777777" w:rsidR="00C16A41" w:rsidRDefault="00C16A41" w:rsidP="00C16A41">
      <w:pPr>
        <w:pStyle w:val="Para1"/>
      </w:pPr>
      <w:r>
        <w:t>In oral evidence the Minister told us the Department is aware of the issue and is looking into it.</w:t>
      </w:r>
      <w:r w:rsidR="00630531">
        <w:rPr>
          <w:rStyle w:val="FootnoteReference"/>
        </w:rPr>
        <w:footnoteReference w:id="121"/>
      </w:r>
      <w:r w:rsidR="006E4F18">
        <w:t xml:space="preserve"> </w:t>
      </w:r>
      <w:r>
        <w:t xml:space="preserve">In correspondence, he confirmed that the Department does not know how many people have been affected by the issue but estimated this would be around 1% of </w:t>
      </w:r>
      <w:r w:rsidR="00F13C0D">
        <w:t xml:space="preserve">those capped (around </w:t>
      </w:r>
      <w:r w:rsidR="00661ABD">
        <w:t>600 households)</w:t>
      </w:r>
      <w:r>
        <w:t>.</w:t>
      </w:r>
      <w:r w:rsidR="00630531">
        <w:rPr>
          <w:rStyle w:val="FootnoteReference"/>
        </w:rPr>
        <w:footnoteReference w:id="122"/>
      </w:r>
    </w:p>
    <w:p w14:paraId="54B77E76" w14:textId="77777777" w:rsidR="003D3B33" w:rsidRPr="003D3B33" w:rsidRDefault="003D3B33" w:rsidP="003D3B33">
      <w:pPr>
        <w:pStyle w:val="Para1"/>
        <w:rPr>
          <w:rStyle w:val="Conclusion"/>
        </w:rPr>
      </w:pPr>
      <w:r w:rsidRPr="003D3B33">
        <w:rPr>
          <w:rStyle w:val="Conclusion"/>
        </w:rPr>
        <w:t xml:space="preserve">Courts have already found that the interaction between how frequently people are paid and when they receive their UC award can lead to unfair financial losses for claimants. In the context of the benefit cap, the alignment of a claimant’s payday and UC assessment period can mean that people who are earning enough to escape the cap are capped anyway. It is wholly unacceptable that going to work, as the Department wants and encourages people to do, can leave people suffering significant financial losses simply because of a fundamentally flawed administrative process.  Worse still, the Department does not even know who has been affected. This is clearly not how the cap was intended to work and requires an urgent solution. </w:t>
      </w:r>
    </w:p>
    <w:p w14:paraId="1E7B6A35" w14:textId="77777777" w:rsidR="003D3B33" w:rsidRPr="003D3B33" w:rsidRDefault="003D3B33" w:rsidP="003D3B33">
      <w:pPr>
        <w:pStyle w:val="Para1"/>
        <w:rPr>
          <w:rStyle w:val="Recommendation"/>
        </w:rPr>
      </w:pPr>
      <w:r w:rsidRPr="003D3B33">
        <w:rPr>
          <w:rStyle w:val="Recommendation"/>
        </w:rPr>
        <w:t>We recommend that the Department urgently finds a solution to ensure claimants are not unfairly capped because of the alignment of their payday and UC assessment period. It should identify all cases where the cap has been applied incorrectly and ensure claimants are fully compensated</w:t>
      </w:r>
      <w:r w:rsidR="009E5393">
        <w:rPr>
          <w:rStyle w:val="Recommendation"/>
        </w:rPr>
        <w:t xml:space="preserve"> before </w:t>
      </w:r>
      <w:r w:rsidR="00B366DC">
        <w:rPr>
          <w:rStyle w:val="Recommendation"/>
        </w:rPr>
        <w:t xml:space="preserve">September </w:t>
      </w:r>
      <w:r w:rsidR="009E5393">
        <w:rPr>
          <w:rStyle w:val="Recommendation"/>
        </w:rPr>
        <w:t>2019</w:t>
      </w:r>
      <w:r w:rsidRPr="003D3B33">
        <w:rPr>
          <w:rStyle w:val="Recommendation"/>
        </w:rPr>
        <w:t>.</w:t>
      </w:r>
      <w:r w:rsidR="009E5393">
        <w:rPr>
          <w:rStyle w:val="Recommendation"/>
        </w:rPr>
        <w:t xml:space="preserve"> The Department should write to the Committee with an update of progress each month.</w:t>
      </w:r>
    </w:p>
    <w:p w14:paraId="7FA637F6" w14:textId="77777777" w:rsidR="00114DC4" w:rsidRDefault="0012309B" w:rsidP="00B6400E">
      <w:pPr>
        <w:pStyle w:val="Heading2"/>
      </w:pPr>
      <w:bookmarkStart w:id="56" w:name="_Toc431456"/>
      <w:r>
        <w:t xml:space="preserve">Discretionary Housing Payments </w:t>
      </w:r>
      <w:r w:rsidR="00B6400E">
        <w:t>as a safety net</w:t>
      </w:r>
      <w:bookmarkEnd w:id="56"/>
    </w:p>
    <w:p w14:paraId="26BDC7DD" w14:textId="77777777" w:rsidR="006D2434" w:rsidRDefault="00114DC4" w:rsidP="00114DC4">
      <w:pPr>
        <w:pStyle w:val="Para1"/>
      </w:pPr>
      <w:r>
        <w:t xml:space="preserve">The Department </w:t>
      </w:r>
      <w:r w:rsidR="004E6358">
        <w:t>argue</w:t>
      </w:r>
      <w:r w:rsidR="0031080C">
        <w:t>s</w:t>
      </w:r>
      <w:r w:rsidR="00747868">
        <w:t xml:space="preserve"> that </w:t>
      </w:r>
      <w:r>
        <w:t>D</w:t>
      </w:r>
      <w:r w:rsidR="005C509B">
        <w:t xml:space="preserve">iscretionary </w:t>
      </w:r>
      <w:r>
        <w:t>H</w:t>
      </w:r>
      <w:r w:rsidR="005C509B">
        <w:t xml:space="preserve">ousing </w:t>
      </w:r>
      <w:r>
        <w:t>P</w:t>
      </w:r>
      <w:r w:rsidR="005C509B">
        <w:t>ayment</w:t>
      </w:r>
      <w:r>
        <w:t>s</w:t>
      </w:r>
      <w:r w:rsidR="005C509B">
        <w:t xml:space="preserve"> (DHPs)</w:t>
      </w:r>
      <w:r w:rsidR="006D2434">
        <w:t>—</w:t>
      </w:r>
      <w:r w:rsidR="006D2434" w:rsidRPr="006D2434">
        <w:t>paid to households by local authorities to households judged to be struggling with their rent</w:t>
      </w:r>
      <w:r w:rsidR="006D2434">
        <w:t>—exist as a safety net for</w:t>
      </w:r>
      <w:r w:rsidR="00AC2E00">
        <w:t xml:space="preserve"> capped households</w:t>
      </w:r>
      <w:r w:rsidR="006D2434">
        <w:t>.</w:t>
      </w:r>
      <w:r w:rsidR="006E4F18">
        <w:t xml:space="preserve"> </w:t>
      </w:r>
      <w:r w:rsidR="006D2434">
        <w:t xml:space="preserve">It </w:t>
      </w:r>
      <w:r w:rsidR="00D22450">
        <w:t>said</w:t>
      </w:r>
      <w:r w:rsidR="006D2434">
        <w:t>:</w:t>
      </w:r>
    </w:p>
    <w:p w14:paraId="59A9278D" w14:textId="77777777" w:rsidR="00731FC8" w:rsidRPr="002D45D1" w:rsidRDefault="006D2434" w:rsidP="00731FC8">
      <w:pPr>
        <w:pStyle w:val="Quote"/>
        <w:rPr>
          <w:rStyle w:val="Emphasis"/>
        </w:rPr>
      </w:pPr>
      <w:r w:rsidRPr="002D45D1">
        <w:rPr>
          <w:rStyle w:val="Emphasis"/>
        </w:rPr>
        <w:t>DHPs provide a necessary safeguard to help people adjust during the transitional period from when they are first capped or for longer term complex cases</w:t>
      </w:r>
      <w:r w:rsidR="005F2629" w:rsidRPr="002D45D1">
        <w:rPr>
          <w:rStyle w:val="Emphasis"/>
        </w:rPr>
        <w:t>.</w:t>
      </w:r>
      <w:r w:rsidR="00D22450" w:rsidRPr="00B03EAE">
        <w:rPr>
          <w:rStyle w:val="FootnoteReference"/>
        </w:rPr>
        <w:footnoteReference w:id="123"/>
      </w:r>
    </w:p>
    <w:p w14:paraId="61F0A93C" w14:textId="77777777" w:rsidR="006B40B2" w:rsidRDefault="007E7607" w:rsidP="00723D88">
      <w:pPr>
        <w:pStyle w:val="Para1"/>
      </w:pPr>
      <w:r>
        <w:t>E</w:t>
      </w:r>
      <w:r w:rsidR="00531452">
        <w:t>vidence to our inquiry generally agreed</w:t>
      </w:r>
      <w:r w:rsidR="00114DC4">
        <w:t xml:space="preserve"> that</w:t>
      </w:r>
      <w:r w:rsidR="001B5B8F">
        <w:t xml:space="preserve"> </w:t>
      </w:r>
      <w:r w:rsidR="00531452">
        <w:t>DHPs have helped some families "avoid the worst impact of the cap"</w:t>
      </w:r>
      <w:r w:rsidR="0096691F">
        <w:t xml:space="preserve"> and can be "a vi</w:t>
      </w:r>
      <w:r w:rsidR="00D72070">
        <w:t>t</w:t>
      </w:r>
      <w:r w:rsidR="0096691F">
        <w:t>al lifeline for mitigating the impact of the cap"</w:t>
      </w:r>
      <w:r w:rsidR="0010653C">
        <w:t>.</w:t>
      </w:r>
      <w:r w:rsidR="00531452">
        <w:rPr>
          <w:rStyle w:val="FootnoteReference"/>
        </w:rPr>
        <w:footnoteReference w:id="124"/>
      </w:r>
      <w:r w:rsidR="006E4F18">
        <w:t xml:space="preserve"> </w:t>
      </w:r>
      <w:r>
        <w:t xml:space="preserve">However, </w:t>
      </w:r>
      <w:r w:rsidR="00DB589A">
        <w:t>organisations including Gingerbread and CPAG</w:t>
      </w:r>
      <w:r w:rsidR="00531452">
        <w:t xml:space="preserve"> questioned </w:t>
      </w:r>
      <w:r w:rsidR="008A4C84">
        <w:t>whether DHPs were really an</w:t>
      </w:r>
      <w:r w:rsidR="0096691F">
        <w:t xml:space="preserve"> </w:t>
      </w:r>
      <w:r w:rsidR="00531452">
        <w:t>adequa</w:t>
      </w:r>
      <w:r w:rsidR="008A4C84">
        <w:t>te</w:t>
      </w:r>
      <w:r w:rsidR="00531452">
        <w:t xml:space="preserve"> </w:t>
      </w:r>
      <w:r w:rsidR="008A4C84">
        <w:t>means of</w:t>
      </w:r>
      <w:r w:rsidR="00531452">
        <w:t xml:space="preserve"> prevent</w:t>
      </w:r>
      <w:r w:rsidR="008A4C84">
        <w:t>ing</w:t>
      </w:r>
      <w:r w:rsidR="00531452">
        <w:t xml:space="preserve"> hardship</w:t>
      </w:r>
      <w:r w:rsidR="0086277F">
        <w:t xml:space="preserve"> for vulnerable claimants</w:t>
      </w:r>
      <w:r w:rsidR="004756FE">
        <w:t>,</w:t>
      </w:r>
      <w:r w:rsidR="0086277F">
        <w:t xml:space="preserve"> given the</w:t>
      </w:r>
      <w:r w:rsidR="005F2629">
        <w:t xml:space="preserve">ir </w:t>
      </w:r>
      <w:r w:rsidR="0086277F">
        <w:t>uncertain</w:t>
      </w:r>
      <w:r w:rsidR="00DB589A">
        <w:t xml:space="preserve"> and temporary nature</w:t>
      </w:r>
      <w:r w:rsidR="00531452">
        <w:t>.</w:t>
      </w:r>
      <w:r w:rsidR="0031080C">
        <w:rPr>
          <w:rStyle w:val="FootnoteReference"/>
        </w:rPr>
        <w:footnoteReference w:id="125"/>
      </w:r>
      <w:r w:rsidR="006E4F18">
        <w:t xml:space="preserve"> </w:t>
      </w:r>
      <w:r w:rsidR="005F2629">
        <w:t>Organisations including</w:t>
      </w:r>
      <w:r w:rsidR="00DB589A">
        <w:t xml:space="preserve"> the R</w:t>
      </w:r>
      <w:r w:rsidR="00D45A58">
        <w:t>esi</w:t>
      </w:r>
      <w:r w:rsidR="004D693A">
        <w:t xml:space="preserve">dential </w:t>
      </w:r>
      <w:r w:rsidR="00DB589A">
        <w:t>L</w:t>
      </w:r>
      <w:r w:rsidR="004D693A">
        <w:t xml:space="preserve">andlord's </w:t>
      </w:r>
      <w:r w:rsidR="00DB589A">
        <w:t>A</w:t>
      </w:r>
      <w:r w:rsidR="004D693A">
        <w:t>ssociation</w:t>
      </w:r>
      <w:r w:rsidR="00DB589A">
        <w:t xml:space="preserve"> also raised concerns that the discretion </w:t>
      </w:r>
      <w:r w:rsidR="005B6741">
        <w:t>available</w:t>
      </w:r>
      <w:r w:rsidR="00DB589A">
        <w:t xml:space="preserve"> to local authorities </w:t>
      </w:r>
      <w:r w:rsidR="005B6741">
        <w:t>in</w:t>
      </w:r>
      <w:r w:rsidR="00DB589A">
        <w:t xml:space="preserve"> how they use DHPs can result in a 'postcode lottery' </w:t>
      </w:r>
      <w:r w:rsidR="00735BB6">
        <w:t xml:space="preserve">depending on the funding </w:t>
      </w:r>
      <w:r w:rsidR="00E370C2">
        <w:t>local authorities</w:t>
      </w:r>
      <w:r w:rsidR="00735BB6">
        <w:t xml:space="preserve"> have available and how they choose to exercise their discretion.</w:t>
      </w:r>
      <w:r w:rsidR="00735BB6">
        <w:rPr>
          <w:rStyle w:val="FootnoteReference"/>
        </w:rPr>
        <w:footnoteReference w:id="126"/>
      </w:r>
      <w:r w:rsidR="006E4F18">
        <w:t xml:space="preserve"> </w:t>
      </w:r>
      <w:r w:rsidR="00FB4A11">
        <w:t xml:space="preserve">Our predecessor Committee raised similar concerns in our 2014 report, </w:t>
      </w:r>
      <w:r w:rsidR="00FB4A11" w:rsidRPr="00FB4A11">
        <w:rPr>
          <w:rStyle w:val="Emphasis"/>
        </w:rPr>
        <w:t>Support for housing costs in the reformed welfare system</w:t>
      </w:r>
      <w:r w:rsidR="00FB4A11">
        <w:t xml:space="preserve">. </w:t>
      </w:r>
      <w:r w:rsidR="00E370C2">
        <w:rPr>
          <w:rStyle w:val="FootnoteReference"/>
        </w:rPr>
        <w:footnoteReference w:id="127"/>
      </w:r>
      <w:r w:rsidR="006E4F18">
        <w:t xml:space="preserve"> </w:t>
      </w:r>
    </w:p>
    <w:p w14:paraId="3A00FB54" w14:textId="77777777" w:rsidR="00C019E1" w:rsidRDefault="0033180D" w:rsidP="00CB47FE">
      <w:pPr>
        <w:pStyle w:val="Para1"/>
      </w:pPr>
      <w:r>
        <w:t>Claimants must apply</w:t>
      </w:r>
      <w:r w:rsidR="00462D4B">
        <w:t xml:space="preserve"> to their local autho</w:t>
      </w:r>
      <w:r w:rsidR="0086277F">
        <w:t>rity to receive a DHP</w:t>
      </w:r>
      <w:r w:rsidR="00462D4B">
        <w:t>.</w:t>
      </w:r>
      <w:r w:rsidR="006E4F18">
        <w:t xml:space="preserve"> </w:t>
      </w:r>
      <w:r>
        <w:t>However, w</w:t>
      </w:r>
      <w:r w:rsidR="00462D4B">
        <w:t xml:space="preserve">e heard that many claimants aren't aware </w:t>
      </w:r>
      <w:r w:rsidR="001D2915">
        <w:t xml:space="preserve">that </w:t>
      </w:r>
      <w:r w:rsidR="00462D4B">
        <w:t xml:space="preserve">they can access the support, </w:t>
      </w:r>
      <w:r>
        <w:t>or</w:t>
      </w:r>
      <w:r w:rsidR="00462D4B">
        <w:t xml:space="preserve"> struggle with the application</w:t>
      </w:r>
      <w:r>
        <w:t xml:space="preserve"> process</w:t>
      </w:r>
      <w:r w:rsidR="00462D4B">
        <w:t>.</w:t>
      </w:r>
      <w:r w:rsidR="005D6526">
        <w:rPr>
          <w:rStyle w:val="FootnoteReference"/>
        </w:rPr>
        <w:footnoteReference w:id="128"/>
      </w:r>
      <w:r w:rsidR="003726E6">
        <w:t xml:space="preserve"> </w:t>
      </w:r>
      <w:r w:rsidR="00E370C2">
        <w:t>Furthermore</w:t>
      </w:r>
      <w:r w:rsidR="006040CF">
        <w:t>,</w:t>
      </w:r>
      <w:r w:rsidR="00E370C2">
        <w:t xml:space="preserve"> m</w:t>
      </w:r>
      <w:r w:rsidR="0086277F">
        <w:t>any loca</w:t>
      </w:r>
      <w:r w:rsidR="00462D4B">
        <w:t>l authorities</w:t>
      </w:r>
      <w:r w:rsidR="0086277F">
        <w:t>—</w:t>
      </w:r>
      <w:r w:rsidR="00462D4B">
        <w:t>who face significant funding pressures</w:t>
      </w:r>
      <w:r w:rsidR="0086277F">
        <w:t>—place</w:t>
      </w:r>
      <w:r w:rsidR="00462D4B">
        <w:t xml:space="preserve"> time</w:t>
      </w:r>
      <w:r w:rsidR="008657BB">
        <w:t xml:space="preserve"> </w:t>
      </w:r>
      <w:r w:rsidR="00462D4B">
        <w:t>limit</w:t>
      </w:r>
      <w:r w:rsidR="0086277F">
        <w:t xml:space="preserve">s on the </w:t>
      </w:r>
      <w:r w:rsidR="009C1012">
        <w:t>award</w:t>
      </w:r>
      <w:r w:rsidR="00C44F35">
        <w:t>s</w:t>
      </w:r>
      <w:r w:rsidR="00F84B03">
        <w:t xml:space="preserve">. </w:t>
      </w:r>
      <w:r w:rsidR="001D2915">
        <w:t>A</w:t>
      </w:r>
      <w:r w:rsidR="00AD5C9B">
        <w:t xml:space="preserve">nalysis by Shelter </w:t>
      </w:r>
      <w:r w:rsidR="003D2DFC">
        <w:t>found</w:t>
      </w:r>
      <w:r w:rsidR="00AD5C9B">
        <w:t xml:space="preserve"> that </w:t>
      </w:r>
      <w:r w:rsidR="00531452">
        <w:t xml:space="preserve">local authorities </w:t>
      </w:r>
      <w:r w:rsidR="00A76F44">
        <w:t>often limit awards to 12 weeks or less for ca</w:t>
      </w:r>
      <w:r w:rsidR="00F850F5">
        <w:t>pp</w:t>
      </w:r>
      <w:r w:rsidR="00A76F44">
        <w:t>ed claimants</w:t>
      </w:r>
      <w:r w:rsidR="00531452">
        <w:t>.</w:t>
      </w:r>
      <w:r w:rsidR="003D7A98">
        <w:rPr>
          <w:rStyle w:val="FootnoteReference"/>
        </w:rPr>
        <w:footnoteReference w:id="129"/>
      </w:r>
      <w:r w:rsidR="006E4F18">
        <w:t xml:space="preserve"> </w:t>
      </w:r>
      <w:r w:rsidR="008578FB">
        <w:t>Some</w:t>
      </w:r>
      <w:r w:rsidR="00531452">
        <w:t xml:space="preserve"> local authorities</w:t>
      </w:r>
      <w:r w:rsidR="00AD5C9B">
        <w:t xml:space="preserve"> </w:t>
      </w:r>
      <w:r w:rsidR="00F850F5">
        <w:t xml:space="preserve">apply conditions </w:t>
      </w:r>
      <w:r w:rsidR="0086277F">
        <w:t xml:space="preserve">such as requiring claimants </w:t>
      </w:r>
      <w:r w:rsidR="00E46249">
        <w:t xml:space="preserve">to </w:t>
      </w:r>
      <w:r w:rsidR="0086277F">
        <w:t xml:space="preserve">seek </w:t>
      </w:r>
      <w:r w:rsidR="00187CD2">
        <w:t>work,</w:t>
      </w:r>
      <w:r w:rsidR="00F850F5">
        <w:t xml:space="preserve"> </w:t>
      </w:r>
      <w:r w:rsidR="008578FB">
        <w:t>and some do not</w:t>
      </w:r>
      <w:r w:rsidR="00AD5C9B">
        <w:t xml:space="preserve"> provide claimants with the full amount to cover their rent.</w:t>
      </w:r>
      <w:r w:rsidR="008E45EA">
        <w:rPr>
          <w:rStyle w:val="FootnoteReference"/>
        </w:rPr>
        <w:footnoteReference w:id="130"/>
      </w:r>
      <w:r w:rsidR="001D6B7B">
        <w:t xml:space="preserve"> </w:t>
      </w:r>
      <w:r w:rsidR="002C1B4E">
        <w:t>Paula</w:t>
      </w:r>
      <w:r w:rsidR="00F84B03">
        <w:t>, a single</w:t>
      </w:r>
      <w:r w:rsidR="00E46249">
        <w:t xml:space="preserve"> </w:t>
      </w:r>
      <w:r w:rsidR="00F84B03">
        <w:t>parent affected by the cap,</w:t>
      </w:r>
      <w:r w:rsidR="002C1B4E">
        <w:t xml:space="preserve"> told us that her local authority </w:t>
      </w:r>
      <w:r w:rsidR="00F850F5">
        <w:t>said</w:t>
      </w:r>
      <w:r w:rsidR="00F84B03">
        <w:t xml:space="preserve"> she </w:t>
      </w:r>
      <w:r w:rsidR="00AF438B">
        <w:t xml:space="preserve">could only receive a DHP if she </w:t>
      </w:r>
      <w:r w:rsidR="00F84B03">
        <w:t>stop</w:t>
      </w:r>
      <w:r w:rsidR="00AF438B">
        <w:t>ped</w:t>
      </w:r>
      <w:r w:rsidR="00F84B03">
        <w:t xml:space="preserve"> paying for activities for her</w:t>
      </w:r>
      <w:r w:rsidR="002C1B4E">
        <w:t xml:space="preserve"> children</w:t>
      </w:r>
      <w:r w:rsidR="00F84B03">
        <w:t>,</w:t>
      </w:r>
      <w:r w:rsidR="002C1B4E">
        <w:t xml:space="preserve"> cut off her internet and g</w:t>
      </w:r>
      <w:r w:rsidR="00AF438B">
        <w:t>a</w:t>
      </w:r>
      <w:r w:rsidR="002C1B4E">
        <w:t xml:space="preserve">ve up </w:t>
      </w:r>
      <w:r w:rsidR="00AF438B">
        <w:t>the</w:t>
      </w:r>
      <w:r w:rsidR="002C1B4E">
        <w:t xml:space="preserve"> car</w:t>
      </w:r>
      <w:r w:rsidR="00AF438B">
        <w:t xml:space="preserve"> she needed to get her three children to school</w:t>
      </w:r>
      <w:r w:rsidR="002C1B4E">
        <w:t>.</w:t>
      </w:r>
      <w:r>
        <w:rPr>
          <w:rStyle w:val="FootnoteReference"/>
        </w:rPr>
        <w:footnoteReference w:id="131"/>
      </w:r>
    </w:p>
    <w:p w14:paraId="09B40D77" w14:textId="77777777" w:rsidR="00114DC4" w:rsidRDefault="005D6526" w:rsidP="00723D88">
      <w:pPr>
        <w:pStyle w:val="Para1"/>
      </w:pPr>
      <w:r>
        <w:t>In</w:t>
      </w:r>
      <w:r w:rsidR="00A76F44">
        <w:t xml:space="preserve"> addition,</w:t>
      </w:r>
      <w:r>
        <w:t xml:space="preserve"> </w:t>
      </w:r>
      <w:r w:rsidR="00AF438B">
        <w:t>we heard about</w:t>
      </w:r>
      <w:r>
        <w:t xml:space="preserve"> cases where </w:t>
      </w:r>
      <w:r w:rsidR="003726E6">
        <w:t>capped households</w:t>
      </w:r>
      <w:r w:rsidR="00E46249">
        <w:t>'</w:t>
      </w:r>
      <w:r w:rsidR="003726E6">
        <w:t xml:space="preserve"> </w:t>
      </w:r>
      <w:r w:rsidR="000925DC">
        <w:t xml:space="preserve">initial </w:t>
      </w:r>
      <w:r>
        <w:t>applications for DHPs were turned down</w:t>
      </w:r>
      <w:r w:rsidR="00C44F35">
        <w:t xml:space="preserve"> </w:t>
      </w:r>
      <w:r w:rsidR="000925DC">
        <w:t>or where a household's request for an</w:t>
      </w:r>
      <w:r w:rsidR="00C44F35">
        <w:t xml:space="preserve"> extension of </w:t>
      </w:r>
      <w:r w:rsidR="000925DC">
        <w:t>a previous award</w:t>
      </w:r>
      <w:r w:rsidR="00C44F35">
        <w:t xml:space="preserve"> was </w:t>
      </w:r>
      <w:r w:rsidR="000925DC">
        <w:t>refused</w:t>
      </w:r>
      <w:r>
        <w:t>.</w:t>
      </w:r>
      <w:r w:rsidR="006E4F18">
        <w:t xml:space="preserve"> </w:t>
      </w:r>
      <w:r w:rsidR="00AD5C9B">
        <w:t xml:space="preserve">CPAG </w:t>
      </w:r>
      <w:r w:rsidR="00C019E1">
        <w:t>told us</w:t>
      </w:r>
      <w:r w:rsidR="00AD5C9B">
        <w:t xml:space="preserve"> it was aware of cases which suggested some local </w:t>
      </w:r>
      <w:r w:rsidR="00625708">
        <w:t>authorities</w:t>
      </w:r>
      <w:r w:rsidR="002C7238">
        <w:t xml:space="preserve"> were rejecting applications </w:t>
      </w:r>
      <w:r w:rsidR="00C07074">
        <w:t>because of</w:t>
      </w:r>
      <w:r w:rsidR="000925DC">
        <w:t xml:space="preserve"> funding </w:t>
      </w:r>
      <w:r w:rsidR="00C07074">
        <w:t>con</w:t>
      </w:r>
      <w:r w:rsidR="000925DC">
        <w:t>straints</w:t>
      </w:r>
      <w:r w:rsidR="00F84B03">
        <w:t>; it</w:t>
      </w:r>
      <w:r w:rsidR="00AD5C9B">
        <w:t xml:space="preserve"> describe</w:t>
      </w:r>
      <w:r w:rsidR="00C019E1">
        <w:t>d</w:t>
      </w:r>
      <w:r w:rsidR="00AD5C9B">
        <w:t xml:space="preserve"> this development as "very alarming".</w:t>
      </w:r>
      <w:r w:rsidR="00C019E1">
        <w:rPr>
          <w:rStyle w:val="FootnoteReference"/>
        </w:rPr>
        <w:footnoteReference w:id="132"/>
      </w:r>
    </w:p>
    <w:p w14:paraId="3E8B95BA" w14:textId="77777777" w:rsidR="00F027BA" w:rsidRPr="005D4EE7" w:rsidRDefault="00DB07DB" w:rsidP="00DB07DB">
      <w:pPr>
        <w:pStyle w:val="Para1"/>
      </w:pPr>
      <w:r>
        <w:t>The</w:t>
      </w:r>
      <w:r w:rsidR="00E13F30">
        <w:t xml:space="preserve"> Department </w:t>
      </w:r>
      <w:r>
        <w:t xml:space="preserve">was not able to </w:t>
      </w:r>
      <w:r w:rsidR="00BC2B62">
        <w:t>identify</w:t>
      </w:r>
      <w:r>
        <w:t xml:space="preserve"> any</w:t>
      </w:r>
      <w:r w:rsidR="00E13F30">
        <w:t xml:space="preserve"> analysis</w:t>
      </w:r>
      <w:r>
        <w:t xml:space="preserve"> it had done</w:t>
      </w:r>
      <w:r w:rsidR="00E13F30">
        <w:t xml:space="preserve"> of the different policies local authorities have on DHPs or </w:t>
      </w:r>
      <w:r>
        <w:t>whether DHPs are working as an effective safety net for claimants affected by the cap.</w:t>
      </w:r>
      <w:r w:rsidR="005D4EE7" w:rsidRPr="005D4EE7">
        <w:rPr>
          <w:rStyle w:val="FootnoteReference"/>
        </w:rPr>
        <w:footnoteReference w:id="133"/>
      </w:r>
      <w:r w:rsidR="006E4F18">
        <w:t xml:space="preserve"> </w:t>
      </w:r>
      <w:r>
        <w:t>However, a letter from the</w:t>
      </w:r>
      <w:r w:rsidR="006E4F18">
        <w:t xml:space="preserve"> </w:t>
      </w:r>
      <w:r>
        <w:t>Minister explained that the</w:t>
      </w:r>
      <w:r w:rsidR="00B95E07">
        <w:t xml:space="preserve"> Department</w:t>
      </w:r>
      <w:r w:rsidR="00926F6C">
        <w:t xml:space="preserve"> is currently conducting new research to better understand uses of DHPs by local authorities and future demand</w:t>
      </w:r>
      <w:r w:rsidR="00823C51">
        <w:t xml:space="preserve"> through the Local Authority Insight Survey "to investigate local authorities' DHP policies including questions on demand, effectiveness and conditionality"</w:t>
      </w:r>
      <w:r w:rsidR="00926F6C">
        <w:t xml:space="preserve">. </w:t>
      </w:r>
      <w:r w:rsidR="00D72070">
        <w:t>T</w:t>
      </w:r>
      <w:r w:rsidR="00B95E07">
        <w:t>he findings will be published</w:t>
      </w:r>
      <w:r w:rsidR="00926F6C">
        <w:t xml:space="preserve"> this year</w:t>
      </w:r>
      <w:r w:rsidR="00B166AE">
        <w:t>.</w:t>
      </w:r>
      <w:r w:rsidR="000A5291">
        <w:rPr>
          <w:rStyle w:val="FootnoteReference"/>
        </w:rPr>
        <w:footnoteReference w:id="134"/>
      </w:r>
    </w:p>
    <w:p w14:paraId="739F75F1" w14:textId="77777777" w:rsidR="00051364" w:rsidRPr="00051364" w:rsidRDefault="00051364" w:rsidP="00051364">
      <w:pPr>
        <w:pStyle w:val="Para1"/>
        <w:rPr>
          <w:rStyle w:val="Conclusion"/>
        </w:rPr>
      </w:pPr>
      <w:bookmarkStart w:id="57" w:name="_Toc431457"/>
      <w:r w:rsidRPr="00051364">
        <w:rPr>
          <w:rStyle w:val="Conclusion"/>
        </w:rPr>
        <w:t xml:space="preserve">The Department has relied on Discretionary Housing Payments (DHPs) as the panacea for claimants who struggle to adapt to the cap. But the fact that this support is discretionary means that households can be subject to a 'postcode lottery', finding themselves at the mercy of their local council's policies and decisions which in turn depend on the size of their budgets and competing pressures for funding. Since the Department has little understanding of how different local authorities use DHPs, it cannot know whether its key safeguard is working effectively for capped claimants and their families. The reality is that while DHPs work as a necessary sticking plaster for some families, many families are not getting the consistent support they need. This can be a particular problem in areas with high housing costs, where DHP allocations are more likely to be rationed. </w:t>
      </w:r>
    </w:p>
    <w:p w14:paraId="477CA0B3" w14:textId="77777777" w:rsidR="00051364" w:rsidRPr="00051364" w:rsidRDefault="00051364" w:rsidP="00051364">
      <w:pPr>
        <w:pStyle w:val="Para1"/>
        <w:rPr>
          <w:rStyle w:val="Recommendation"/>
        </w:rPr>
      </w:pPr>
      <w:r w:rsidRPr="00051364">
        <w:rPr>
          <w:rStyle w:val="Recommendation"/>
        </w:rPr>
        <w:t>We recommend that the Department complete a full review of Discretionary Housing Payments to understand how different local authorities approach the provision of DHPs for capped claimants. It should also evaluate how effective DHPs have been as a support for claimants who struggle to adjust to the cap, by looking at individual claimants' experiences. The Department should use the information from this review to produce clearer and more directive guidance to local authorities about the provision of DHPs so that they act more effectively as a safeguard.</w:t>
      </w:r>
      <w:r w:rsidR="009E5393">
        <w:rPr>
          <w:rStyle w:val="Recommendation"/>
        </w:rPr>
        <w:t xml:space="preserve"> </w:t>
      </w:r>
      <w:r w:rsidR="009E5393" w:rsidRPr="009E5393">
        <w:rPr>
          <w:rStyle w:val="Recommendation"/>
        </w:rPr>
        <w:t xml:space="preserve">If the Department refuses to carry out this review, we will </w:t>
      </w:r>
      <w:r w:rsidR="009E5393">
        <w:rPr>
          <w:rStyle w:val="Recommendation"/>
        </w:rPr>
        <w:t>invite</w:t>
      </w:r>
      <w:r w:rsidR="009E5393" w:rsidRPr="009E5393">
        <w:rPr>
          <w:rStyle w:val="Recommendation"/>
        </w:rPr>
        <w:t xml:space="preserve"> the National Audit Office to carry out a value for money study of DHPs and their use by different local authorities in mitigating the impact of welfare reforms.</w:t>
      </w:r>
    </w:p>
    <w:p w14:paraId="132DE080" w14:textId="77777777" w:rsidR="00962F82" w:rsidRDefault="002A5611" w:rsidP="00891BDB">
      <w:pPr>
        <w:pStyle w:val="ChapterHeading1"/>
      </w:pPr>
      <w:r>
        <w:t>Financial s</w:t>
      </w:r>
      <w:r w:rsidR="004D64BE">
        <w:t>avings</w:t>
      </w:r>
      <w:bookmarkEnd w:id="57"/>
    </w:p>
    <w:p w14:paraId="620A506F" w14:textId="77777777" w:rsidR="002E5E0C" w:rsidRDefault="002E5E0C" w:rsidP="002E5E0C">
      <w:pPr>
        <w:pStyle w:val="Para1"/>
      </w:pPr>
      <w:r>
        <w:t xml:space="preserve">The Department says </w:t>
      </w:r>
      <w:r w:rsidR="00FE1881">
        <w:t xml:space="preserve">that </w:t>
      </w:r>
      <w:r>
        <w:t xml:space="preserve">one of the benefit cap's </w:t>
      </w:r>
      <w:r w:rsidR="00762724">
        <w:t>aims</w:t>
      </w:r>
      <w:r>
        <w:t xml:space="preserve"> is to:</w:t>
      </w:r>
    </w:p>
    <w:p w14:paraId="40BCAC88" w14:textId="77777777" w:rsidR="00EB128B" w:rsidRPr="002D45D1" w:rsidRDefault="002E5E0C" w:rsidP="002E5E0C">
      <w:pPr>
        <w:pStyle w:val="Quote"/>
        <w:rPr>
          <w:rStyle w:val="Emphasis"/>
        </w:rPr>
      </w:pPr>
      <w:r w:rsidRPr="002D45D1">
        <w:rPr>
          <w:rStyle w:val="Emphasis"/>
        </w:rPr>
        <w:t>Secure the economic well-being of the country by reducing spending on benefits and encouraging positive behavioural changes</w:t>
      </w:r>
      <w:r w:rsidR="00FE1881">
        <w:rPr>
          <w:rStyle w:val="Emphasis"/>
        </w:rPr>
        <w:t>.</w:t>
      </w:r>
      <w:r w:rsidR="00C63D14">
        <w:rPr>
          <w:rStyle w:val="FootnoteReference"/>
          <w:i/>
          <w:iCs/>
        </w:rPr>
        <w:footnoteReference w:id="135"/>
      </w:r>
      <w:r w:rsidRPr="002D45D1">
        <w:rPr>
          <w:rStyle w:val="Emphasis"/>
        </w:rPr>
        <w:t xml:space="preserve"> </w:t>
      </w:r>
    </w:p>
    <w:p w14:paraId="59824C9E" w14:textId="77777777" w:rsidR="002E5E0C" w:rsidRDefault="00AD034D" w:rsidP="00EB128B">
      <w:pPr>
        <w:pStyle w:val="Heading3"/>
      </w:pPr>
      <w:bookmarkStart w:id="58" w:name="_Toc431458"/>
      <w:r>
        <w:t>Expected savings</w:t>
      </w:r>
      <w:bookmarkEnd w:id="58"/>
    </w:p>
    <w:p w14:paraId="76C22003" w14:textId="77777777" w:rsidR="00EF78F2" w:rsidRDefault="000463F1" w:rsidP="00EE1D4D">
      <w:pPr>
        <w:pStyle w:val="Para1"/>
      </w:pPr>
      <w:r>
        <w:t xml:space="preserve">The Treasury originally forecast that </w:t>
      </w:r>
      <w:r w:rsidR="00291A1E">
        <w:t>the cap</w:t>
      </w:r>
      <w:r w:rsidR="00EF78F2" w:rsidRPr="00EF78F2">
        <w:t xml:space="preserve"> would save £270 million</w:t>
      </w:r>
      <w:r w:rsidR="00223DBD">
        <w:t xml:space="preserve"> </w:t>
      </w:r>
      <w:r w:rsidR="009C192A">
        <w:t xml:space="preserve">a year </w:t>
      </w:r>
      <w:r w:rsidR="00223DBD">
        <w:t>(from 2014-15 onwards) once fully implemented.</w:t>
      </w:r>
      <w:r w:rsidR="006E4F18">
        <w:t xml:space="preserve"> </w:t>
      </w:r>
      <w:r w:rsidR="00EF78F2" w:rsidRPr="00EF78F2">
        <w:t>This estimate was revised down in</w:t>
      </w:r>
      <w:r>
        <w:t xml:space="preserve"> the 2013 Budget</w:t>
      </w:r>
      <w:r w:rsidR="00EF78F2" w:rsidRPr="00EF78F2">
        <w:t xml:space="preserve"> to £185 million a year.</w:t>
      </w:r>
      <w:r w:rsidR="00C63D14">
        <w:rPr>
          <w:rStyle w:val="FootnoteReference"/>
        </w:rPr>
        <w:footnoteReference w:id="136"/>
      </w:r>
      <w:r w:rsidR="006A048A">
        <w:t xml:space="preserve"> </w:t>
      </w:r>
      <w:r w:rsidR="00EF78F2" w:rsidRPr="00EF78F2">
        <w:t xml:space="preserve">In addition to these savings, it forecast that the lower benefit cap would save a further £155 million a year in 2017-18, falling to £110 million by </w:t>
      </w:r>
      <w:r w:rsidR="00A9722A">
        <w:t>2020-</w:t>
      </w:r>
      <w:r w:rsidR="00EF78F2" w:rsidRPr="00EF78F2">
        <w:t>21.</w:t>
      </w:r>
      <w:r w:rsidR="006E4F18">
        <w:t xml:space="preserve"> </w:t>
      </w:r>
      <w:r w:rsidR="00D87984">
        <w:t xml:space="preserve">Projected savings </w:t>
      </w:r>
      <w:r w:rsidR="00223DBD">
        <w:t>up until 2018-19</w:t>
      </w:r>
      <w:r w:rsidR="008A6B49">
        <w:t xml:space="preserve"> </w:t>
      </w:r>
      <w:r w:rsidR="00D87984">
        <w:t xml:space="preserve">are shown in </w:t>
      </w:r>
      <w:r w:rsidR="00D414F2">
        <w:t>figure 9 below</w:t>
      </w:r>
      <w:r w:rsidR="00223DBD">
        <w:t>.</w:t>
      </w:r>
      <w:r w:rsidR="001133B8">
        <w:rPr>
          <w:rStyle w:val="FootnoteReference"/>
        </w:rPr>
        <w:footnoteReference w:id="137"/>
      </w:r>
    </w:p>
    <w:p w14:paraId="2CF7FAF2" w14:textId="77777777" w:rsidR="00F272A1" w:rsidRDefault="00F272A1" w:rsidP="00F272A1">
      <w:pPr>
        <w:pStyle w:val="Caption"/>
      </w:pPr>
      <w:r>
        <w:t xml:space="preserve">Figure 9: </w:t>
      </w:r>
      <w:r w:rsidR="002C7A09">
        <w:t>Projected savings from the Benefit cap</w:t>
      </w:r>
    </w:p>
    <w:p w14:paraId="4062DB86" w14:textId="77777777" w:rsidR="0091618F" w:rsidRDefault="0091618F" w:rsidP="00B44831">
      <w:pPr>
        <w:pStyle w:val="Source"/>
      </w:pPr>
      <w:r w:rsidRPr="0091618F">
        <w:rPr>
          <w:noProof/>
        </w:rPr>
        <w:drawing>
          <wp:inline distT="0" distB="0" distL="0" distR="0" wp14:anchorId="514688F3" wp14:editId="22DB0772">
            <wp:extent cx="5400040" cy="2320925"/>
            <wp:effectExtent l="0" t="0" r="0" b="3175"/>
            <wp:docPr id="11" name="Chart 11">
              <a:extLst xmlns:a="http://schemas.openxmlformats.org/drawingml/2006/main">
                <a:ext uri="{FF2B5EF4-FFF2-40B4-BE49-F238E27FC236}">
                  <a16:creationId xmlns:a16="http://schemas.microsoft.com/office/drawing/2014/main" id="{EF90FAA3-EBA3-4139-95F5-FEB92AEAD8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B8C73B4" w14:textId="77777777" w:rsidR="00B44831" w:rsidRPr="00B44831" w:rsidRDefault="00B44831" w:rsidP="00B44831">
      <w:pPr>
        <w:pStyle w:val="Source"/>
      </w:pPr>
      <w:r>
        <w:t xml:space="preserve">Source: </w:t>
      </w:r>
      <w:r w:rsidR="00196C6A">
        <w:t xml:space="preserve">2013 Budget, </w:t>
      </w:r>
      <w:r w:rsidR="00B80184">
        <w:t xml:space="preserve">DWP Impact Assessment for the benefit cap, August 2016.  </w:t>
      </w:r>
    </w:p>
    <w:p w14:paraId="463F99EE" w14:textId="77777777" w:rsidR="00EB128B" w:rsidRDefault="00EB128B" w:rsidP="00EB128B">
      <w:pPr>
        <w:pStyle w:val="Heading3"/>
      </w:pPr>
      <w:bookmarkStart w:id="59" w:name="_Toc431459"/>
      <w:r>
        <w:t>How much has it saved?</w:t>
      </w:r>
      <w:bookmarkEnd w:id="59"/>
    </w:p>
    <w:p w14:paraId="11011BA0" w14:textId="77777777" w:rsidR="007654FD" w:rsidRDefault="000463F1" w:rsidP="000463F1">
      <w:pPr>
        <w:pStyle w:val="Para1"/>
      </w:pPr>
      <w:r>
        <w:t xml:space="preserve">The Department </w:t>
      </w:r>
      <w:r w:rsidR="005D7ADB">
        <w:t>claims the cap has met its aim of securing financial savings.</w:t>
      </w:r>
      <w:r w:rsidR="006E4F18">
        <w:t xml:space="preserve"> </w:t>
      </w:r>
      <w:r w:rsidR="005D7ADB">
        <w:t>In oral evidence, the Minister argued, "we have clearly secured that objective because last year</w:t>
      </w:r>
      <w:r w:rsidR="000E590F">
        <w:t xml:space="preserve"> [2017/18]</w:t>
      </w:r>
      <w:r w:rsidR="005D7ADB">
        <w:t>, without taking into account any form of behavioural changes, we saved £190 million."</w:t>
      </w:r>
      <w:r w:rsidR="00F2065A">
        <w:rPr>
          <w:rStyle w:val="FootnoteReference"/>
        </w:rPr>
        <w:footnoteReference w:id="138"/>
      </w:r>
      <w:r w:rsidR="006E4F18">
        <w:t xml:space="preserve"> </w:t>
      </w:r>
      <w:r w:rsidR="00C4228F">
        <w:t>However, these savings equate to just under two thirds</w:t>
      </w:r>
      <w:r w:rsidR="005D7ADB">
        <w:t xml:space="preserve"> </w:t>
      </w:r>
      <w:r w:rsidR="00C4228F">
        <w:t>(</w:t>
      </w:r>
      <w:r w:rsidR="005D7ADB">
        <w:t>64%</w:t>
      </w:r>
      <w:r w:rsidR="00C4228F">
        <w:t>)</w:t>
      </w:r>
      <w:r w:rsidR="005D7ADB">
        <w:t xml:space="preserve"> </w:t>
      </w:r>
      <w:r>
        <w:t>of the £295 million</w:t>
      </w:r>
      <w:r w:rsidR="000E590F">
        <w:t xml:space="preserve"> of savings forecast for 2017-18</w:t>
      </w:r>
      <w:r>
        <w:t>.</w:t>
      </w:r>
      <w:r w:rsidR="001D6B7B">
        <w:t xml:space="preserve"> </w:t>
      </w:r>
      <w:r w:rsidR="00EB128B">
        <w:t>It is likely</w:t>
      </w:r>
      <w:r w:rsidR="005D7ADB">
        <w:t xml:space="preserve"> that</w:t>
      </w:r>
      <w:r w:rsidR="00EB128B">
        <w:t xml:space="preserve"> </w:t>
      </w:r>
      <w:r w:rsidR="0075672A">
        <w:t>this is</w:t>
      </w:r>
      <w:r w:rsidR="00EB128B">
        <w:t xml:space="preserve"> </w:t>
      </w:r>
      <w:r w:rsidR="00A1724E">
        <w:t xml:space="preserve">because </w:t>
      </w:r>
      <w:r w:rsidR="00EB128B">
        <w:t>the number of households affected</w:t>
      </w:r>
      <w:r w:rsidR="004864A9">
        <w:t xml:space="preserve"> by the cap</w:t>
      </w:r>
      <w:r w:rsidR="00EB128B">
        <w:t xml:space="preserve"> is now around </w:t>
      </w:r>
      <w:r w:rsidR="004864A9">
        <w:t>58,000</w:t>
      </w:r>
      <w:r w:rsidR="00EB128B">
        <w:t xml:space="preserve"> instead</w:t>
      </w:r>
      <w:r w:rsidR="000E590F">
        <w:t xml:space="preserve"> of the 88,000 </w:t>
      </w:r>
      <w:r w:rsidR="00EB128B">
        <w:t>the Department originally projected</w:t>
      </w:r>
      <w:r w:rsidR="00BD7CF2">
        <w:t xml:space="preserve"> in its August 2016 impact assessment</w:t>
      </w:r>
      <w:r w:rsidR="00EB128B">
        <w:t>.</w:t>
      </w:r>
      <w:r w:rsidR="00D74E6C">
        <w:rPr>
          <w:rStyle w:val="FootnoteReference"/>
        </w:rPr>
        <w:footnoteReference w:id="139"/>
      </w:r>
      <w:r w:rsidR="00D77917">
        <w:t xml:space="preserve"> </w:t>
      </w:r>
    </w:p>
    <w:p w14:paraId="63AB9863" w14:textId="77777777" w:rsidR="00EB128B" w:rsidRDefault="005D7ADB" w:rsidP="00EB128B">
      <w:pPr>
        <w:pStyle w:val="Heading3"/>
      </w:pPr>
      <w:bookmarkStart w:id="60" w:name="_Toc431460"/>
      <w:r>
        <w:t>Full picture of savings</w:t>
      </w:r>
      <w:bookmarkEnd w:id="60"/>
    </w:p>
    <w:p w14:paraId="49020600" w14:textId="77777777" w:rsidR="00131763" w:rsidRPr="00C17130" w:rsidRDefault="007D4C03" w:rsidP="008020C5">
      <w:pPr>
        <w:pStyle w:val="Para1"/>
      </w:pPr>
      <w:r w:rsidRPr="00C17130">
        <w:t xml:space="preserve">Witnesses drew attention to the </w:t>
      </w:r>
      <w:r w:rsidR="00EF24C9" w:rsidRPr="00C17130">
        <w:t xml:space="preserve">fact that these savings are </w:t>
      </w:r>
      <w:r w:rsidRPr="00C17130">
        <w:t xml:space="preserve">"minuscule" </w:t>
      </w:r>
      <w:r w:rsidR="00603526" w:rsidRPr="00C17130">
        <w:t xml:space="preserve">in </w:t>
      </w:r>
      <w:r w:rsidR="007654FD" w:rsidRPr="00C17130">
        <w:t xml:space="preserve">the context of overall </w:t>
      </w:r>
      <w:r w:rsidRPr="00C17130">
        <w:t>cuts to welfare</w:t>
      </w:r>
      <w:r w:rsidR="007654FD" w:rsidRPr="00C17130">
        <w:t>.</w:t>
      </w:r>
      <w:r w:rsidRPr="00C17130">
        <w:rPr>
          <w:rStyle w:val="FootnoteReference"/>
        </w:rPr>
        <w:footnoteReference w:id="140"/>
      </w:r>
      <w:r w:rsidR="001D6B7B" w:rsidRPr="00C17130">
        <w:t xml:space="preserve"> </w:t>
      </w:r>
      <w:r w:rsidR="000E590F" w:rsidRPr="00C17130">
        <w:t xml:space="preserve">Carl Emmerson, of </w:t>
      </w:r>
      <w:r w:rsidR="00A1724E" w:rsidRPr="00C17130">
        <w:t xml:space="preserve">the </w:t>
      </w:r>
      <w:r w:rsidR="00603526" w:rsidRPr="00C17130">
        <w:t>IFS, explained</w:t>
      </w:r>
      <w:r w:rsidR="000E590F" w:rsidRPr="00C17130">
        <w:t xml:space="preserve"> that </w:t>
      </w:r>
      <w:r w:rsidR="000C2FE5" w:rsidRPr="00C17130">
        <w:t>by 2020</w:t>
      </w:r>
      <w:r w:rsidR="000E590F" w:rsidRPr="00C17130">
        <w:t xml:space="preserve"> </w:t>
      </w:r>
      <w:r w:rsidR="000C2FE5" w:rsidRPr="00C17130">
        <w:t xml:space="preserve">welfare </w:t>
      </w:r>
      <w:r w:rsidR="000E590F" w:rsidRPr="00C17130">
        <w:t>reforms implemented since 2010</w:t>
      </w:r>
      <w:r w:rsidR="00331BDA" w:rsidRPr="00C17130">
        <w:t>—</w:t>
      </w:r>
      <w:r w:rsidR="002C7B2C" w:rsidRPr="00C17130">
        <w:t>which includes</w:t>
      </w:r>
      <w:r w:rsidR="00331BDA" w:rsidRPr="00C17130">
        <w:t xml:space="preserve"> </w:t>
      </w:r>
      <w:r w:rsidR="002C7B2C" w:rsidRPr="00C17130">
        <w:t>the</w:t>
      </w:r>
      <w:r w:rsidR="00C969ED" w:rsidRPr="00C17130">
        <w:t xml:space="preserve"> four-year benefit freeze, </w:t>
      </w:r>
      <w:r w:rsidR="00F73BC3" w:rsidRPr="00C17130">
        <w:t xml:space="preserve">cuts to Housing Benefit, </w:t>
      </w:r>
      <w:r w:rsidR="00C57490" w:rsidRPr="00C17130">
        <w:t>the introduction of Universal Credit</w:t>
      </w:r>
      <w:r w:rsidR="009E1BC5" w:rsidRPr="00C17130">
        <w:t xml:space="preserve"> and the introduction of the two child limit—</w:t>
      </w:r>
      <w:r w:rsidR="000E590F" w:rsidRPr="00C17130">
        <w:t>will reduce benefit spending by a</w:t>
      </w:r>
      <w:r w:rsidR="005F13DE" w:rsidRPr="00C17130">
        <w:t>round</w:t>
      </w:r>
      <w:r w:rsidR="000E590F" w:rsidRPr="00C17130">
        <w:t xml:space="preserve"> £40 billion</w:t>
      </w:r>
      <w:r w:rsidR="000C2FE5" w:rsidRPr="00C17130">
        <w:t xml:space="preserve"> a year.</w:t>
      </w:r>
      <w:r w:rsidR="00346B73" w:rsidRPr="00C17130">
        <w:rPr>
          <w:rStyle w:val="FootnoteReference"/>
        </w:rPr>
        <w:t xml:space="preserve"> </w:t>
      </w:r>
      <w:r w:rsidR="00346B73" w:rsidRPr="00C17130">
        <w:rPr>
          <w:rStyle w:val="FootnoteReference"/>
        </w:rPr>
        <w:footnoteReference w:id="141"/>
      </w:r>
      <w:r w:rsidR="001D6B7B" w:rsidRPr="00C17130">
        <w:t xml:space="preserve"> </w:t>
      </w:r>
      <w:r w:rsidR="00603526" w:rsidRPr="00C17130">
        <w:t>Savings of around £</w:t>
      </w:r>
      <w:r w:rsidR="00C52D56" w:rsidRPr="00C17130">
        <w:t>200 million</w:t>
      </w:r>
      <w:r w:rsidR="00603526" w:rsidRPr="00C17130">
        <w:t xml:space="preserve"> a year from the </w:t>
      </w:r>
      <w:r w:rsidR="000E590F" w:rsidRPr="00C17130">
        <w:t>benefit cap</w:t>
      </w:r>
      <w:r w:rsidR="00603526" w:rsidRPr="00C17130">
        <w:t xml:space="preserve"> therefore </w:t>
      </w:r>
      <w:r w:rsidR="00C84A3E" w:rsidRPr="00C17130">
        <w:t>represent</w:t>
      </w:r>
      <w:r w:rsidR="000E590F" w:rsidRPr="00C17130">
        <w:t xml:space="preserve"> less than 1% of these savings</w:t>
      </w:r>
      <w:r w:rsidR="00F15693" w:rsidRPr="00C17130">
        <w:t>;</w:t>
      </w:r>
      <w:r w:rsidR="003A70A8" w:rsidRPr="00C17130">
        <w:t xml:space="preserve"> or</w:t>
      </w:r>
      <w:r w:rsidR="00D81C33" w:rsidRPr="00C17130">
        <w:t xml:space="preserve"> barely </w:t>
      </w:r>
      <w:r w:rsidR="00BC1D78" w:rsidRPr="00C17130">
        <w:t xml:space="preserve">a rounding error </w:t>
      </w:r>
      <w:r w:rsidR="003A70A8" w:rsidRPr="00C17130">
        <w:t xml:space="preserve"> </w:t>
      </w:r>
      <w:r w:rsidR="00BC1D78" w:rsidRPr="00C17130">
        <w:t>(</w:t>
      </w:r>
      <w:r w:rsidR="003A70A8" w:rsidRPr="00C17130">
        <w:t>0.1%</w:t>
      </w:r>
      <w:r w:rsidR="00BC1D78" w:rsidRPr="00C17130">
        <w:t>)</w:t>
      </w:r>
      <w:r w:rsidR="003A70A8" w:rsidRPr="00C17130">
        <w:t xml:space="preserve"> of the overall welfare bill</w:t>
      </w:r>
      <w:r w:rsidR="00BD661E" w:rsidRPr="00C17130">
        <w:t xml:space="preserve"> of £177 billion</w:t>
      </w:r>
      <w:r w:rsidR="00C575D0" w:rsidRPr="00C17130">
        <w:t>.</w:t>
      </w:r>
      <w:r w:rsidR="00794CCD" w:rsidRPr="00C17130">
        <w:rPr>
          <w:rStyle w:val="FootnoteReference"/>
        </w:rPr>
        <w:footnoteReference w:id="142"/>
      </w:r>
      <w:r w:rsidR="00361867" w:rsidRPr="00C17130">
        <w:t xml:space="preserve"> </w:t>
      </w:r>
    </w:p>
    <w:p w14:paraId="1F197996" w14:textId="77777777" w:rsidR="00762724" w:rsidRDefault="00762724" w:rsidP="00131763">
      <w:pPr>
        <w:pStyle w:val="Para1"/>
      </w:pPr>
      <w:r>
        <w:t xml:space="preserve">In written evidence, the Department </w:t>
      </w:r>
      <w:r w:rsidR="009A4834">
        <w:t>explained that the savings it reports</w:t>
      </w:r>
      <w:r>
        <w:t xml:space="preserve"> </w:t>
      </w:r>
      <w:r w:rsidR="009A4834">
        <w:t xml:space="preserve">include neither </w:t>
      </w:r>
      <w:r>
        <w:t>any savings to the taxpayer a</w:t>
      </w:r>
      <w:r w:rsidR="004D0438">
        <w:t>s a result of behaviour changes</w:t>
      </w:r>
      <w:r>
        <w:t xml:space="preserve"> </w:t>
      </w:r>
      <w:r w:rsidR="004D0438">
        <w:t>(</w:t>
      </w:r>
      <w:r>
        <w:t>for ex</w:t>
      </w:r>
      <w:r w:rsidR="009A4834">
        <w:t>ample, people moving into work</w:t>
      </w:r>
      <w:r w:rsidR="004D0438">
        <w:t>)</w:t>
      </w:r>
      <w:r w:rsidR="009A4834">
        <w:t xml:space="preserve"> </w:t>
      </w:r>
      <w:r w:rsidR="004D0438">
        <w:t>n</w:t>
      </w:r>
      <w:r w:rsidR="009A4834">
        <w:t>or</w:t>
      </w:r>
      <w:r>
        <w:t xml:space="preserve"> the costs of Discretionary Housing Payments </w:t>
      </w:r>
      <w:r w:rsidR="009A4834">
        <w:t>and</w:t>
      </w:r>
      <w:r>
        <w:t xml:space="preserve"> administrative funding that it provides to local authorities to "support the delivery of the cap".</w:t>
      </w:r>
      <w:r w:rsidR="00BA61D1">
        <w:rPr>
          <w:rStyle w:val="FootnoteReference"/>
        </w:rPr>
        <w:footnoteReference w:id="143"/>
      </w:r>
    </w:p>
    <w:p w14:paraId="310A899C" w14:textId="77777777" w:rsidR="00F4010D" w:rsidRDefault="004D0438" w:rsidP="00F4010D">
      <w:pPr>
        <w:pStyle w:val="Para1"/>
      </w:pPr>
      <w:r>
        <w:t>In</w:t>
      </w:r>
      <w:r w:rsidR="00321582">
        <w:t xml:space="preserve"> </w:t>
      </w:r>
      <w:r w:rsidR="006C3C72">
        <w:t>2018-19</w:t>
      </w:r>
      <w:r w:rsidR="00321582">
        <w:t>,</w:t>
      </w:r>
      <w:r>
        <w:t xml:space="preserve"> the Department allocated</w:t>
      </w:r>
      <w:r w:rsidR="00F4010D" w:rsidRPr="00115E9B">
        <w:t xml:space="preserve"> £60</w:t>
      </w:r>
      <w:r>
        <w:t xml:space="preserve"> </w:t>
      </w:r>
      <w:r w:rsidR="00F4010D" w:rsidRPr="00115E9B">
        <w:t>m</w:t>
      </w:r>
      <w:r>
        <w:t>illion</w:t>
      </w:r>
      <w:r w:rsidR="00F4010D" w:rsidRPr="00115E9B">
        <w:t xml:space="preserve"> </w:t>
      </w:r>
      <w:r>
        <w:t xml:space="preserve">of </w:t>
      </w:r>
      <w:r w:rsidR="00F4010D" w:rsidRPr="00115E9B">
        <w:t>DHP funding for Local Authorities in Great Britain to support capped households, and £8</w:t>
      </w:r>
      <w:r>
        <w:t xml:space="preserve"> </w:t>
      </w:r>
      <w:r w:rsidR="00F4010D" w:rsidRPr="00115E9B">
        <w:t>m</w:t>
      </w:r>
      <w:r>
        <w:t>illion</w:t>
      </w:r>
      <w:r w:rsidR="00F4010D" w:rsidRPr="00115E9B">
        <w:t xml:space="preserve"> to fund benefit cap administration costs and other ‘new burdens’ incurred by </w:t>
      </w:r>
      <w:r>
        <w:t>local a</w:t>
      </w:r>
      <w:r w:rsidR="00F4010D" w:rsidRPr="00115E9B">
        <w:t>uthorities in operating the cap.</w:t>
      </w:r>
      <w:r w:rsidR="001D6B7B">
        <w:t xml:space="preserve"> </w:t>
      </w:r>
      <w:r w:rsidR="00CD2E4D">
        <w:t>Assuming</w:t>
      </w:r>
      <w:r w:rsidR="00321582">
        <w:t xml:space="preserve"> the</w:t>
      </w:r>
      <w:r w:rsidR="00CD2E4D">
        <w:t xml:space="preserve"> savings</w:t>
      </w:r>
      <w:r w:rsidR="006C3C72">
        <w:t xml:space="preserve"> in 2018-</w:t>
      </w:r>
      <w:r w:rsidR="00B85C7C">
        <w:t>1</w:t>
      </w:r>
      <w:r w:rsidR="006C3C72">
        <w:t xml:space="preserve">9 are </w:t>
      </w:r>
      <w:r w:rsidR="00CD2E4D">
        <w:t>of a similar level</w:t>
      </w:r>
      <w:r w:rsidR="006C3C72">
        <w:t xml:space="preserve"> </w:t>
      </w:r>
      <w:r w:rsidR="00CD2E4D">
        <w:t>to 2017-18 (£190 million)</w:t>
      </w:r>
      <w:r w:rsidR="00FA3553">
        <w:t>,</w:t>
      </w:r>
      <w:r w:rsidR="00CD2E4D">
        <w:t xml:space="preserve"> this would mean </w:t>
      </w:r>
      <w:r w:rsidR="006C3C72">
        <w:t>that</w:t>
      </w:r>
      <w:r w:rsidR="00321582">
        <w:t xml:space="preserve"> including these additional costs</w:t>
      </w:r>
      <w:r w:rsidR="00F4010D">
        <w:t xml:space="preserve"> would </w:t>
      </w:r>
      <w:r w:rsidR="00C272ED">
        <w:t>bring</w:t>
      </w:r>
      <w:r w:rsidR="00321582">
        <w:t xml:space="preserve"> savings </w:t>
      </w:r>
      <w:r w:rsidR="00C272ED">
        <w:t>down by</w:t>
      </w:r>
      <w:r w:rsidR="00F4010D">
        <w:t xml:space="preserve"> over a third</w:t>
      </w:r>
      <w:r w:rsidR="00C272ED">
        <w:t>,</w:t>
      </w:r>
      <w:r w:rsidR="00F4010D">
        <w:t xml:space="preserve"> to around £130 million.</w:t>
      </w:r>
      <w:r w:rsidR="006E4F18">
        <w:t xml:space="preserve"> </w:t>
      </w:r>
      <w:r w:rsidR="0075672A">
        <w:t>The IFS has previously commented that the provision of DHPs as a mitigating feature for vulnerable households render</w:t>
      </w:r>
      <w:r w:rsidR="00FD12B6">
        <w:t>s</w:t>
      </w:r>
      <w:r w:rsidR="0075672A">
        <w:t xml:space="preserve"> the "net fiscal savings from the cap all the more trivial".</w:t>
      </w:r>
      <w:r w:rsidR="00D03410">
        <w:rPr>
          <w:rStyle w:val="FootnoteReference"/>
        </w:rPr>
        <w:footnoteReference w:id="144"/>
      </w:r>
    </w:p>
    <w:p w14:paraId="56AF1D81" w14:textId="77777777" w:rsidR="00EA15B6" w:rsidRPr="00EB128B" w:rsidRDefault="00C06DBB" w:rsidP="008020C5">
      <w:pPr>
        <w:pStyle w:val="Para1"/>
      </w:pPr>
      <w:r>
        <w:t xml:space="preserve">Organisations such as </w:t>
      </w:r>
      <w:r w:rsidR="00583008">
        <w:t>Policy in Practice</w:t>
      </w:r>
      <w:r>
        <w:t xml:space="preserve"> argued that</w:t>
      </w:r>
      <w:r w:rsidR="00FD12B6">
        <w:t>,</w:t>
      </w:r>
      <w:r w:rsidR="006E4F18">
        <w:t xml:space="preserve"> </w:t>
      </w:r>
      <w:r>
        <w:t xml:space="preserve">if </w:t>
      </w:r>
      <w:r w:rsidR="003067E1">
        <w:t xml:space="preserve">the </w:t>
      </w:r>
      <w:r>
        <w:t xml:space="preserve">costs that local authorities and the welfare system incur as a result of the cap </w:t>
      </w:r>
      <w:r w:rsidR="00FD12B6">
        <w:t xml:space="preserve">are taken into account, </w:t>
      </w:r>
      <w:r>
        <w:t>the annual savings of around £200 million a year</w:t>
      </w:r>
      <w:r w:rsidR="00583008">
        <w:t xml:space="preserve"> could probably be offset</w:t>
      </w:r>
      <w:r>
        <w:t>.</w:t>
      </w:r>
      <w:r w:rsidR="00583008">
        <w:rPr>
          <w:rStyle w:val="FootnoteReference"/>
        </w:rPr>
        <w:footnoteReference w:id="145"/>
      </w:r>
      <w:r w:rsidR="001D6B7B">
        <w:t xml:space="preserve"> </w:t>
      </w:r>
      <w:r w:rsidR="00583008">
        <w:t xml:space="preserve"> CPAG tol</w:t>
      </w:r>
      <w:r>
        <w:t xml:space="preserve">d </w:t>
      </w:r>
      <w:r w:rsidR="00583008">
        <w:t xml:space="preserve">us </w:t>
      </w:r>
      <w:r>
        <w:t>that</w:t>
      </w:r>
      <w:r w:rsidR="00583008">
        <w:t>,</w:t>
      </w:r>
      <w:r>
        <w:t xml:space="preserve"> </w:t>
      </w:r>
      <w:r w:rsidR="006C3C72">
        <w:t>together with the costs</w:t>
      </w:r>
      <w:r w:rsidR="00E658A1">
        <w:t xml:space="preserve"> of</w:t>
      </w:r>
      <w:r w:rsidR="006C3C72">
        <w:t xml:space="preserve"> </w:t>
      </w:r>
      <w:r w:rsidR="00DD121F">
        <w:t xml:space="preserve">the funding </w:t>
      </w:r>
      <w:r w:rsidR="00E658A1">
        <w:t xml:space="preserve">that </w:t>
      </w:r>
      <w:r w:rsidR="00DD121F">
        <w:t xml:space="preserve">the Department provides to local authorities, </w:t>
      </w:r>
      <w:r w:rsidR="00EA15B6" w:rsidRPr="00EB128B">
        <w:t xml:space="preserve">the cap's impact on child poverty could render the long-term financial savings </w:t>
      </w:r>
      <w:r w:rsidR="00891CAE">
        <w:t>"negligible</w:t>
      </w:r>
      <w:r w:rsidR="00A013E5">
        <w:t>"</w:t>
      </w:r>
      <w:r w:rsidR="00EA15B6" w:rsidRPr="00EB128B">
        <w:t>.</w:t>
      </w:r>
      <w:r w:rsidR="00F2065A">
        <w:rPr>
          <w:rStyle w:val="FootnoteReference"/>
        </w:rPr>
        <w:footnoteReference w:id="146"/>
      </w:r>
    </w:p>
    <w:p w14:paraId="610D54C3" w14:textId="77777777" w:rsidR="004864A9" w:rsidRDefault="003671D3" w:rsidP="008020C5">
      <w:pPr>
        <w:pStyle w:val="Para1"/>
      </w:pPr>
      <w:r>
        <w:t>The</w:t>
      </w:r>
      <w:r w:rsidR="000463F1">
        <w:t xml:space="preserve"> Department confirmed</w:t>
      </w:r>
      <w:r w:rsidR="00E37BAC">
        <w:t xml:space="preserve"> that</w:t>
      </w:r>
      <w:r w:rsidR="000463F1">
        <w:t xml:space="preserve"> it ha</w:t>
      </w:r>
      <w:r w:rsidR="00284E3C">
        <w:t>s</w:t>
      </w:r>
      <w:r w:rsidR="000463F1">
        <w:t xml:space="preserve"> not carried out a full cost benefit analysis of the cap.</w:t>
      </w:r>
      <w:r w:rsidR="006737BD">
        <w:rPr>
          <w:rStyle w:val="FootnoteReference"/>
        </w:rPr>
        <w:footnoteReference w:id="147"/>
      </w:r>
      <w:r w:rsidR="006E4F18">
        <w:t xml:space="preserve"> </w:t>
      </w:r>
      <w:r w:rsidR="00DD121F">
        <w:t>Despite this, i</w:t>
      </w:r>
      <w:r>
        <w:t xml:space="preserve">t told us </w:t>
      </w:r>
      <w:r w:rsidR="00187EAD">
        <w:t xml:space="preserve">that </w:t>
      </w:r>
      <w:r>
        <w:t>the costs of DHPs and administrative funding provided to local authorities are "far outweighed by the total fiscal savings from the benefit cap"</w:t>
      </w:r>
      <w:r w:rsidR="00284E3C">
        <w:t>,</w:t>
      </w:r>
      <w:r>
        <w:t xml:space="preserve"> and that it was "not aware of any knock-on effects on other public spending as a result of the benefit cap being introduced".</w:t>
      </w:r>
      <w:r w:rsidR="00C3150C">
        <w:rPr>
          <w:rStyle w:val="FootnoteReference"/>
        </w:rPr>
        <w:footnoteReference w:id="148"/>
      </w:r>
      <w:r w:rsidR="006E4F18">
        <w:t xml:space="preserve"> </w:t>
      </w:r>
      <w:r w:rsidR="009E5393" w:rsidRPr="009E5393">
        <w:t>Given the concerns raised by stakeholders in the advice and welfare sector—including local authorities and organisations supporting claimants—about the additional pressures the cap is placing on the wider welfare system, it is clear that the Department has not sought to identify these costs or engaged stakeholders in making this statement.</w:t>
      </w:r>
    </w:p>
    <w:p w14:paraId="000E4246" w14:textId="77777777" w:rsidR="006F58DA" w:rsidRDefault="00A662C3" w:rsidP="00B831A5">
      <w:pPr>
        <w:pStyle w:val="Heading2"/>
      </w:pPr>
      <w:bookmarkStart w:id="61" w:name="_Toc431461"/>
      <w:r>
        <w:t>Additional costs</w:t>
      </w:r>
      <w:r w:rsidR="00EB128B">
        <w:t xml:space="preserve"> to local authorities</w:t>
      </w:r>
      <w:bookmarkEnd w:id="61"/>
    </w:p>
    <w:p w14:paraId="3E113998" w14:textId="77777777" w:rsidR="004C5491" w:rsidRDefault="004C5491" w:rsidP="00B831A5">
      <w:pPr>
        <w:pStyle w:val="Heading3"/>
      </w:pPr>
      <w:bookmarkStart w:id="62" w:name="_Toc431462"/>
      <w:r>
        <w:t>Additional Resource</w:t>
      </w:r>
      <w:bookmarkEnd w:id="62"/>
    </w:p>
    <w:p w14:paraId="35DB3E9C" w14:textId="77777777" w:rsidR="00CD2E4D" w:rsidRDefault="00CB47FE" w:rsidP="006D022C">
      <w:pPr>
        <w:pStyle w:val="Para1"/>
      </w:pPr>
      <w:r>
        <w:t xml:space="preserve">Policy in Practice </w:t>
      </w:r>
      <w:r w:rsidR="00CD2E4D">
        <w:t>described the vital role that local authorities play in supporting vulnerable claimants</w:t>
      </w:r>
      <w:r w:rsidR="00E37BAC">
        <w:t>. I</w:t>
      </w:r>
      <w:r w:rsidR="00CD2E4D">
        <w:t>t said:</w:t>
      </w:r>
    </w:p>
    <w:p w14:paraId="36FDA53D" w14:textId="77777777" w:rsidR="006D022C" w:rsidRPr="006D022C" w:rsidRDefault="00CD2E4D" w:rsidP="00CD2E4D">
      <w:pPr>
        <w:pStyle w:val="Quote"/>
      </w:pPr>
      <w:r w:rsidRPr="002D45D1">
        <w:rPr>
          <w:rStyle w:val="Emphasis"/>
        </w:rPr>
        <w:t>L</w:t>
      </w:r>
      <w:r w:rsidR="006D022C" w:rsidRPr="002D45D1">
        <w:rPr>
          <w:rStyle w:val="Emphasis"/>
        </w:rPr>
        <w:t>ocal authorities are often left "plugging the gap" created by benefit rules and necessarily provide a safety net for their most vulnerable and disadvantaged residents, albeit with ever shrinking and limited resources.</w:t>
      </w:r>
      <w:r>
        <w:rPr>
          <w:rStyle w:val="FootnoteReference"/>
        </w:rPr>
        <w:footnoteReference w:id="149"/>
      </w:r>
    </w:p>
    <w:p w14:paraId="3ECFDA87" w14:textId="77777777" w:rsidR="0089364A" w:rsidRDefault="006D022C" w:rsidP="0089364A">
      <w:pPr>
        <w:pStyle w:val="Para1"/>
      </w:pPr>
      <w:r>
        <w:t>Local</w:t>
      </w:r>
      <w:r w:rsidR="00082B9A">
        <w:t xml:space="preserve"> authorities </w:t>
      </w:r>
      <w:r w:rsidR="00187EAD">
        <w:t xml:space="preserve">told us </w:t>
      </w:r>
      <w:r w:rsidR="00A662C3">
        <w:t>that</w:t>
      </w:r>
      <w:r w:rsidR="00187EAD">
        <w:t>,</w:t>
      </w:r>
      <w:r w:rsidR="00A662C3">
        <w:t xml:space="preserve"> while the cap </w:t>
      </w:r>
      <w:r w:rsidR="00CB47FE">
        <w:t>was</w:t>
      </w:r>
      <w:r w:rsidR="00A662C3">
        <w:t xml:space="preserve"> introduced to secure </w:t>
      </w:r>
      <w:r w:rsidR="00E15ABD">
        <w:t xml:space="preserve">financial </w:t>
      </w:r>
      <w:r w:rsidR="00A662C3">
        <w:t>savings</w:t>
      </w:r>
      <w:r w:rsidR="00215F89">
        <w:t xml:space="preserve"> for central government</w:t>
      </w:r>
      <w:r w:rsidR="00A662C3">
        <w:t>,</w:t>
      </w:r>
      <w:r w:rsidR="00115E9B">
        <w:t xml:space="preserve"> they have had to dedicate </w:t>
      </w:r>
      <w:r w:rsidR="000468D7">
        <w:t>significant</w:t>
      </w:r>
      <w:r w:rsidR="00115E9B">
        <w:t xml:space="preserve"> resources to "mitigate the negative impact of the policy".</w:t>
      </w:r>
      <w:r w:rsidR="00187EAD">
        <w:rPr>
          <w:rStyle w:val="FootnoteReference"/>
        </w:rPr>
        <w:footnoteReference w:id="150"/>
      </w:r>
      <w:r w:rsidR="001D6B7B">
        <w:t xml:space="preserve"> </w:t>
      </w:r>
      <w:r w:rsidR="00A712F9">
        <w:t xml:space="preserve">We </w:t>
      </w:r>
      <w:r w:rsidR="00D77917">
        <w:t xml:space="preserve">heard </w:t>
      </w:r>
      <w:r w:rsidR="000415CF">
        <w:t xml:space="preserve">from </w:t>
      </w:r>
      <w:r w:rsidR="00305172">
        <w:t>local</w:t>
      </w:r>
      <w:r w:rsidR="00A712F9">
        <w:t xml:space="preserve"> authorities</w:t>
      </w:r>
      <w:r w:rsidR="00DA4B55">
        <w:t xml:space="preserve"> who </w:t>
      </w:r>
      <w:r w:rsidR="00E15ABD">
        <w:t xml:space="preserve">were putting a </w:t>
      </w:r>
      <w:r w:rsidR="009B3E76">
        <w:t>tremendous</w:t>
      </w:r>
      <w:r w:rsidR="00E15ABD">
        <w:t xml:space="preserve"> amount of effort</w:t>
      </w:r>
      <w:r w:rsidR="00A712F9">
        <w:t xml:space="preserve"> </w:t>
      </w:r>
      <w:r w:rsidR="00687546">
        <w:t>in</w:t>
      </w:r>
      <w:r w:rsidR="00A712F9">
        <w:t xml:space="preserve">to </w:t>
      </w:r>
      <w:r w:rsidR="00E15ABD">
        <w:t>target</w:t>
      </w:r>
      <w:r w:rsidR="00687546">
        <w:t>ing</w:t>
      </w:r>
      <w:r w:rsidR="00E15ABD">
        <w:t xml:space="preserve"> and </w:t>
      </w:r>
      <w:r w:rsidR="00A712F9">
        <w:t>support</w:t>
      </w:r>
      <w:r w:rsidR="00687546">
        <w:t>ing</w:t>
      </w:r>
      <w:r w:rsidR="00A712F9">
        <w:t xml:space="preserve"> </w:t>
      </w:r>
      <w:r w:rsidR="00687546">
        <w:t>residents affected by the cap</w:t>
      </w:r>
      <w:r w:rsidR="00A712F9">
        <w:t>.</w:t>
      </w:r>
      <w:r w:rsidR="006E4F18">
        <w:t xml:space="preserve"> </w:t>
      </w:r>
      <w:r w:rsidR="00687546">
        <w:t>A</w:t>
      </w:r>
      <w:r w:rsidR="00D90780">
        <w:t xml:space="preserve">ll </w:t>
      </w:r>
      <w:r w:rsidR="00687546">
        <w:t>of the local authorities who spoke to us had put</w:t>
      </w:r>
      <w:r w:rsidR="00033AE3">
        <w:t xml:space="preserve"> in place specially designated teams to proactively reach out to </w:t>
      </w:r>
      <w:r w:rsidR="00593673">
        <w:t>households</w:t>
      </w:r>
      <w:r w:rsidR="009E3ADC">
        <w:t xml:space="preserve"> affected by the cap </w:t>
      </w:r>
      <w:r w:rsidR="00AD5C79">
        <w:t>(a</w:t>
      </w:r>
      <w:r w:rsidR="002251FF">
        <w:t>s well as by</w:t>
      </w:r>
      <w:r w:rsidR="00AD5C79">
        <w:t xml:space="preserve"> </w:t>
      </w:r>
      <w:r w:rsidR="009E3ADC">
        <w:t>other welfare reforms</w:t>
      </w:r>
      <w:r w:rsidR="00AD5C79">
        <w:t>)</w:t>
      </w:r>
      <w:r w:rsidR="00593673">
        <w:t>.</w:t>
      </w:r>
      <w:r w:rsidR="00746C81">
        <w:rPr>
          <w:rStyle w:val="FootnoteReference"/>
        </w:rPr>
        <w:footnoteReference w:id="151"/>
      </w:r>
      <w:r w:rsidR="001D6B7B">
        <w:t xml:space="preserve"> </w:t>
      </w:r>
    </w:p>
    <w:p w14:paraId="4A4A4056" w14:textId="77777777" w:rsidR="00E15ABD" w:rsidRDefault="00687546" w:rsidP="0089364A">
      <w:pPr>
        <w:pStyle w:val="Para1"/>
      </w:pPr>
      <w:r>
        <w:t xml:space="preserve">Newcastle City Council explained that it took the initial </w:t>
      </w:r>
      <w:r w:rsidR="00D90780">
        <w:t xml:space="preserve">"proactive" </w:t>
      </w:r>
      <w:r>
        <w:t>approach of helping families to reduce their financial expenditure</w:t>
      </w:r>
      <w:r w:rsidR="00D90780">
        <w:t>.</w:t>
      </w:r>
      <w:r w:rsidR="006E4F18">
        <w:t xml:space="preserve"> </w:t>
      </w:r>
      <w:r w:rsidR="00D90780">
        <w:t>T</w:t>
      </w:r>
      <w:r>
        <w:t>his included helping claimants to reduce debt repayments, working with water providers to reduce a household's bills and negotiating with high cost credit agencies on behalf of claimants to return household goods and replace them with goods from its "s</w:t>
      </w:r>
      <w:r w:rsidR="00BA61D1">
        <w:t>upporting independence scheme"</w:t>
      </w:r>
      <w:r w:rsidR="002251FF">
        <w:rPr>
          <w:rStyle w:val="FootnoteReference"/>
        </w:rPr>
        <w:footnoteReference w:id="152"/>
      </w:r>
      <w:r w:rsidR="00BA61D1">
        <w:t>.</w:t>
      </w:r>
      <w:r w:rsidR="006E4F18">
        <w:t xml:space="preserve"> </w:t>
      </w:r>
      <w:r w:rsidR="00B85C7C">
        <w:t>Several l</w:t>
      </w:r>
      <w:r w:rsidR="009E3ADC">
        <w:t>ocal authorities</w:t>
      </w:r>
      <w:r>
        <w:t xml:space="preserve"> stressed the importance of providing households with "stability", before they could even begin to talk to claimants about seeking employment.</w:t>
      </w:r>
      <w:r w:rsidR="002251FF">
        <w:rPr>
          <w:rStyle w:val="FootnoteReference"/>
        </w:rPr>
        <w:footnoteReference w:id="153"/>
      </w:r>
      <w:r>
        <w:t xml:space="preserve"> </w:t>
      </w:r>
    </w:p>
    <w:p w14:paraId="4483A067" w14:textId="77777777" w:rsidR="00F422E3" w:rsidRDefault="00D90780" w:rsidP="00F422E3">
      <w:pPr>
        <w:pStyle w:val="Para1"/>
      </w:pPr>
      <w:r>
        <w:t xml:space="preserve">Witnesses </w:t>
      </w:r>
      <w:r w:rsidR="00487FA8">
        <w:t xml:space="preserve">from local authorities </w:t>
      </w:r>
      <w:r>
        <w:t xml:space="preserve">raised concerns </w:t>
      </w:r>
      <w:r w:rsidR="00E37BAC">
        <w:t>about</w:t>
      </w:r>
      <w:r>
        <w:t xml:space="preserve"> the sustainability of </w:t>
      </w:r>
      <w:r w:rsidR="00422909">
        <w:t xml:space="preserve">the support they are providing </w:t>
      </w:r>
      <w:r w:rsidR="00852964">
        <w:t xml:space="preserve">in the long-term </w:t>
      </w:r>
      <w:r w:rsidR="00422909">
        <w:t>and highlighted that it is not a</w:t>
      </w:r>
      <w:r w:rsidR="0040272E">
        <w:t xml:space="preserve"> 'statutory'</w:t>
      </w:r>
      <w:r w:rsidR="00C93CA5">
        <w:t xml:space="preserve"> service</w:t>
      </w:r>
      <w:r>
        <w:t>.</w:t>
      </w:r>
      <w:r w:rsidR="00483C99">
        <w:rPr>
          <w:rStyle w:val="FootnoteReference"/>
        </w:rPr>
        <w:footnoteReference w:id="154"/>
      </w:r>
      <w:r w:rsidR="006E4F18">
        <w:t xml:space="preserve"> </w:t>
      </w:r>
      <w:r w:rsidR="00687299">
        <w:t>Several</w:t>
      </w:r>
      <w:r w:rsidR="00013EB4">
        <w:t xml:space="preserve"> authorities </w:t>
      </w:r>
      <w:r w:rsidR="00687299">
        <w:t>said</w:t>
      </w:r>
      <w:r w:rsidR="00305172">
        <w:t xml:space="preserve"> </w:t>
      </w:r>
      <w:r w:rsidR="00487FA8">
        <w:t xml:space="preserve">that </w:t>
      </w:r>
      <w:r w:rsidR="00305172">
        <w:t xml:space="preserve">they </w:t>
      </w:r>
      <w:r w:rsidR="00487FA8">
        <w:t>we</w:t>
      </w:r>
      <w:r w:rsidR="00B42FAE">
        <w:t>re using their own funds</w:t>
      </w:r>
      <w:r w:rsidR="00687299">
        <w:t xml:space="preserve"> or seeking additional funding from other schemes</w:t>
      </w:r>
      <w:r w:rsidR="00B42FAE">
        <w:t xml:space="preserve"> </w:t>
      </w:r>
      <w:r w:rsidR="00687299">
        <w:t>to help households affected by the cap.</w:t>
      </w:r>
      <w:r w:rsidR="006E4F18">
        <w:t xml:space="preserve"> </w:t>
      </w:r>
      <w:r w:rsidR="00687299">
        <w:t>Mark Fowler, CEO of Barking and Dagenham Council</w:t>
      </w:r>
      <w:r w:rsidR="00487FA8">
        <w:t>,</w:t>
      </w:r>
      <w:r w:rsidR="00687299">
        <w:t xml:space="preserve"> explained that</w:t>
      </w:r>
      <w:r w:rsidR="00487FA8">
        <w:t>,</w:t>
      </w:r>
      <w:r w:rsidR="00687299">
        <w:t xml:space="preserve"> while the</w:t>
      </w:r>
      <w:r w:rsidR="00487FA8">
        <w:t xml:space="preserve"> council</w:t>
      </w:r>
      <w:r w:rsidR="00687299">
        <w:t xml:space="preserve"> plan</w:t>
      </w:r>
      <w:r w:rsidR="00487FA8">
        <w:t>s</w:t>
      </w:r>
      <w:r w:rsidR="00687299">
        <w:t xml:space="preserve"> to continue using </w:t>
      </w:r>
      <w:r w:rsidR="00487FA8">
        <w:t xml:space="preserve">its </w:t>
      </w:r>
      <w:r w:rsidR="00687299">
        <w:t>own funds</w:t>
      </w:r>
      <w:r w:rsidR="00487FA8">
        <w:t>,</w:t>
      </w:r>
      <w:r w:rsidR="00687299">
        <w:t xml:space="preserve"> "there are additional pressures coming into local authorities".</w:t>
      </w:r>
      <w:r w:rsidR="00483C99">
        <w:rPr>
          <w:rStyle w:val="FootnoteReference"/>
        </w:rPr>
        <w:footnoteReference w:id="155"/>
      </w:r>
      <w:r w:rsidR="006E4F18">
        <w:t xml:space="preserve"> </w:t>
      </w:r>
      <w:r w:rsidR="00662160">
        <w:t xml:space="preserve">Likewise, </w:t>
      </w:r>
      <w:r w:rsidR="00687299">
        <w:t xml:space="preserve">Claire Horton </w:t>
      </w:r>
      <w:r w:rsidR="00487FA8">
        <w:t xml:space="preserve">of Newcastle City Council </w:t>
      </w:r>
      <w:r w:rsidR="00687299">
        <w:t>said</w:t>
      </w:r>
      <w:r w:rsidR="00487FA8">
        <w:t>:</w:t>
      </w:r>
      <w:r w:rsidR="006E4F18">
        <w:t xml:space="preserve"> </w:t>
      </w:r>
    </w:p>
    <w:p w14:paraId="6D748FCC" w14:textId="77777777" w:rsidR="00687299" w:rsidRPr="00F422E3" w:rsidRDefault="00687299" w:rsidP="00E550AF">
      <w:pPr>
        <w:pStyle w:val="Quote"/>
        <w:rPr>
          <w:rStyle w:val="Emphasis"/>
        </w:rPr>
      </w:pPr>
      <w:r w:rsidRPr="00F422E3">
        <w:rPr>
          <w:rStyle w:val="Emphasis"/>
        </w:rPr>
        <w:t>If the money did run out for a particular approach, we would have to think about how we would do that with existing resources. That would mean we might not be able to help competing groups of residents who have other needs.</w:t>
      </w:r>
      <w:r w:rsidR="00116534">
        <w:rPr>
          <w:rStyle w:val="FootnoteReference"/>
          <w:i/>
          <w:iCs/>
        </w:rPr>
        <w:footnoteReference w:id="156"/>
      </w:r>
    </w:p>
    <w:p w14:paraId="1D74450F" w14:textId="77777777" w:rsidR="00687546" w:rsidRDefault="000C5F5F" w:rsidP="00687299">
      <w:pPr>
        <w:pStyle w:val="Para1"/>
      </w:pPr>
      <w:r>
        <w:t>D</w:t>
      </w:r>
      <w:r w:rsidR="009658E8">
        <w:t>espite the work they are doing</w:t>
      </w:r>
      <w:r w:rsidR="00494EFF">
        <w:t>, we heard that local authorities</w:t>
      </w:r>
      <w:r w:rsidR="001677FB">
        <w:t xml:space="preserve"> are still seeing some "absolutely desperate circumstances".</w:t>
      </w:r>
      <w:r w:rsidR="001D6B7B">
        <w:t xml:space="preserve"> </w:t>
      </w:r>
      <w:r w:rsidR="001677FB">
        <w:t>Mark Fowler highlighted th</w:t>
      </w:r>
      <w:r w:rsidR="00B35A01">
        <w:t xml:space="preserve">at the losses some families face are </w:t>
      </w:r>
      <w:r w:rsidR="001677FB">
        <w:t>"quite dramatic" and</w:t>
      </w:r>
      <w:r w:rsidR="00ED3260">
        <w:t xml:space="preserve"> said,</w:t>
      </w:r>
      <w:r w:rsidR="001677FB">
        <w:t xml:space="preserve"> "no matter what you put in place to try to work with people with their finances, there is only a certain level of impact you are going to have".</w:t>
      </w:r>
      <w:r w:rsidR="00B25694">
        <w:rPr>
          <w:rStyle w:val="FootnoteReference"/>
        </w:rPr>
        <w:footnoteReference w:id="157"/>
      </w:r>
      <w:r w:rsidR="001D6B7B">
        <w:t xml:space="preserve"> </w:t>
      </w:r>
      <w:r w:rsidR="00B35A01">
        <w:t>It is important to note that</w:t>
      </w:r>
      <w:r w:rsidR="0073148C">
        <w:t>,</w:t>
      </w:r>
      <w:r w:rsidR="00B35A01">
        <w:t xml:space="preserve"> while we heard from a handful of local authorities</w:t>
      </w:r>
      <w:r w:rsidR="0073148C">
        <w:t xml:space="preserve"> which are</w:t>
      </w:r>
      <w:r w:rsidR="00B35A01">
        <w:t xml:space="preserve"> doing great work, there are over 400 local authorities in the UK and not all local authorities will be taking </w:t>
      </w:r>
      <w:r w:rsidR="0073148C">
        <w:t>such a proactive approach.</w:t>
      </w:r>
    </w:p>
    <w:p w14:paraId="1A6385A9" w14:textId="77777777" w:rsidR="00494EFF" w:rsidRDefault="00494EFF" w:rsidP="0066181C">
      <w:pPr>
        <w:pStyle w:val="Heading4"/>
      </w:pPr>
      <w:r>
        <w:t>Data sharing</w:t>
      </w:r>
    </w:p>
    <w:p w14:paraId="770B5AF0" w14:textId="77777777" w:rsidR="00494EFF" w:rsidRDefault="00DF41AC" w:rsidP="00506DCF">
      <w:pPr>
        <w:pStyle w:val="Para1"/>
      </w:pPr>
      <w:r>
        <w:t>Local a</w:t>
      </w:r>
      <w:r w:rsidR="00494EFF">
        <w:t xml:space="preserve">uthorities explained that it is the data on capped households— available to them through the Housing Benefit system—which allows them proactively </w:t>
      </w:r>
      <w:r w:rsidR="00DE301D">
        <w:t xml:space="preserve">to </w:t>
      </w:r>
      <w:r w:rsidR="00494EFF">
        <w:t>target capped households who may need support.</w:t>
      </w:r>
      <w:r w:rsidR="001E4936">
        <w:rPr>
          <w:rStyle w:val="FootnoteReference"/>
        </w:rPr>
        <w:footnoteReference w:id="158"/>
      </w:r>
      <w:r w:rsidR="006E4F18">
        <w:t xml:space="preserve"> </w:t>
      </w:r>
      <w:r w:rsidR="00494EFF">
        <w:t xml:space="preserve">We heard that they are not able to access this data for households on </w:t>
      </w:r>
      <w:r w:rsidR="00183A5E">
        <w:t>U</w:t>
      </w:r>
      <w:r w:rsidR="00DE301D">
        <w:t xml:space="preserve">niversal </w:t>
      </w:r>
      <w:r w:rsidR="00183A5E">
        <w:t>C</w:t>
      </w:r>
      <w:r w:rsidR="00DE301D">
        <w:t>redit</w:t>
      </w:r>
      <w:r w:rsidR="00494EFF">
        <w:t>, because the Department will not share it with them.</w:t>
      </w:r>
      <w:r w:rsidR="001D6B7B">
        <w:t xml:space="preserve"> </w:t>
      </w:r>
      <w:r w:rsidR="00494EFF">
        <w:t xml:space="preserve">Witnesses said this leaves authorities "blind" to who is capped under </w:t>
      </w:r>
      <w:r w:rsidR="00183A5E">
        <w:t>UC</w:t>
      </w:r>
      <w:r w:rsidR="00494EFF">
        <w:t>.</w:t>
      </w:r>
      <w:r w:rsidR="00B7548D">
        <w:rPr>
          <w:rStyle w:val="FootnoteReference"/>
        </w:rPr>
        <w:footnoteReference w:id="159"/>
      </w:r>
      <w:r w:rsidR="00494EFF">
        <w:t xml:space="preserve"> Graham Bourne, </w:t>
      </w:r>
      <w:r w:rsidR="00AB4D40">
        <w:t xml:space="preserve">Head of Revenue and Benefits </w:t>
      </w:r>
      <w:r w:rsidR="00494EFF">
        <w:t>for Brighton Council</w:t>
      </w:r>
      <w:r w:rsidR="00DE301D">
        <w:t>,</w:t>
      </w:r>
      <w:r w:rsidR="00494EFF">
        <w:t xml:space="preserve"> said </w:t>
      </w:r>
      <w:r w:rsidR="0015673B">
        <w:t xml:space="preserve">that </w:t>
      </w:r>
      <w:r w:rsidR="00494EFF">
        <w:t>this</w:t>
      </w:r>
      <w:r w:rsidR="00F52224">
        <w:t xml:space="preserve"> </w:t>
      </w:r>
      <w:r w:rsidR="00494EFF">
        <w:t xml:space="preserve">forces </w:t>
      </w:r>
      <w:r w:rsidR="00DE301D">
        <w:t xml:space="preserve">local authorities </w:t>
      </w:r>
      <w:r w:rsidR="00494EFF">
        <w:t>to be "reactive rather than proactive, which is no way to deal with hardship".</w:t>
      </w:r>
      <w:r w:rsidR="00B7548D">
        <w:rPr>
          <w:rStyle w:val="FootnoteReference"/>
        </w:rPr>
        <w:footnoteReference w:id="160"/>
      </w:r>
      <w:r w:rsidR="006E4F18">
        <w:t xml:space="preserve"> </w:t>
      </w:r>
      <w:r w:rsidR="00494EFF">
        <w:t xml:space="preserve">Mark Fowler told us that 22% of the people who are being capped across London are now </w:t>
      </w:r>
      <w:r w:rsidR="00183A5E">
        <w:t>UC</w:t>
      </w:r>
      <w:r w:rsidR="00494EFF">
        <w:t xml:space="preserve"> </w:t>
      </w:r>
      <w:r w:rsidR="00DE301D">
        <w:t xml:space="preserve">claimants </w:t>
      </w:r>
      <w:r w:rsidR="00494EFF">
        <w:t>and stressed that "regardless of how good the support is in the services, those people are more exposed than they would have been".</w:t>
      </w:r>
      <w:r w:rsidR="00B7548D">
        <w:rPr>
          <w:rStyle w:val="FootnoteReference"/>
        </w:rPr>
        <w:footnoteReference w:id="161"/>
      </w:r>
    </w:p>
    <w:p w14:paraId="5BA319E5" w14:textId="77777777" w:rsidR="00AB4D40" w:rsidRDefault="00494EFF" w:rsidP="001223A5">
      <w:pPr>
        <w:pStyle w:val="Para1"/>
      </w:pPr>
      <w:r>
        <w:t xml:space="preserve">In oral evidence, the Minister </w:t>
      </w:r>
      <w:r w:rsidR="00B25694">
        <w:t>said</w:t>
      </w:r>
      <w:r>
        <w:t xml:space="preserve"> he felt the point of data sharing with consent is an "absolute no-brainer" and</w:t>
      </w:r>
      <w:r w:rsidR="007344B5">
        <w:t xml:space="preserve"> </w:t>
      </w:r>
      <w:r w:rsidR="00AB4D40">
        <w:t xml:space="preserve">referred to </w:t>
      </w:r>
      <w:r w:rsidR="0039758C">
        <w:t>an example where this was working for ex-offenders</w:t>
      </w:r>
      <w:r w:rsidR="007344B5">
        <w:t>.</w:t>
      </w:r>
      <w:r w:rsidR="006E4F18">
        <w:t xml:space="preserve"> </w:t>
      </w:r>
      <w:r w:rsidR="007344B5">
        <w:t>He told us he</w:t>
      </w:r>
      <w:r>
        <w:t xml:space="preserve"> planned to raise the issue with the Secretary of State as a priority.</w:t>
      </w:r>
      <w:r w:rsidR="00380004">
        <w:rPr>
          <w:rStyle w:val="FootnoteReference"/>
        </w:rPr>
        <w:footnoteReference w:id="162"/>
      </w:r>
      <w:r w:rsidR="006E4F18">
        <w:t xml:space="preserve"> </w:t>
      </w:r>
      <w:r w:rsidR="00AB4D40">
        <w:t>However, i</w:t>
      </w:r>
      <w:r>
        <w:t>n correspondence follow</w:t>
      </w:r>
      <w:r w:rsidR="001223A5">
        <w:t>ing the session the Minister said</w:t>
      </w:r>
      <w:r w:rsidR="00AB4D40">
        <w:t>:</w:t>
      </w:r>
    </w:p>
    <w:p w14:paraId="00AB9259" w14:textId="77777777" w:rsidR="00BD6785" w:rsidRPr="002D45D1" w:rsidRDefault="001223A5" w:rsidP="00AB4D40">
      <w:pPr>
        <w:pStyle w:val="Quote"/>
        <w:rPr>
          <w:rStyle w:val="Emphasis"/>
        </w:rPr>
      </w:pPr>
      <w:r w:rsidRPr="002D45D1">
        <w:rPr>
          <w:rStyle w:val="Emphasis"/>
        </w:rPr>
        <w:t xml:space="preserve"> </w:t>
      </w:r>
      <w:r w:rsidR="007344B5" w:rsidRPr="002D45D1">
        <w:rPr>
          <w:rStyle w:val="Emphasis"/>
        </w:rPr>
        <w:t>T</w:t>
      </w:r>
      <w:r w:rsidRPr="002D45D1">
        <w:rPr>
          <w:rStyle w:val="Emphasis"/>
        </w:rPr>
        <w:t xml:space="preserve">he Department is committed to explore options with the SSAC in response to the SSAC's report on the draft of the </w:t>
      </w:r>
      <w:r w:rsidR="00183A5E" w:rsidRPr="002D45D1">
        <w:rPr>
          <w:rStyle w:val="Emphasis"/>
        </w:rPr>
        <w:t>UC</w:t>
      </w:r>
      <w:r w:rsidRPr="002D45D1">
        <w:rPr>
          <w:rStyle w:val="Emphasis"/>
        </w:rPr>
        <w:t xml:space="preserve"> (Managed Migration) Regulations 2018 and will publish a report on its joint conclusions.</w:t>
      </w:r>
      <w:r w:rsidR="00380004">
        <w:rPr>
          <w:rStyle w:val="FootnoteReference"/>
          <w:i/>
          <w:iCs/>
        </w:rPr>
        <w:footnoteReference w:id="163"/>
      </w:r>
    </w:p>
    <w:p w14:paraId="6F8DE858" w14:textId="77777777" w:rsidR="00494EFF" w:rsidRDefault="001223A5" w:rsidP="00BD6785">
      <w:pPr>
        <w:pStyle w:val="Para"/>
      </w:pPr>
      <w:r>
        <w:t xml:space="preserve">He did not </w:t>
      </w:r>
      <w:r w:rsidR="00B40BF7">
        <w:t xml:space="preserve">say when this report would be published. </w:t>
      </w:r>
    </w:p>
    <w:p w14:paraId="321777B9" w14:textId="77777777" w:rsidR="00FE5F9C" w:rsidRPr="00FE5F9C" w:rsidRDefault="00FE5F9C" w:rsidP="00FE5F9C">
      <w:pPr>
        <w:pStyle w:val="Para1"/>
        <w:rPr>
          <w:rStyle w:val="Conclusion"/>
        </w:rPr>
      </w:pPr>
      <w:bookmarkStart w:id="63" w:name="_Toc431463"/>
      <w:r w:rsidRPr="00FE5F9C">
        <w:rPr>
          <w:rStyle w:val="Conclusion"/>
        </w:rPr>
        <w:t>The work that many local authorities are doing—often at the expense of their own resources—to identify and support capped households is a vital tool in mitigating some of the hardship the cap creates. To date, local authorities have been able to target capped households and offer support using Housing Benefit data which indicates which households are subject to the cap. Local authorities told us that they cannot do this for Universal Credit because the Department does not provide them with the equivalent UC data. It is unacceptable that the Department is effectively hindering local authorities' efforts to provide the support that capped households on UC so desperately need. This places households on UC at a significant disadvantage compared to those on legacy benefits.</w:t>
      </w:r>
    </w:p>
    <w:p w14:paraId="4958C282" w14:textId="77777777" w:rsidR="00FE5F9C" w:rsidRPr="00FE5F9C" w:rsidRDefault="00FE5F9C" w:rsidP="00FE5F9C">
      <w:pPr>
        <w:pStyle w:val="Para1"/>
        <w:rPr>
          <w:rStyle w:val="Recommendation"/>
        </w:rPr>
      </w:pPr>
      <w:r w:rsidRPr="00FE5F9C">
        <w:rPr>
          <w:rStyle w:val="Recommendation"/>
        </w:rPr>
        <w:t>We recommend that the Department makes it an urgent priority to ensure that local authorities have the UC data they need to continue to support capped households.</w:t>
      </w:r>
      <w:r w:rsidR="009E5393">
        <w:rPr>
          <w:rStyle w:val="Recommendation"/>
        </w:rPr>
        <w:t xml:space="preserve">  It should publish its report on data sharing by July 2019 and ensure that improved data sharing processes are in place by September 2019.</w:t>
      </w:r>
    </w:p>
    <w:p w14:paraId="6D2AC7F2" w14:textId="77777777" w:rsidR="00D848C6" w:rsidRPr="00D848C6" w:rsidRDefault="00D848C6" w:rsidP="00D848C6">
      <w:pPr>
        <w:pStyle w:val="Heading3"/>
      </w:pPr>
      <w:r w:rsidRPr="00D848C6">
        <w:t>Temporary Accommodation</w:t>
      </w:r>
      <w:bookmarkEnd w:id="63"/>
    </w:p>
    <w:p w14:paraId="1D457D23" w14:textId="77777777" w:rsidR="00D848C6" w:rsidRDefault="006D47A3" w:rsidP="00415859">
      <w:pPr>
        <w:pStyle w:val="Para1"/>
      </w:pPr>
      <w:r>
        <w:t>We heard</w:t>
      </w:r>
      <w:r w:rsidR="00D848C6" w:rsidRPr="00D848C6">
        <w:t xml:space="preserve"> that including households in temporary accommodation in the cap has a "huge" impact on l</w:t>
      </w:r>
      <w:r w:rsidR="00354B21">
        <w:t>ocal authority budgets.</w:t>
      </w:r>
      <w:r w:rsidR="00B7548D">
        <w:rPr>
          <w:rStyle w:val="FootnoteReference"/>
        </w:rPr>
        <w:footnoteReference w:id="164"/>
      </w:r>
      <w:r w:rsidR="006E4F18">
        <w:t xml:space="preserve"> </w:t>
      </w:r>
      <w:r>
        <w:t>Some evidence to our inquiry described how families unable to cover their rental shortfalls were losing their homes and being moved into temporary accommodation as a result.</w:t>
      </w:r>
      <w:r w:rsidR="00B7548D">
        <w:rPr>
          <w:rStyle w:val="FootnoteReference"/>
        </w:rPr>
        <w:footnoteReference w:id="165"/>
      </w:r>
      <w:r>
        <w:t> </w:t>
      </w:r>
      <w:r w:rsidR="0015673B">
        <w:t>Shelter</w:t>
      </w:r>
      <w:r w:rsidR="0056720C">
        <w:t xml:space="preserve"> Scotland</w:t>
      </w:r>
      <w:r w:rsidR="0015673B">
        <w:t xml:space="preserve"> explained that l</w:t>
      </w:r>
      <w:r w:rsidR="00D848C6" w:rsidRPr="00D848C6">
        <w:t xml:space="preserve">ocal authorities are often "forced to pick up the tab" </w:t>
      </w:r>
      <w:r w:rsidR="0015673B">
        <w:t xml:space="preserve">if claimants cannot afford their rent, </w:t>
      </w:r>
      <w:r w:rsidR="00D848C6" w:rsidRPr="00D848C6">
        <w:t>either through arrears or by providing DHPs.</w:t>
      </w:r>
      <w:r w:rsidR="0056720C">
        <w:rPr>
          <w:rStyle w:val="FootnoteReference"/>
        </w:rPr>
        <w:footnoteReference w:id="166"/>
      </w:r>
      <w:r w:rsidR="006E4F18">
        <w:t xml:space="preserve"> </w:t>
      </w:r>
      <w:r w:rsidR="00A8720A">
        <w:t xml:space="preserve">London Councils explained that councils in London were </w:t>
      </w:r>
      <w:r w:rsidR="00D848C6" w:rsidRPr="00D848C6">
        <w:t>having difficulties</w:t>
      </w:r>
      <w:r w:rsidR="00A8720A">
        <w:t xml:space="preserve"> finding affordable housing for </w:t>
      </w:r>
      <w:r w:rsidR="00D848C6" w:rsidRPr="00D848C6">
        <w:t>capped</w:t>
      </w:r>
      <w:r w:rsidR="0099138B">
        <w:t xml:space="preserve"> </w:t>
      </w:r>
      <w:r w:rsidR="00D848C6" w:rsidRPr="00D848C6">
        <w:t>claimants, increasing the pressure on</w:t>
      </w:r>
      <w:r w:rsidR="00A8720A">
        <w:t xml:space="preserve"> their</w:t>
      </w:r>
      <w:r w:rsidR="00D848C6" w:rsidRPr="00D848C6">
        <w:t xml:space="preserve"> emergency accommodation budgets.</w:t>
      </w:r>
      <w:r>
        <w:rPr>
          <w:rStyle w:val="FootnoteReference"/>
        </w:rPr>
        <w:footnoteReference w:id="167"/>
      </w:r>
    </w:p>
    <w:p w14:paraId="1701999B" w14:textId="77777777" w:rsidR="00DB15B3" w:rsidRDefault="00DB15B3" w:rsidP="00DB15B3">
      <w:pPr>
        <w:pStyle w:val="Heading3"/>
      </w:pPr>
      <w:bookmarkStart w:id="64" w:name="_Toc431464"/>
      <w:r>
        <w:t>Wider costs</w:t>
      </w:r>
      <w:bookmarkEnd w:id="64"/>
    </w:p>
    <w:p w14:paraId="336E8003" w14:textId="77777777" w:rsidR="00DB15B3" w:rsidRPr="00DB15B3" w:rsidRDefault="00DB15B3" w:rsidP="00DB15B3">
      <w:pPr>
        <w:pStyle w:val="Para1"/>
      </w:pPr>
      <w:r>
        <w:t>Several organisations highlighted that the stress of the cap has led to an increased demand and pressure on mental health services.</w:t>
      </w:r>
      <w:r w:rsidR="007B1616">
        <w:rPr>
          <w:rStyle w:val="FootnoteReference"/>
        </w:rPr>
        <w:footnoteReference w:id="168"/>
      </w:r>
      <w:r w:rsidR="006E4F18">
        <w:t xml:space="preserve"> </w:t>
      </w:r>
      <w:r>
        <w:t xml:space="preserve">Brighton and Hove </w:t>
      </w:r>
      <w:r w:rsidR="00B35418">
        <w:t xml:space="preserve">City </w:t>
      </w:r>
      <w:r>
        <w:t>Council pointed out that families failing to eat or heat their homes sufficiently will also lead to a knock</w:t>
      </w:r>
      <w:r w:rsidR="00FB7584">
        <w:t>-</w:t>
      </w:r>
      <w:r>
        <w:t>on cost for public health services.</w:t>
      </w:r>
      <w:r w:rsidR="007B1616">
        <w:rPr>
          <w:rStyle w:val="FootnoteReference"/>
        </w:rPr>
        <w:footnoteReference w:id="169"/>
      </w:r>
      <w:r>
        <w:t xml:space="preserve"> </w:t>
      </w:r>
    </w:p>
    <w:p w14:paraId="6B263A05" w14:textId="77777777" w:rsidR="00EF0F91" w:rsidRPr="00EF0F91" w:rsidRDefault="00EF0F91" w:rsidP="00EF0F91">
      <w:pPr>
        <w:pStyle w:val="Para1"/>
        <w:rPr>
          <w:rStyle w:val="Conclusion"/>
        </w:rPr>
      </w:pPr>
      <w:bookmarkStart w:id="65" w:name="_Toc431465"/>
      <w:r w:rsidRPr="00EF0F91">
        <w:rPr>
          <w:rStyle w:val="Conclusion"/>
        </w:rPr>
        <w:t xml:space="preserve">The Department has repeatedly claimed that the benefit cap is saving money. Its claimed savings of £190 million a year are just 1% of the savings expected from the welfare reforms implemented since 2010, and a mere 0.1% of the total welfare bill. But even these </w:t>
      </w:r>
      <w:r w:rsidR="009E5393">
        <w:rPr>
          <w:rStyle w:val="Conclusion"/>
        </w:rPr>
        <w:t>relatively small</w:t>
      </w:r>
      <w:r w:rsidRPr="00EF0F91">
        <w:rPr>
          <w:rStyle w:val="Conclusion"/>
        </w:rPr>
        <w:t xml:space="preserve"> savings are likely to be an overestimate. Recognising that the cap creates hardship, the Department gives back a significant portion of the money it takes from claimants by providing funding for Discretionary Housing Payments to local councils, to help them support capped claimants.  This circular process of transferring public money from one budget to another—while a straightforward administrative issue for the Department—fails to consider the huge impact on families, who are left relying on less stable support; the Department does not  even include these costs in its figures. Nor does it consider the increased costs to local authorities through temporary accommodation, or the wider costs that hardship created by the cap may have on other public services. The Government cannot have it both ways: if this support for claimants is a key safeguard, it ought to be reflected in calculations of any savings. </w:t>
      </w:r>
    </w:p>
    <w:p w14:paraId="348CD325" w14:textId="77777777" w:rsidR="00EF0F91" w:rsidRPr="00EF0F91" w:rsidRDefault="00EF0F91" w:rsidP="00EF0F91">
      <w:pPr>
        <w:pStyle w:val="Para1"/>
        <w:rPr>
          <w:rStyle w:val="Recommendation"/>
        </w:rPr>
      </w:pPr>
      <w:r w:rsidRPr="00EF0F91">
        <w:rPr>
          <w:rStyle w:val="Recommendation"/>
        </w:rPr>
        <w:t>In the interest of transparency, we recommend that the Department conducts a full cost benefit analysis of its benefit cap policy to determine how much it really saves. This analysis should include the cost of Discretionary Housing Payments and administrative funding it provides to local authorities. It should seek to identify any additional costs to local authorities—for example, as a result of rent arrears—and to identify the costs to the wider welfare system which are the result of hardship caused by the cap.</w:t>
      </w:r>
    </w:p>
    <w:p w14:paraId="198CF9B3" w14:textId="77777777" w:rsidR="006073DB" w:rsidRDefault="001D2505" w:rsidP="0066181C">
      <w:pPr>
        <w:pStyle w:val="Heading2"/>
      </w:pPr>
      <w:r w:rsidRPr="00B831A5">
        <w:t>Discretionary Housing Payments</w:t>
      </w:r>
      <w:r w:rsidR="00156905">
        <w:t>:</w:t>
      </w:r>
      <w:r w:rsidR="00994FF3">
        <w:t xml:space="preserve"> funding for local authorities</w:t>
      </w:r>
      <w:bookmarkEnd w:id="65"/>
      <w:r w:rsidR="00994FF3">
        <w:t xml:space="preserve"> </w:t>
      </w:r>
    </w:p>
    <w:p w14:paraId="505417E6" w14:textId="77777777" w:rsidR="003714B6" w:rsidRDefault="003714B6" w:rsidP="003714B6">
      <w:pPr>
        <w:pStyle w:val="Para1"/>
      </w:pPr>
      <w:r w:rsidRPr="003714B6">
        <w:t>The DWP allocates DHP funding to local authorities across England and Wales.</w:t>
      </w:r>
      <w:r w:rsidR="006E4F18">
        <w:t xml:space="preserve"> </w:t>
      </w:r>
      <w:r w:rsidRPr="003714B6">
        <w:t>DHPs for Scotland were devolved from 1 April 2017, under the Scotland Act 2016.</w:t>
      </w:r>
      <w:r w:rsidR="001D6B7B">
        <w:t xml:space="preserve"> </w:t>
      </w:r>
      <w:r w:rsidRPr="003714B6">
        <w:t>In addition to small amounts of "core funding", local authorities receive specific allocations intended to address the effects of Housing Benefit reforms.</w:t>
      </w:r>
      <w:r w:rsidR="006E4F18">
        <w:t xml:space="preserve"> </w:t>
      </w:r>
      <w:r w:rsidRPr="003714B6">
        <w:t>This includes funding to help families who struggle to adjust to the benefit cap</w:t>
      </w:r>
      <w:r w:rsidR="00716ECD">
        <w:t>, as well as</w:t>
      </w:r>
      <w:r w:rsidRPr="003714B6">
        <w:t xml:space="preserve"> funding for specific allocations to address the effects of Local Housing Allowance reforms and the removal of the spare room subsidy.</w:t>
      </w:r>
      <w:r w:rsidR="001165C8">
        <w:rPr>
          <w:rStyle w:val="FootnoteReference"/>
        </w:rPr>
        <w:footnoteReference w:id="170"/>
      </w:r>
      <w:r w:rsidR="006E4F18">
        <w:t xml:space="preserve"> </w:t>
      </w:r>
      <w:r w:rsidRPr="003714B6">
        <w:t>A breakdown of the Government's total DHP funding for 2017-18 is set out in the table below:</w:t>
      </w:r>
    </w:p>
    <w:p w14:paraId="54F106B8" w14:textId="77777777" w:rsidR="00B6181B" w:rsidRDefault="00B6181B" w:rsidP="00B6181B">
      <w:pPr>
        <w:pStyle w:val="Para1"/>
        <w:numPr>
          <w:ilvl w:val="0"/>
          <w:numId w:val="0"/>
        </w:numPr>
        <w:ind w:left="861" w:hanging="578"/>
      </w:pPr>
    </w:p>
    <w:p w14:paraId="3D9BA9F8" w14:textId="77777777" w:rsidR="00B6181B" w:rsidRDefault="00B6181B" w:rsidP="00B6181B">
      <w:pPr>
        <w:pStyle w:val="Para1"/>
        <w:numPr>
          <w:ilvl w:val="0"/>
          <w:numId w:val="0"/>
        </w:numPr>
        <w:ind w:left="861" w:hanging="578"/>
      </w:pPr>
    </w:p>
    <w:p w14:paraId="17D462DE" w14:textId="77777777" w:rsidR="00B6181B" w:rsidRPr="003714B6" w:rsidRDefault="00B6181B" w:rsidP="00B6181B">
      <w:pPr>
        <w:pStyle w:val="Para1"/>
        <w:numPr>
          <w:ilvl w:val="0"/>
          <w:numId w:val="0"/>
        </w:numPr>
        <w:ind w:left="861" w:hanging="578"/>
      </w:pPr>
    </w:p>
    <w:p w14:paraId="49E194F9" w14:textId="77777777" w:rsidR="003714B6" w:rsidRPr="003714B6" w:rsidRDefault="003714B6" w:rsidP="003714B6">
      <w:pPr>
        <w:pStyle w:val="Caption"/>
      </w:pPr>
      <w:r w:rsidRPr="003714B6">
        <w:t xml:space="preserve">Table </w:t>
      </w:r>
      <w:r w:rsidR="006F713D">
        <w:rPr>
          <w:noProof/>
        </w:rPr>
        <w:fldChar w:fldCharType="begin"/>
      </w:r>
      <w:r w:rsidR="006F713D">
        <w:rPr>
          <w:noProof/>
        </w:rPr>
        <w:instrText xml:space="preserve"> SEQ Table \* ARABIC </w:instrText>
      </w:r>
      <w:r w:rsidR="006F713D">
        <w:rPr>
          <w:noProof/>
        </w:rPr>
        <w:fldChar w:fldCharType="separate"/>
      </w:r>
      <w:r w:rsidR="003128E1">
        <w:rPr>
          <w:noProof/>
        </w:rPr>
        <w:t>3</w:t>
      </w:r>
      <w:r w:rsidR="006F713D">
        <w:rPr>
          <w:noProof/>
        </w:rPr>
        <w:fldChar w:fldCharType="end"/>
      </w:r>
      <w:r w:rsidRPr="003714B6">
        <w:t>: Central Government DHP allocations 2017-18, England and Wales</w:t>
      </w:r>
    </w:p>
    <w:tbl>
      <w:tblPr>
        <w:tblStyle w:val="TableGrid"/>
        <w:tblW w:w="0" w:type="auto"/>
        <w:tblLook w:val="0480" w:firstRow="0" w:lastRow="0" w:firstColumn="1" w:lastColumn="0" w:noHBand="0" w:noVBand="1"/>
      </w:tblPr>
      <w:tblGrid>
        <w:gridCol w:w="2405"/>
        <w:gridCol w:w="2410"/>
      </w:tblGrid>
      <w:tr w:rsidR="003714B6" w:rsidRPr="0043409C" w14:paraId="6F71FE01" w14:textId="77777777" w:rsidTr="008B04F4">
        <w:trPr>
          <w:tblHeader/>
        </w:trPr>
        <w:tc>
          <w:tcPr>
            <w:tcW w:w="2405" w:type="dxa"/>
            <w:shd w:val="clear" w:color="auto" w:fill="DDD3EB"/>
          </w:tcPr>
          <w:p w14:paraId="6E1CE261" w14:textId="77777777" w:rsidR="003714B6" w:rsidRPr="003714B6" w:rsidRDefault="003714B6" w:rsidP="003714B6">
            <w:pPr>
              <w:pStyle w:val="TableHeading"/>
            </w:pPr>
            <w:r w:rsidRPr="003714B6">
              <w:t>Element</w:t>
            </w:r>
          </w:p>
        </w:tc>
        <w:tc>
          <w:tcPr>
            <w:tcW w:w="2410" w:type="dxa"/>
            <w:shd w:val="clear" w:color="auto" w:fill="DDD3EB"/>
          </w:tcPr>
          <w:p w14:paraId="65259FD8" w14:textId="77777777" w:rsidR="003714B6" w:rsidRPr="003714B6" w:rsidRDefault="003714B6" w:rsidP="003714B6">
            <w:pPr>
              <w:pStyle w:val="TableHeading"/>
            </w:pPr>
            <w:r w:rsidRPr="003714B6">
              <w:t>£millions</w:t>
            </w:r>
          </w:p>
        </w:tc>
      </w:tr>
      <w:tr w:rsidR="003714B6" w14:paraId="5C9AE32F" w14:textId="77777777" w:rsidTr="008B04F4">
        <w:tc>
          <w:tcPr>
            <w:tcW w:w="2405" w:type="dxa"/>
          </w:tcPr>
          <w:p w14:paraId="032A52B8" w14:textId="77777777" w:rsidR="003714B6" w:rsidRPr="003714B6" w:rsidRDefault="003714B6" w:rsidP="003714B6">
            <w:pPr>
              <w:pStyle w:val="TableText"/>
            </w:pPr>
            <w:r w:rsidRPr="003714B6">
              <w:t>Core</w:t>
            </w:r>
          </w:p>
        </w:tc>
        <w:tc>
          <w:tcPr>
            <w:tcW w:w="2410" w:type="dxa"/>
          </w:tcPr>
          <w:p w14:paraId="09B4151E" w14:textId="77777777" w:rsidR="003714B6" w:rsidRPr="003714B6" w:rsidRDefault="003714B6" w:rsidP="003714B6">
            <w:pPr>
              <w:pStyle w:val="TableText"/>
            </w:pPr>
            <w:r w:rsidRPr="003714B6">
              <w:t>18</w:t>
            </w:r>
          </w:p>
        </w:tc>
      </w:tr>
      <w:tr w:rsidR="003714B6" w14:paraId="3B039281" w14:textId="77777777" w:rsidTr="008B04F4">
        <w:tc>
          <w:tcPr>
            <w:tcW w:w="2405" w:type="dxa"/>
          </w:tcPr>
          <w:p w14:paraId="3D0A7741" w14:textId="77777777" w:rsidR="003714B6" w:rsidRPr="003714B6" w:rsidRDefault="003714B6" w:rsidP="003714B6">
            <w:pPr>
              <w:pStyle w:val="TableText"/>
            </w:pPr>
            <w:r w:rsidRPr="003714B6">
              <w:t>Local Housing Allowance</w:t>
            </w:r>
          </w:p>
        </w:tc>
        <w:tc>
          <w:tcPr>
            <w:tcW w:w="2410" w:type="dxa"/>
          </w:tcPr>
          <w:p w14:paraId="558DC676" w14:textId="77777777" w:rsidR="003714B6" w:rsidRPr="003714B6" w:rsidRDefault="003714B6" w:rsidP="003714B6">
            <w:pPr>
              <w:pStyle w:val="TableText"/>
            </w:pPr>
            <w:r w:rsidRPr="003714B6">
              <w:t>27</w:t>
            </w:r>
          </w:p>
        </w:tc>
      </w:tr>
      <w:tr w:rsidR="003714B6" w14:paraId="4CC3305C" w14:textId="77777777" w:rsidTr="008B04F4">
        <w:tc>
          <w:tcPr>
            <w:tcW w:w="2405" w:type="dxa"/>
          </w:tcPr>
          <w:p w14:paraId="13183F73" w14:textId="77777777" w:rsidR="003714B6" w:rsidRPr="003714B6" w:rsidRDefault="003714B6" w:rsidP="003714B6">
            <w:pPr>
              <w:pStyle w:val="TableText"/>
            </w:pPr>
            <w:r w:rsidRPr="003714B6">
              <w:t>Removal of spare room subsidy</w:t>
            </w:r>
          </w:p>
        </w:tc>
        <w:tc>
          <w:tcPr>
            <w:tcW w:w="2410" w:type="dxa"/>
          </w:tcPr>
          <w:p w14:paraId="2446D76D" w14:textId="77777777" w:rsidR="003714B6" w:rsidRPr="003714B6" w:rsidRDefault="003714B6" w:rsidP="003714B6">
            <w:pPr>
              <w:pStyle w:val="TableText"/>
            </w:pPr>
            <w:r w:rsidRPr="003714B6">
              <w:t>54</w:t>
            </w:r>
          </w:p>
        </w:tc>
      </w:tr>
      <w:tr w:rsidR="003714B6" w14:paraId="06B8294E" w14:textId="77777777" w:rsidTr="008B04F4">
        <w:tc>
          <w:tcPr>
            <w:tcW w:w="2405" w:type="dxa"/>
          </w:tcPr>
          <w:p w14:paraId="7723295D" w14:textId="77777777" w:rsidR="003714B6" w:rsidRPr="003714B6" w:rsidRDefault="003714B6" w:rsidP="003714B6">
            <w:pPr>
              <w:pStyle w:val="TableText"/>
            </w:pPr>
            <w:r w:rsidRPr="003714B6">
              <w:t>Benefit Cap</w:t>
            </w:r>
          </w:p>
        </w:tc>
        <w:tc>
          <w:tcPr>
            <w:tcW w:w="2410" w:type="dxa"/>
          </w:tcPr>
          <w:p w14:paraId="1AF6BCDD" w14:textId="77777777" w:rsidR="003714B6" w:rsidRPr="003714B6" w:rsidRDefault="003714B6" w:rsidP="003714B6">
            <w:pPr>
              <w:pStyle w:val="TableText"/>
            </w:pPr>
            <w:r w:rsidRPr="003714B6">
              <w:t>67.5</w:t>
            </w:r>
          </w:p>
        </w:tc>
      </w:tr>
      <w:tr w:rsidR="003714B6" w14:paraId="76A767A2" w14:textId="77777777" w:rsidTr="008B04F4">
        <w:tc>
          <w:tcPr>
            <w:tcW w:w="2405" w:type="dxa"/>
          </w:tcPr>
          <w:p w14:paraId="62153F98" w14:textId="77777777" w:rsidR="003714B6" w:rsidRPr="003714B6" w:rsidRDefault="003714B6" w:rsidP="003714B6">
            <w:pPr>
              <w:pStyle w:val="TableText"/>
              <w:rPr>
                <w:rStyle w:val="Strong"/>
              </w:rPr>
            </w:pPr>
            <w:r w:rsidRPr="003714B6">
              <w:rPr>
                <w:rStyle w:val="Strong"/>
              </w:rPr>
              <w:t>Total</w:t>
            </w:r>
          </w:p>
        </w:tc>
        <w:tc>
          <w:tcPr>
            <w:tcW w:w="2410" w:type="dxa"/>
          </w:tcPr>
          <w:p w14:paraId="64359524" w14:textId="77777777" w:rsidR="003714B6" w:rsidRPr="003714B6" w:rsidRDefault="003714B6" w:rsidP="003714B6">
            <w:pPr>
              <w:pStyle w:val="TableText"/>
              <w:rPr>
                <w:rStyle w:val="Strong"/>
              </w:rPr>
            </w:pPr>
            <w:r w:rsidRPr="003714B6">
              <w:rPr>
                <w:rStyle w:val="Strong"/>
              </w:rPr>
              <w:t>166</w:t>
            </w:r>
          </w:p>
        </w:tc>
      </w:tr>
    </w:tbl>
    <w:p w14:paraId="0F3F9EBA" w14:textId="77777777" w:rsidR="003714B6" w:rsidRPr="003714B6" w:rsidRDefault="003714B6" w:rsidP="003714B6">
      <w:pPr>
        <w:pStyle w:val="ParaforTable"/>
      </w:pPr>
    </w:p>
    <w:p w14:paraId="16B8F634" w14:textId="77777777" w:rsidR="003714B6" w:rsidRDefault="003714B6" w:rsidP="003714B6">
      <w:pPr>
        <w:pStyle w:val="Source"/>
      </w:pPr>
      <w:r w:rsidRPr="003714B6">
        <w:t xml:space="preserve">Source: </w:t>
      </w:r>
      <w:hyperlink r:id="rId25" w:history="1">
        <w:r w:rsidRPr="00374BAB">
          <w:rPr>
            <w:rStyle w:val="Hyperlink"/>
          </w:rPr>
          <w:t xml:space="preserve">DWP </w:t>
        </w:r>
        <w:r w:rsidR="00374BAB" w:rsidRPr="00374BAB">
          <w:rPr>
            <w:rStyle w:val="Hyperlink"/>
          </w:rPr>
          <w:t xml:space="preserve">2017-18 </w:t>
        </w:r>
        <w:r w:rsidRPr="00374BAB">
          <w:rPr>
            <w:rStyle w:val="Hyperlink"/>
          </w:rPr>
          <w:t>Discretionary Housing Payment Statistics</w:t>
        </w:r>
      </w:hyperlink>
      <w:r w:rsidRPr="003714B6">
        <w:t>, July 2018</w:t>
      </w:r>
    </w:p>
    <w:p w14:paraId="50C9D7F2" w14:textId="77777777" w:rsidR="00B6181B" w:rsidRPr="00B6181B" w:rsidRDefault="00B6181B" w:rsidP="00B6181B">
      <w:pPr>
        <w:pStyle w:val="Para1"/>
        <w:numPr>
          <w:ilvl w:val="0"/>
          <w:numId w:val="0"/>
        </w:numPr>
        <w:ind w:left="861"/>
      </w:pPr>
    </w:p>
    <w:p w14:paraId="6A6E3B73" w14:textId="77777777" w:rsidR="003714B6" w:rsidRPr="003714B6" w:rsidRDefault="003714B6" w:rsidP="003714B6">
      <w:pPr>
        <w:pStyle w:val="Para1"/>
      </w:pPr>
      <w:r w:rsidRPr="003714B6">
        <w:t xml:space="preserve">The Department argued that statistics on </w:t>
      </w:r>
      <w:r w:rsidR="00716ECD">
        <w:t xml:space="preserve">the use of </w:t>
      </w:r>
      <w:r w:rsidRPr="003714B6">
        <w:t>DHP</w:t>
      </w:r>
      <w:r w:rsidR="00716ECD">
        <w:t>s</w:t>
      </w:r>
      <w:r w:rsidR="006E4F18">
        <w:t xml:space="preserve"> </w:t>
      </w:r>
      <w:r w:rsidRPr="003714B6">
        <w:t>suggest that "local authorities are adequately resourced for the purposes of implementing the DHP scheme and mitigating hardship."</w:t>
      </w:r>
      <w:r w:rsidR="006E4F18">
        <w:t xml:space="preserve"> </w:t>
      </w:r>
      <w:r w:rsidRPr="003714B6">
        <w:t xml:space="preserve">It </w:t>
      </w:r>
      <w:r w:rsidR="005226D5">
        <w:t>stated</w:t>
      </w:r>
      <w:r w:rsidRPr="003714B6">
        <w:t xml:space="preserve"> that</w:t>
      </w:r>
      <w:r w:rsidR="00F3314A">
        <w:t>,</w:t>
      </w:r>
      <w:r w:rsidRPr="003714B6">
        <w:t xml:space="preserve"> in 2017-18</w:t>
      </w:r>
      <w:r w:rsidR="00F3314A">
        <w:t>,</w:t>
      </w:r>
      <w:r w:rsidR="006E4F18">
        <w:t xml:space="preserve"> </w:t>
      </w:r>
      <w:r w:rsidRPr="003714B6">
        <w:t>local authorities spent £163.7 million of the £166 million allocated to them (99% of the total allocation</w:t>
      </w:r>
      <w:r w:rsidR="006151C8">
        <w:t>)</w:t>
      </w:r>
      <w:r w:rsidRPr="003714B6">
        <w:t>.</w:t>
      </w:r>
      <w:r w:rsidR="006E4F18">
        <w:t xml:space="preserve"> </w:t>
      </w:r>
      <w:r w:rsidRPr="003714B6">
        <w:t xml:space="preserve">It also </w:t>
      </w:r>
      <w:r w:rsidR="006151C8">
        <w:t>noted</w:t>
      </w:r>
      <w:r w:rsidRPr="003714B6">
        <w:t xml:space="preserve"> that the majority (66%) of local authorities spent less than their full-year allocation.</w:t>
      </w:r>
      <w:r w:rsidR="001D6B7B">
        <w:t xml:space="preserve"> </w:t>
      </w:r>
      <w:r w:rsidR="00CC0C85">
        <w:t>Local authorities reported that 28% of their spending on DHPs related to support for capped households.</w:t>
      </w:r>
      <w:r w:rsidRPr="003714B6">
        <w:t xml:space="preserve"> </w:t>
      </w:r>
      <w:r w:rsidR="00CC0C85">
        <w:t>H</w:t>
      </w:r>
      <w:r w:rsidRPr="003714B6">
        <w:t>owever</w:t>
      </w:r>
      <w:r w:rsidR="00CC0C85">
        <w:t>,</w:t>
      </w:r>
      <w:r w:rsidRPr="003714B6">
        <w:t xml:space="preserve"> the Department </w:t>
      </w:r>
      <w:r w:rsidR="00CC0C85">
        <w:t xml:space="preserve">told us </w:t>
      </w:r>
      <w:r w:rsidRPr="003714B6">
        <w:t>that this is likely to be an underestimate</w:t>
      </w:r>
      <w:r w:rsidR="00CC0C85">
        <w:t>,</w:t>
      </w:r>
      <w:r w:rsidRPr="003714B6">
        <w:t xml:space="preserve"> as a further 32% of spend</w:t>
      </w:r>
      <w:r w:rsidR="00CC0C85">
        <w:t>ing</w:t>
      </w:r>
      <w:r w:rsidRPr="003714B6">
        <w:t xml:space="preserve"> (just under £44m) was recorded by local authorities as being for a ‘combination of welfare reforms’ or ‘not for welfare </w:t>
      </w:r>
      <w:proofErr w:type="gramStart"/>
      <w:r w:rsidRPr="003714B6">
        <w:t>reforms’</w:t>
      </w:r>
      <w:proofErr w:type="gramEnd"/>
      <w:r w:rsidRPr="003714B6">
        <w:t>.</w:t>
      </w:r>
      <w:r w:rsidR="002171CC">
        <w:rPr>
          <w:rStyle w:val="FootnoteReference"/>
        </w:rPr>
        <w:footnoteReference w:id="171"/>
      </w:r>
    </w:p>
    <w:p w14:paraId="652B7D79" w14:textId="77777777" w:rsidR="003714B6" w:rsidRDefault="003714B6" w:rsidP="003714B6">
      <w:pPr>
        <w:pStyle w:val="Para1"/>
      </w:pPr>
      <w:r w:rsidRPr="003714B6">
        <w:t>While it is true that 99% of the amount allocated to local authorities</w:t>
      </w:r>
      <w:r w:rsidR="006E4F18">
        <w:t xml:space="preserve"> </w:t>
      </w:r>
      <w:r w:rsidRPr="003714B6">
        <w:t>was spent on providing DHPs to households in need, not all of the money spent came from the funding provided.</w:t>
      </w:r>
      <w:r w:rsidR="006E4F18">
        <w:t xml:space="preserve"> </w:t>
      </w:r>
      <w:r w:rsidRPr="003714B6">
        <w:t>Reporting the proportion spent in this way masks the significant variation in DHP expenditure across local authorities as well as the fact that many local authorities used money from their own budgets to top up their DHP funds (DWP guidance states that each local authority’s total DHP budget can be up to two and a half times the contribution from central Government). The map below shows the variation in local authority DHP expenditure across England and Wales.</w:t>
      </w:r>
    </w:p>
    <w:p w14:paraId="507966AB" w14:textId="77777777" w:rsidR="00D414F2" w:rsidRPr="003714B6" w:rsidRDefault="00D414F2" w:rsidP="00D414F2">
      <w:pPr>
        <w:pStyle w:val="Caption"/>
      </w:pPr>
      <w:r>
        <w:t xml:space="preserve">Figure 10:  Percentage of Central Government DHP allocation spent </w:t>
      </w:r>
      <w:r w:rsidR="00376064">
        <w:t>by local authority, April 2017-March 2018</w:t>
      </w:r>
    </w:p>
    <w:p w14:paraId="5C64948C" w14:textId="77777777" w:rsidR="003714B6" w:rsidRDefault="0049438B" w:rsidP="00730431">
      <w:pPr>
        <w:pStyle w:val="Para1"/>
        <w:numPr>
          <w:ilvl w:val="0"/>
          <w:numId w:val="0"/>
        </w:numPr>
        <w:ind w:left="578"/>
      </w:pPr>
      <w:r w:rsidRPr="0049438B">
        <w:rPr>
          <w:noProof/>
        </w:rPr>
        <w:drawing>
          <wp:inline distT="0" distB="0" distL="0" distR="0" wp14:anchorId="4B903AC4" wp14:editId="00E916F6">
            <wp:extent cx="4226943" cy="4800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32966" cy="4807440"/>
                    </a:xfrm>
                    <a:prstGeom prst="rect">
                      <a:avLst/>
                    </a:prstGeom>
                  </pic:spPr>
                </pic:pic>
              </a:graphicData>
            </a:graphic>
          </wp:inline>
        </w:drawing>
      </w:r>
    </w:p>
    <w:p w14:paraId="19A3A451" w14:textId="77777777" w:rsidR="0049438B" w:rsidRPr="0049438B" w:rsidRDefault="0049438B" w:rsidP="0049438B">
      <w:pPr>
        <w:pStyle w:val="Source"/>
      </w:pPr>
      <w:r w:rsidRPr="0049438B">
        <w:t xml:space="preserve">Source: </w:t>
      </w:r>
      <w:hyperlink r:id="rId27" w:history="1">
        <w:r w:rsidRPr="0049438B">
          <w:rPr>
            <w:rStyle w:val="Hyperlink"/>
          </w:rPr>
          <w:t>DWP 2017-18 Discretionary Housing Payment Statistics</w:t>
        </w:r>
      </w:hyperlink>
      <w:r w:rsidRPr="0049438B">
        <w:t>, July 2018</w:t>
      </w:r>
    </w:p>
    <w:p w14:paraId="35E368A8" w14:textId="77777777" w:rsidR="003714B6" w:rsidRPr="003714B6" w:rsidRDefault="003714B6" w:rsidP="00730431">
      <w:pPr>
        <w:pStyle w:val="Para1"/>
      </w:pPr>
      <w:r w:rsidRPr="003714B6">
        <w:t>Furthermore, while 66% (229) of local authorities underspent their DHP allocation, there were 29% (101) local authorities who spent more than their allocation.</w:t>
      </w:r>
      <w:r w:rsidR="006E4F18">
        <w:t xml:space="preserve"> </w:t>
      </w:r>
      <w:r w:rsidRPr="003714B6">
        <w:t xml:space="preserve">The average overspend </w:t>
      </w:r>
      <w:r w:rsidR="00CB55B0">
        <w:t xml:space="preserve">for each local authority </w:t>
      </w:r>
      <w:r w:rsidRPr="003714B6">
        <w:t>(£63,000) was much larger than the average underspend (£38,000), as shown in the table below</w:t>
      </w:r>
      <w:r w:rsidR="007C7E72">
        <w:t>.</w:t>
      </w:r>
      <w:r w:rsidRPr="003714B6">
        <w:rPr>
          <w:rStyle w:val="FootnoteReference"/>
        </w:rPr>
        <w:footnoteReference w:id="172"/>
      </w:r>
    </w:p>
    <w:p w14:paraId="64689E86" w14:textId="77777777" w:rsidR="003714B6" w:rsidRPr="003714B6" w:rsidRDefault="003714B6" w:rsidP="003714B6">
      <w:pPr>
        <w:pStyle w:val="TableHeading"/>
      </w:pPr>
      <w:r w:rsidRPr="003714B6">
        <w:t xml:space="preserve">Table </w:t>
      </w:r>
      <w:r w:rsidR="006F713D">
        <w:rPr>
          <w:noProof/>
        </w:rPr>
        <w:fldChar w:fldCharType="begin"/>
      </w:r>
      <w:r w:rsidR="006F713D">
        <w:rPr>
          <w:noProof/>
        </w:rPr>
        <w:instrText xml:space="preserve"> SEQ Table \* ARABIC </w:instrText>
      </w:r>
      <w:r w:rsidR="006F713D">
        <w:rPr>
          <w:noProof/>
        </w:rPr>
        <w:fldChar w:fldCharType="separate"/>
      </w:r>
      <w:r w:rsidR="003128E1">
        <w:rPr>
          <w:noProof/>
        </w:rPr>
        <w:t>4</w:t>
      </w:r>
      <w:r w:rsidR="006F713D">
        <w:rPr>
          <w:noProof/>
        </w:rPr>
        <w:fldChar w:fldCharType="end"/>
      </w:r>
      <w:r w:rsidRPr="003714B6">
        <w:t>: DHP amount over/under-spent 2017-18</w:t>
      </w:r>
    </w:p>
    <w:tbl>
      <w:tblPr>
        <w:tblStyle w:val="TableGrid"/>
        <w:tblW w:w="8217" w:type="dxa"/>
        <w:tblLook w:val="0480" w:firstRow="0" w:lastRow="0" w:firstColumn="1" w:lastColumn="0" w:noHBand="0" w:noVBand="1"/>
      </w:tblPr>
      <w:tblGrid>
        <w:gridCol w:w="2007"/>
        <w:gridCol w:w="1957"/>
        <w:gridCol w:w="1843"/>
        <w:gridCol w:w="2410"/>
      </w:tblGrid>
      <w:tr w:rsidR="003714B6" w:rsidRPr="004548D0" w14:paraId="20DFCF08" w14:textId="77777777" w:rsidTr="008B04F4">
        <w:trPr>
          <w:tblHeader/>
        </w:trPr>
        <w:tc>
          <w:tcPr>
            <w:tcW w:w="2007" w:type="dxa"/>
            <w:shd w:val="clear" w:color="auto" w:fill="DDD3EB"/>
            <w:vAlign w:val="bottom"/>
          </w:tcPr>
          <w:p w14:paraId="1C96641B" w14:textId="77777777" w:rsidR="003714B6" w:rsidRPr="003714B6" w:rsidRDefault="003714B6" w:rsidP="003714B6">
            <w:pPr>
              <w:pStyle w:val="TableHeading"/>
            </w:pPr>
          </w:p>
        </w:tc>
        <w:tc>
          <w:tcPr>
            <w:tcW w:w="1957" w:type="dxa"/>
            <w:shd w:val="clear" w:color="auto" w:fill="DDD3EB"/>
            <w:vAlign w:val="bottom"/>
          </w:tcPr>
          <w:p w14:paraId="508B2916" w14:textId="77777777" w:rsidR="003714B6" w:rsidRPr="003714B6" w:rsidRDefault="003714B6" w:rsidP="003714B6">
            <w:pPr>
              <w:pStyle w:val="TableHeading"/>
            </w:pPr>
            <w:r w:rsidRPr="003714B6">
              <w:t>No. of local authorities</w:t>
            </w:r>
          </w:p>
        </w:tc>
        <w:tc>
          <w:tcPr>
            <w:tcW w:w="1843" w:type="dxa"/>
            <w:shd w:val="clear" w:color="auto" w:fill="DDD3EB"/>
            <w:vAlign w:val="bottom"/>
          </w:tcPr>
          <w:p w14:paraId="05B42390" w14:textId="77777777" w:rsidR="003714B6" w:rsidRPr="003714B6" w:rsidRDefault="003714B6" w:rsidP="003714B6">
            <w:pPr>
              <w:pStyle w:val="TableHeading"/>
            </w:pPr>
            <w:r w:rsidRPr="003714B6">
              <w:t>Total amount (£)</w:t>
            </w:r>
          </w:p>
        </w:tc>
        <w:tc>
          <w:tcPr>
            <w:tcW w:w="2410" w:type="dxa"/>
            <w:shd w:val="clear" w:color="auto" w:fill="DDD3EB"/>
            <w:vAlign w:val="bottom"/>
          </w:tcPr>
          <w:p w14:paraId="6AC4F45F" w14:textId="77777777" w:rsidR="003714B6" w:rsidRPr="003714B6" w:rsidRDefault="003714B6" w:rsidP="003714B6">
            <w:pPr>
              <w:pStyle w:val="TableHeading"/>
            </w:pPr>
            <w:r w:rsidRPr="003714B6">
              <w:t>Average amount (£)</w:t>
            </w:r>
          </w:p>
        </w:tc>
      </w:tr>
      <w:tr w:rsidR="003714B6" w14:paraId="31629760" w14:textId="77777777" w:rsidTr="008B04F4">
        <w:tc>
          <w:tcPr>
            <w:tcW w:w="2007" w:type="dxa"/>
            <w:vAlign w:val="bottom"/>
          </w:tcPr>
          <w:p w14:paraId="45163CC0" w14:textId="77777777" w:rsidR="003714B6" w:rsidRPr="003714B6" w:rsidRDefault="003714B6" w:rsidP="003714B6">
            <w:pPr>
              <w:pStyle w:val="TableText"/>
            </w:pPr>
            <w:r w:rsidRPr="003714B6">
              <w:t>DHP overspend (England &amp; Wales)</w:t>
            </w:r>
          </w:p>
        </w:tc>
        <w:tc>
          <w:tcPr>
            <w:tcW w:w="1957" w:type="dxa"/>
            <w:vAlign w:val="bottom"/>
          </w:tcPr>
          <w:p w14:paraId="0125593C" w14:textId="77777777" w:rsidR="003714B6" w:rsidRPr="003714B6" w:rsidRDefault="003714B6" w:rsidP="003714B6">
            <w:pPr>
              <w:pStyle w:val="TableText"/>
            </w:pPr>
            <w:r w:rsidRPr="003714B6">
              <w:t>101</w:t>
            </w:r>
          </w:p>
        </w:tc>
        <w:tc>
          <w:tcPr>
            <w:tcW w:w="1843" w:type="dxa"/>
            <w:vAlign w:val="bottom"/>
          </w:tcPr>
          <w:p w14:paraId="10DD1137" w14:textId="77777777" w:rsidR="003714B6" w:rsidRPr="003714B6" w:rsidRDefault="003714B6" w:rsidP="003714B6">
            <w:pPr>
              <w:pStyle w:val="TableText"/>
            </w:pPr>
            <w:r w:rsidRPr="003714B6">
              <w:t>£6,317,758</w:t>
            </w:r>
          </w:p>
        </w:tc>
        <w:tc>
          <w:tcPr>
            <w:tcW w:w="2410" w:type="dxa"/>
            <w:vAlign w:val="bottom"/>
          </w:tcPr>
          <w:p w14:paraId="0BEA2A3A" w14:textId="77777777" w:rsidR="003714B6" w:rsidRPr="003714B6" w:rsidRDefault="003714B6" w:rsidP="003714B6">
            <w:pPr>
              <w:pStyle w:val="TableText"/>
            </w:pPr>
            <w:r w:rsidRPr="003714B6">
              <w:t>£62,552</w:t>
            </w:r>
          </w:p>
        </w:tc>
      </w:tr>
      <w:tr w:rsidR="003714B6" w14:paraId="0243081A" w14:textId="77777777" w:rsidTr="008B04F4">
        <w:tc>
          <w:tcPr>
            <w:tcW w:w="2007" w:type="dxa"/>
            <w:vAlign w:val="bottom"/>
          </w:tcPr>
          <w:p w14:paraId="2E5604B9" w14:textId="77777777" w:rsidR="003714B6" w:rsidRPr="003714B6" w:rsidRDefault="003714B6" w:rsidP="003714B6">
            <w:pPr>
              <w:pStyle w:val="TableText"/>
            </w:pPr>
            <w:r w:rsidRPr="003714B6">
              <w:t>DHP underspend (England &amp; Wales)</w:t>
            </w:r>
          </w:p>
        </w:tc>
        <w:tc>
          <w:tcPr>
            <w:tcW w:w="1957" w:type="dxa"/>
            <w:vAlign w:val="bottom"/>
          </w:tcPr>
          <w:p w14:paraId="34FFE9F0" w14:textId="77777777" w:rsidR="003714B6" w:rsidRPr="003714B6" w:rsidRDefault="003714B6" w:rsidP="003714B6">
            <w:pPr>
              <w:pStyle w:val="TableText"/>
            </w:pPr>
            <w:r w:rsidRPr="003714B6">
              <w:t>229</w:t>
            </w:r>
          </w:p>
        </w:tc>
        <w:tc>
          <w:tcPr>
            <w:tcW w:w="1843" w:type="dxa"/>
            <w:vAlign w:val="bottom"/>
          </w:tcPr>
          <w:p w14:paraId="58BE6B46" w14:textId="77777777" w:rsidR="003714B6" w:rsidRPr="003714B6" w:rsidRDefault="003714B6" w:rsidP="003714B6">
            <w:pPr>
              <w:pStyle w:val="TableText"/>
            </w:pPr>
            <w:r w:rsidRPr="003714B6">
              <w:t>£8,583,766</w:t>
            </w:r>
          </w:p>
        </w:tc>
        <w:tc>
          <w:tcPr>
            <w:tcW w:w="2410" w:type="dxa"/>
            <w:vAlign w:val="bottom"/>
          </w:tcPr>
          <w:p w14:paraId="1C263EC7" w14:textId="77777777" w:rsidR="003714B6" w:rsidRPr="003714B6" w:rsidRDefault="003714B6" w:rsidP="003714B6">
            <w:pPr>
              <w:pStyle w:val="TableText"/>
            </w:pPr>
            <w:r w:rsidRPr="003714B6">
              <w:t>£37,484</w:t>
            </w:r>
          </w:p>
        </w:tc>
      </w:tr>
      <w:tr w:rsidR="003714B6" w14:paraId="19D6B467" w14:textId="77777777" w:rsidTr="008B04F4">
        <w:tc>
          <w:tcPr>
            <w:tcW w:w="2007" w:type="dxa"/>
            <w:vAlign w:val="bottom"/>
          </w:tcPr>
          <w:p w14:paraId="609A7C93" w14:textId="77777777" w:rsidR="003714B6" w:rsidRPr="003714B6" w:rsidRDefault="003714B6" w:rsidP="003714B6">
            <w:pPr>
              <w:pStyle w:val="TableText"/>
            </w:pPr>
            <w:r w:rsidRPr="003714B6">
              <w:t>Exact spend count</w:t>
            </w:r>
          </w:p>
        </w:tc>
        <w:tc>
          <w:tcPr>
            <w:tcW w:w="1957" w:type="dxa"/>
            <w:vAlign w:val="bottom"/>
          </w:tcPr>
          <w:p w14:paraId="21A9F6E9" w14:textId="77777777" w:rsidR="003714B6" w:rsidRPr="003714B6" w:rsidRDefault="003714B6" w:rsidP="003714B6">
            <w:pPr>
              <w:pStyle w:val="TableText"/>
            </w:pPr>
            <w:r w:rsidRPr="003714B6">
              <w:t>17</w:t>
            </w:r>
          </w:p>
        </w:tc>
        <w:tc>
          <w:tcPr>
            <w:tcW w:w="1843" w:type="dxa"/>
            <w:vAlign w:val="bottom"/>
          </w:tcPr>
          <w:p w14:paraId="10721B85" w14:textId="77777777" w:rsidR="003714B6" w:rsidRPr="003714B6" w:rsidRDefault="003714B6" w:rsidP="003714B6">
            <w:pPr>
              <w:pStyle w:val="TableText"/>
            </w:pPr>
          </w:p>
        </w:tc>
        <w:tc>
          <w:tcPr>
            <w:tcW w:w="2410" w:type="dxa"/>
            <w:vAlign w:val="bottom"/>
          </w:tcPr>
          <w:p w14:paraId="04966CC0" w14:textId="77777777" w:rsidR="003714B6" w:rsidRPr="003714B6" w:rsidRDefault="003714B6" w:rsidP="003714B6">
            <w:pPr>
              <w:pStyle w:val="TableText"/>
            </w:pPr>
          </w:p>
        </w:tc>
      </w:tr>
    </w:tbl>
    <w:p w14:paraId="5CD3A52A" w14:textId="77777777" w:rsidR="003714B6" w:rsidRPr="003714B6" w:rsidRDefault="003714B6" w:rsidP="00730431">
      <w:pPr>
        <w:pStyle w:val="Source"/>
      </w:pPr>
      <w:r w:rsidRPr="003714B6">
        <w:t>Source: DWP Discretionary Housing Payment Statistics</w:t>
      </w:r>
    </w:p>
    <w:p w14:paraId="3E741C9E" w14:textId="77777777" w:rsidR="003714B6" w:rsidRPr="003714B6" w:rsidRDefault="003714B6" w:rsidP="00C642FF">
      <w:pPr>
        <w:pStyle w:val="Para1"/>
      </w:pPr>
      <w:r w:rsidRPr="003714B6">
        <w:t>We heard from several local authorities that the DHP funding the Department provides is not sufficient.</w:t>
      </w:r>
      <w:r w:rsidR="006E4F18">
        <w:t xml:space="preserve"> </w:t>
      </w:r>
      <w:r w:rsidR="007A5C77">
        <w:t xml:space="preserve">Mark Fowler, CEO of Barking and Dagenham Council, </w:t>
      </w:r>
      <w:r w:rsidR="00084D00">
        <w:t>said</w:t>
      </w:r>
      <w:r w:rsidRPr="003714B6">
        <w:t xml:space="preserve"> that in the past three financial years</w:t>
      </w:r>
      <w:r w:rsidR="00C972BF">
        <w:t xml:space="preserve"> </w:t>
      </w:r>
      <w:r w:rsidRPr="003714B6">
        <w:t>London boroughs spent £7 million on DHPs out of their own general funds in addition to their central government allocation</w:t>
      </w:r>
      <w:r w:rsidR="00084D00">
        <w:t>. He noted that if this money had not been used to support capped claimants, it could have been</w:t>
      </w:r>
      <w:r w:rsidRPr="003714B6">
        <w:t xml:space="preserve"> spent on other local government services.</w:t>
      </w:r>
      <w:r w:rsidR="00F4140C">
        <w:rPr>
          <w:rStyle w:val="FootnoteReference"/>
        </w:rPr>
        <w:footnoteReference w:id="173"/>
      </w:r>
      <w:r w:rsidR="006E4F18">
        <w:t xml:space="preserve"> </w:t>
      </w:r>
      <w:r w:rsidRPr="003714B6">
        <w:t>Cambridge</w:t>
      </w:r>
      <w:r w:rsidR="005607AA">
        <w:t xml:space="preserve"> Council</w:t>
      </w:r>
      <w:r w:rsidRPr="003714B6">
        <w:t xml:space="preserve">, </w:t>
      </w:r>
      <w:r w:rsidR="008B5A62">
        <w:t>which</w:t>
      </w:r>
      <w:r w:rsidR="008B5A62" w:rsidRPr="003714B6">
        <w:t xml:space="preserve"> </w:t>
      </w:r>
      <w:r w:rsidRPr="003714B6">
        <w:t xml:space="preserve">overspent on </w:t>
      </w:r>
      <w:r w:rsidR="00044F3B">
        <w:t xml:space="preserve">both </w:t>
      </w:r>
      <w:r w:rsidR="0049080C">
        <w:t>its</w:t>
      </w:r>
      <w:r w:rsidR="006E4F18">
        <w:t xml:space="preserve"> </w:t>
      </w:r>
      <w:r w:rsidRPr="003714B6">
        <w:t>total DHP allocation</w:t>
      </w:r>
      <w:r w:rsidR="006E4F18">
        <w:t xml:space="preserve"> </w:t>
      </w:r>
      <w:r w:rsidR="0049080C">
        <w:t>and</w:t>
      </w:r>
      <w:r w:rsidR="006E4F18">
        <w:t xml:space="preserve"> </w:t>
      </w:r>
      <w:r w:rsidR="0024462B">
        <w:t xml:space="preserve">its </w:t>
      </w:r>
      <w:r w:rsidRPr="003714B6">
        <w:t>benefit cap allocation, told us that providing support was vital in order to prevent households from moving "endlessly between homelessness, rehousing and eviction and homelessness again".</w:t>
      </w:r>
      <w:r w:rsidR="00F4140C">
        <w:rPr>
          <w:rStyle w:val="FootnoteReference"/>
        </w:rPr>
        <w:footnoteReference w:id="174"/>
      </w:r>
      <w:r w:rsidR="006E4F18">
        <w:t xml:space="preserve"> </w:t>
      </w:r>
      <w:r w:rsidRPr="003714B6">
        <w:t>London Councils said that DHP funding is "in dire need of review".</w:t>
      </w:r>
      <w:r w:rsidR="00F4140C">
        <w:rPr>
          <w:rStyle w:val="FootnoteReference"/>
        </w:rPr>
        <w:footnoteReference w:id="175"/>
      </w:r>
    </w:p>
    <w:p w14:paraId="3A479936" w14:textId="77777777" w:rsidR="003714B6" w:rsidRPr="003714B6" w:rsidRDefault="003714B6" w:rsidP="003714B6">
      <w:pPr>
        <w:pStyle w:val="Para1"/>
      </w:pPr>
      <w:r w:rsidRPr="003714B6">
        <w:t>The Local Government Association said there are some concerns that certain councils are underspending their allocations and work needs to be done to understand the various reasons for this.</w:t>
      </w:r>
      <w:r w:rsidR="001D6B7B">
        <w:t xml:space="preserve"> </w:t>
      </w:r>
      <w:r w:rsidRPr="003714B6">
        <w:t>However, it also argued that the variation in expenditure means that "the allocation formula needs to be reviewed to ensure that it more accurately reflects the local need".</w:t>
      </w:r>
      <w:r w:rsidR="00F4140C">
        <w:rPr>
          <w:rStyle w:val="FootnoteReference"/>
        </w:rPr>
        <w:footnoteReference w:id="176"/>
      </w:r>
    </w:p>
    <w:p w14:paraId="5227CE20" w14:textId="77777777" w:rsidR="001246A4" w:rsidRPr="001246A4" w:rsidRDefault="001246A4" w:rsidP="001246A4">
      <w:pPr>
        <w:pStyle w:val="Para1"/>
        <w:rPr>
          <w:rStyle w:val="Conclusion"/>
        </w:rPr>
      </w:pPr>
      <w:r w:rsidRPr="001246A4">
        <w:rPr>
          <w:rStyle w:val="Conclusion"/>
        </w:rPr>
        <w:t xml:space="preserve">The Government expects local authorities to support capped households who struggle financially with the funding it provides through Discretionary Housing Payments. However, it is clear that a significant proportion of local authorities are having to top-up this funding, putting pressure on their budgets and diverting funds from services that would be used elsewhere. At the same time, there are other local authorities that seem to have funding going spare. </w:t>
      </w:r>
    </w:p>
    <w:p w14:paraId="5C1B78C4" w14:textId="77777777" w:rsidR="001246A4" w:rsidRPr="001246A4" w:rsidRDefault="001246A4" w:rsidP="001246A4">
      <w:pPr>
        <w:pStyle w:val="Para1"/>
        <w:rPr>
          <w:rStyle w:val="Recommendation"/>
        </w:rPr>
      </w:pPr>
      <w:r w:rsidRPr="001246A4">
        <w:rPr>
          <w:rStyle w:val="Recommendation"/>
        </w:rPr>
        <w:t xml:space="preserve">We recommend that the Department works with local government to review its methodology for individual local authority DHP allocations so that local authorities have the funding they need to prevent hardship. </w:t>
      </w:r>
      <w:r w:rsidR="009E5393">
        <w:rPr>
          <w:rStyle w:val="Recommendation"/>
        </w:rPr>
        <w:t xml:space="preserve"> Where there is surplus DHP funding that has not been spent towards the end of the year, local authorities who have spent up to or over their allocations should be able to apply for additional funds for this surplus.</w:t>
      </w:r>
    </w:p>
    <w:p w14:paraId="24F4DA8F" w14:textId="77777777" w:rsidR="00490DD6" w:rsidRPr="00E31A7E" w:rsidRDefault="00490DD6" w:rsidP="00E31A7E">
      <w:pPr>
        <w:pStyle w:val="ChapterHeading1"/>
        <w:rPr>
          <w:rStyle w:val="Recommendation"/>
          <w:b w:val="0"/>
          <w:i w:val="0"/>
          <w:color w:val="5A3C84" w:themeColor="accent1"/>
        </w:rPr>
      </w:pPr>
      <w:bookmarkStart w:id="66" w:name="_Toc431466"/>
      <w:r w:rsidRPr="00E31A7E">
        <w:rPr>
          <w:rStyle w:val="Recommendation"/>
          <w:b w:val="0"/>
          <w:i w:val="0"/>
          <w:color w:val="5A3C84" w:themeColor="accent1"/>
        </w:rPr>
        <w:t>Conclusion</w:t>
      </w:r>
      <w:bookmarkEnd w:id="66"/>
    </w:p>
    <w:p w14:paraId="6071743E" w14:textId="77777777" w:rsidR="00120B1F" w:rsidRPr="00E4652D" w:rsidRDefault="00120B1F" w:rsidP="00120B1F">
      <w:pPr>
        <w:pStyle w:val="Para1"/>
        <w:rPr>
          <w:rStyle w:val="Conclusion"/>
          <w:highlight w:val="yellow"/>
        </w:rPr>
      </w:pPr>
      <w:r w:rsidRPr="00E4652D">
        <w:rPr>
          <w:rStyle w:val="Conclusion"/>
        </w:rPr>
        <w:t>The Department for Work and Pensions decides whether people are entitled to benefits and how much they need to live on.  The benefit cap overrides this system and takes some of this necessary support away. The Government justifies this financial shock to families by saying that it achieves three aims: encouraging more people to work; restoring "fairness" to the benefit system, and mak</w:t>
      </w:r>
      <w:r w:rsidR="00D25EEF">
        <w:rPr>
          <w:rStyle w:val="Conclusion"/>
        </w:rPr>
        <w:t>ing</w:t>
      </w:r>
      <w:r w:rsidRPr="00E4652D">
        <w:rPr>
          <w:rStyle w:val="Conclusion"/>
        </w:rPr>
        <w:t xml:space="preserve"> financial savings. Nearly six years after it was introduced, the cap's performance against all three aims is disappointing at best. </w:t>
      </w:r>
    </w:p>
    <w:p w14:paraId="7B85559F" w14:textId="77777777" w:rsidR="00FB592E" w:rsidRPr="00E4652D" w:rsidRDefault="009E5393" w:rsidP="00C642FF">
      <w:pPr>
        <w:pStyle w:val="Para1"/>
        <w:rPr>
          <w:rStyle w:val="Conclusion"/>
        </w:rPr>
      </w:pPr>
      <w:r w:rsidRPr="009E5393">
        <w:rPr>
          <w:rStyle w:val="Conclusion"/>
        </w:rPr>
        <w:t>The Government claims that the cap restores fairness between people who are out of work and people who are working.  But this claim does not stand up to scrutiny: the cap fails to account for the benefits that in-work families can receive</w:t>
      </w:r>
      <w:r w:rsidR="004708C1">
        <w:rPr>
          <w:rStyle w:val="Conclusion"/>
        </w:rPr>
        <w:t>—</w:t>
      </w:r>
      <w:r w:rsidRPr="009E5393">
        <w:rPr>
          <w:rStyle w:val="Conclusion"/>
        </w:rPr>
        <w:t>leaving them substantially better off</w:t>
      </w:r>
      <w:r>
        <w:rPr>
          <w:rStyle w:val="Conclusion"/>
        </w:rPr>
        <w:t xml:space="preserve">. </w:t>
      </w:r>
      <w:r w:rsidR="00FE56F5" w:rsidRPr="00E4652D">
        <w:rPr>
          <w:rStyle w:val="Conclusion"/>
        </w:rPr>
        <w:t xml:space="preserve">In any case, </w:t>
      </w:r>
      <w:r w:rsidR="00343A6E" w:rsidRPr="00E4652D">
        <w:rPr>
          <w:rStyle w:val="Conclusion"/>
        </w:rPr>
        <w:t xml:space="preserve">families in work were already better off than similar families who were out-of-work, even without the cap. </w:t>
      </w:r>
      <w:r w:rsidR="00A0253F" w:rsidRPr="00E4652D">
        <w:rPr>
          <w:rStyle w:val="Conclusion"/>
        </w:rPr>
        <w:t xml:space="preserve">Nor is it clear that the cap is saving money, as even the small amount the Department claims to have </w:t>
      </w:r>
      <w:r w:rsidR="00A0253F" w:rsidRPr="0043633D">
        <w:rPr>
          <w:rStyle w:val="Conclusion"/>
        </w:rPr>
        <w:t>saved</w:t>
      </w:r>
      <w:r w:rsidR="0043633D" w:rsidRPr="0043633D">
        <w:rPr>
          <w:rStyle w:val="Conclusion"/>
        </w:rPr>
        <w:t>—just 0.1% of the total welfare bill—</w:t>
      </w:r>
      <w:r w:rsidR="00A0253F" w:rsidRPr="00E4652D">
        <w:rPr>
          <w:rStyle w:val="Conclusion"/>
        </w:rPr>
        <w:t>includes only the money it takes from households' benefit income.  It hands back a significant proportion of these savings to local authorities to support capped claimants, mainly through Discretionary Housing Payments</w:t>
      </w:r>
      <w:r w:rsidR="0043633D">
        <w:rPr>
          <w:rStyle w:val="Conclusion"/>
        </w:rPr>
        <w:t>. I</w:t>
      </w:r>
      <w:r w:rsidR="00314C03" w:rsidRPr="00E4652D">
        <w:rPr>
          <w:rStyle w:val="Conclusion"/>
        </w:rPr>
        <w:t>n part</w:t>
      </w:r>
      <w:r w:rsidR="0043633D">
        <w:rPr>
          <w:rStyle w:val="Conclusion"/>
        </w:rPr>
        <w:t>,</w:t>
      </w:r>
      <w:r w:rsidR="00A0253F" w:rsidRPr="00E4652D">
        <w:rPr>
          <w:rStyle w:val="Conclusion"/>
        </w:rPr>
        <w:t xml:space="preserve"> it is simply transferring costs from one budget to another.  </w:t>
      </w:r>
      <w:r w:rsidR="00FB592E" w:rsidRPr="00E4652D">
        <w:rPr>
          <w:rStyle w:val="Conclusion"/>
        </w:rPr>
        <w:t>Finally, while a small percentage of claimants</w:t>
      </w:r>
      <w:r w:rsidR="001E4993" w:rsidRPr="00E4652D">
        <w:rPr>
          <w:rStyle w:val="Conclusion"/>
        </w:rPr>
        <w:t>—just 4.7%—</w:t>
      </w:r>
      <w:r w:rsidR="00FB592E" w:rsidRPr="00E4652D">
        <w:rPr>
          <w:rStyle w:val="Conclusion"/>
        </w:rPr>
        <w:t xml:space="preserve">move into work because of the cap, the reality is that the vast majority do not.  This comes as little surprise: most people who are capped have already been assessed by the Department </w:t>
      </w:r>
      <w:r w:rsidR="001E4993" w:rsidRPr="00E4652D">
        <w:rPr>
          <w:rStyle w:val="Conclusion"/>
        </w:rPr>
        <w:t xml:space="preserve">itself </w:t>
      </w:r>
      <w:r w:rsidR="00FB592E" w:rsidRPr="00E4652D">
        <w:rPr>
          <w:rStyle w:val="Conclusion"/>
        </w:rPr>
        <w:t xml:space="preserve">as not being required to seek work, because they face major barriers to doing so.  </w:t>
      </w:r>
    </w:p>
    <w:p w14:paraId="4532B291" w14:textId="77777777" w:rsidR="00626E59" w:rsidRPr="00E4652D" w:rsidRDefault="00626E59" w:rsidP="00626E59">
      <w:pPr>
        <w:pStyle w:val="Para1"/>
        <w:rPr>
          <w:rStyle w:val="Conclusion"/>
        </w:rPr>
      </w:pPr>
      <w:r w:rsidRPr="00E4652D">
        <w:rPr>
          <w:rStyle w:val="Conclusion"/>
        </w:rPr>
        <w:t>Meanwhile, we are hearing harrowing stories from all over the country of people going hungry, parents struggling to feed their children, families shivering in their homes because they can't afford heating, and tenants building up crippling rent arrears. The Government must now look at the impact of the benefit cap in the round and consider whether, in its current form, it is achieving what it set out to do. If the cap is really intended to encourage people into work and restore fairness to the system, it should only be applied to people who are expected to be looking for work.</w:t>
      </w:r>
    </w:p>
    <w:p w14:paraId="44F93D9E" w14:textId="77777777" w:rsidR="008121C3" w:rsidRPr="00E4652D" w:rsidRDefault="00626E59" w:rsidP="00626E59">
      <w:pPr>
        <w:pStyle w:val="Para1"/>
        <w:rPr>
          <w:rStyle w:val="Conclusion"/>
        </w:rPr>
      </w:pPr>
      <w:r w:rsidRPr="00E4652D">
        <w:rPr>
          <w:rStyle w:val="Conclusion"/>
        </w:rPr>
        <w:t xml:space="preserve">We recognise that, taken together, our recommendations would reduce the savings made by the benefit cap. In the absence of a full cost-benefit analysis of the kind we have recommended, it is difficult to assess precisely what the costs of our proposals might be. Applying the cap only to those who are expected to find work would remove about 80% of currently capped households from the cap. That would of course reduce the direct savings to central government—but it would also reduce the costs of this policy, by reducing the need for Discretionary Housing Payments and other support provided by local authorities and the wider welfare system as a result of the hardship the cap creates. </w:t>
      </w:r>
      <w:r w:rsidR="008A2FFA" w:rsidRPr="00E4652D">
        <w:rPr>
          <w:rStyle w:val="Conclusion"/>
        </w:rPr>
        <w:t>Overall, the evidence suggests that the cost to the public purse might well be negligible—but the positive impact for people escaping the cap would be immense.</w:t>
      </w:r>
    </w:p>
    <w:p w14:paraId="28BDA12E" w14:textId="77777777" w:rsidR="00626E59" w:rsidRPr="00E4652D" w:rsidRDefault="008121C3" w:rsidP="00626E59">
      <w:pPr>
        <w:pStyle w:val="Para1"/>
        <w:rPr>
          <w:rStyle w:val="Conclusion"/>
        </w:rPr>
      </w:pPr>
      <w:r w:rsidRPr="00E4652D">
        <w:rPr>
          <w:rStyle w:val="Conclusion"/>
        </w:rPr>
        <w:t xml:space="preserve">It is now time for a full audit of this policy. </w:t>
      </w:r>
      <w:r w:rsidR="00D6799B" w:rsidRPr="00E4652D">
        <w:rPr>
          <w:rStyle w:val="Conclusion"/>
        </w:rPr>
        <w:t>The Government must look carefully at both the financial and the human costs of the cap</w:t>
      </w:r>
      <w:r w:rsidR="008A2FFA" w:rsidRPr="00E4652D">
        <w:rPr>
          <w:rStyle w:val="Conclusion"/>
        </w:rPr>
        <w:t xml:space="preserve"> in its current form</w:t>
      </w:r>
      <w:r w:rsidR="00D6799B" w:rsidRPr="00E4652D">
        <w:rPr>
          <w:rStyle w:val="Conclusion"/>
        </w:rPr>
        <w:t>, and weigh these in th</w:t>
      </w:r>
      <w:r w:rsidR="008A2FFA" w:rsidRPr="00E4652D">
        <w:rPr>
          <w:rStyle w:val="Conclusion"/>
        </w:rPr>
        <w:t xml:space="preserve">e balance. </w:t>
      </w:r>
      <w:r w:rsidR="00E4652D" w:rsidRPr="00E4652D">
        <w:rPr>
          <w:rStyle w:val="Conclusion"/>
        </w:rPr>
        <w:t xml:space="preserve">If it is found wanting, the Government must commit to radical change—and quickly. </w:t>
      </w:r>
    </w:p>
    <w:p w14:paraId="0DDD1FD4" w14:textId="77777777" w:rsidR="00023E1D" w:rsidRPr="001324BC" w:rsidRDefault="00023E1D" w:rsidP="00E4652D">
      <w:pPr>
        <w:pStyle w:val="Para1"/>
        <w:numPr>
          <w:ilvl w:val="0"/>
          <w:numId w:val="0"/>
        </w:numPr>
        <w:ind w:left="578"/>
        <w:rPr>
          <w:highlight w:val="yellow"/>
        </w:rPr>
      </w:pPr>
    </w:p>
    <w:sectPr w:rsidR="00023E1D" w:rsidRPr="001324BC" w:rsidSect="00202045">
      <w:headerReference w:type="even" r:id="rId28"/>
      <w:headerReference w:type="default" r:id="rId29"/>
      <w:pgSz w:w="11906" w:h="16838" w:code="9"/>
      <w:pgMar w:top="1701" w:right="1701" w:bottom="1140" w:left="1701" w:header="709" w:footer="794" w:gutter="0"/>
      <w:lnNumType w:countBy="5"/>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1128F" w14:textId="77777777" w:rsidR="00467215" w:rsidRDefault="00467215" w:rsidP="00FD1727">
      <w:r>
        <w:separator/>
      </w:r>
    </w:p>
    <w:p w14:paraId="3FF1D53C" w14:textId="77777777" w:rsidR="00467215" w:rsidRDefault="00467215"/>
    <w:p w14:paraId="3B8E3E1B" w14:textId="77777777" w:rsidR="00467215" w:rsidRDefault="00467215"/>
  </w:endnote>
  <w:endnote w:type="continuationSeparator" w:id="0">
    <w:p w14:paraId="5AF16D72" w14:textId="77777777" w:rsidR="00467215" w:rsidRDefault="00467215" w:rsidP="00FD1727">
      <w:r>
        <w:continuationSeparator/>
      </w:r>
    </w:p>
    <w:p w14:paraId="7B008DDF" w14:textId="77777777" w:rsidR="00467215" w:rsidRDefault="00467215"/>
    <w:p w14:paraId="5F4F8D96" w14:textId="77777777" w:rsidR="00467215" w:rsidRDefault="00467215"/>
  </w:endnote>
  <w:endnote w:type="continuationNotice" w:id="1">
    <w:p w14:paraId="629B3554" w14:textId="77777777" w:rsidR="00467215" w:rsidRDefault="004672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utiger LT Std 45 Light">
    <w:altName w:val="Calibri"/>
    <w:panose1 w:val="020B0402020204020204"/>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Frutiger LT Std 55 Roman">
    <w:altName w:val="Calibri"/>
    <w:panose1 w:val="020B0602020204020204"/>
    <w:charset w:val="00"/>
    <w:family w:val="swiss"/>
    <w:notTrueType/>
    <w:pitch w:val="variable"/>
    <w:sig w:usb0="800000AF" w:usb1="4000204A" w:usb2="00000000" w:usb3="00000000" w:csb0="00000001" w:csb1="00000000"/>
  </w:font>
  <w:font w:name="Consolas">
    <w:panose1 w:val="020B0609020204030204"/>
    <w:charset w:val="00"/>
    <w:family w:val="modern"/>
    <w:pitch w:val="fixed"/>
    <w:sig w:usb0="E00006FF" w:usb1="0000FCFF" w:usb2="00000001" w:usb3="00000000" w:csb0="0000019F" w:csb1="00000000"/>
  </w:font>
  <w:font w:name="Plantin">
    <w:altName w:val="Cambria"/>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37590C" w14:textId="77777777" w:rsidR="00467215" w:rsidRPr="005D387D" w:rsidRDefault="00467215" w:rsidP="005D387D">
      <w:r w:rsidRPr="005D387D">
        <w:continuationSeparator/>
      </w:r>
    </w:p>
  </w:footnote>
  <w:footnote w:type="continuationSeparator" w:id="0">
    <w:p w14:paraId="32600012" w14:textId="77777777" w:rsidR="00467215" w:rsidRPr="005D387D" w:rsidRDefault="00467215" w:rsidP="005D387D">
      <w:r w:rsidRPr="005D387D">
        <w:continuationSeparator/>
      </w:r>
    </w:p>
  </w:footnote>
  <w:footnote w:type="continuationNotice" w:id="1">
    <w:p w14:paraId="13B658C7" w14:textId="77777777" w:rsidR="00467215" w:rsidRDefault="00467215"/>
  </w:footnote>
  <w:footnote w:id="2">
    <w:p w14:paraId="55789751" w14:textId="77777777" w:rsidR="00706E88" w:rsidRDefault="00706E88">
      <w:pPr>
        <w:pStyle w:val="FootnoteText"/>
      </w:pPr>
      <w:r>
        <w:rPr>
          <w:rStyle w:val="FootnoteReference"/>
        </w:rPr>
        <w:footnoteRef/>
      </w:r>
      <w:r>
        <w:t xml:space="preserve"> </w:t>
      </w:r>
      <w:r w:rsidRPr="00735152">
        <w:rPr>
          <w:lang w:eastAsia="en-GB"/>
        </w:rPr>
        <w:t xml:space="preserve">HM Treasury, Summer Budget 2015, </w:t>
      </w:r>
      <w:hyperlink r:id="rId1" w:history="1">
        <w:r w:rsidRPr="00735152">
          <w:rPr>
            <w:rStyle w:val="HyperlinkEmphasis"/>
            <w:rFonts w:eastAsiaTheme="majorEastAsia"/>
            <w:lang w:eastAsia="en-GB"/>
          </w:rPr>
          <w:t>HC 264</w:t>
        </w:r>
      </w:hyperlink>
      <w:r w:rsidRPr="00735152">
        <w:rPr>
          <w:lang w:eastAsia="en-GB"/>
        </w:rPr>
        <w:t>, July 2015</w:t>
      </w:r>
    </w:p>
  </w:footnote>
  <w:footnote w:id="3">
    <w:p w14:paraId="0E51F424" w14:textId="77777777" w:rsidR="00706E88" w:rsidRDefault="00706E88">
      <w:pPr>
        <w:pStyle w:val="FootnoteText"/>
      </w:pPr>
      <w:r>
        <w:rPr>
          <w:rStyle w:val="FootnoteReference"/>
        </w:rPr>
        <w:footnoteRef/>
      </w:r>
      <w:r>
        <w:t xml:space="preserve"> Department for Work and Pensions, </w:t>
      </w:r>
      <w:hyperlink r:id="rId2" w:history="1">
        <w:r w:rsidRPr="00527835">
          <w:rPr>
            <w:rStyle w:val="Hyperlink"/>
          </w:rPr>
          <w:t>"Benefit Cap: number of households capped to November 2018"</w:t>
        </w:r>
      </w:hyperlink>
      <w:r>
        <w:t>, February 2019</w:t>
      </w:r>
    </w:p>
  </w:footnote>
  <w:footnote w:id="4">
    <w:p w14:paraId="790FCA43" w14:textId="77777777" w:rsidR="00706E88" w:rsidRDefault="00706E88">
      <w:pPr>
        <w:pStyle w:val="FootnoteText"/>
      </w:pPr>
      <w:r>
        <w:rPr>
          <w:rStyle w:val="FootnoteReference"/>
        </w:rPr>
        <w:footnoteRef/>
      </w:r>
      <w:r>
        <w:t xml:space="preserve"> HC Deb, 9 March 2011, </w:t>
      </w:r>
      <w:hyperlink r:id="rId3" w:anchor="11030953000002" w:history="1">
        <w:r w:rsidRPr="00566D0D">
          <w:rPr>
            <w:rStyle w:val="Hyperlink"/>
          </w:rPr>
          <w:t>col 889</w:t>
        </w:r>
      </w:hyperlink>
      <w:r>
        <w:t xml:space="preserve">, [Commons Chamber] </w:t>
      </w:r>
    </w:p>
  </w:footnote>
  <w:footnote w:id="5">
    <w:p w14:paraId="6DCF6D97" w14:textId="77777777" w:rsidR="00706E88" w:rsidRDefault="00706E88" w:rsidP="002E6B8C">
      <w:pPr>
        <w:pStyle w:val="FootnoteText"/>
      </w:pPr>
      <w:r>
        <w:rPr>
          <w:rStyle w:val="FootnoteReference"/>
        </w:rPr>
        <w:footnoteRef/>
      </w:r>
      <w:r>
        <w:t xml:space="preserve"> </w:t>
      </w:r>
      <w:r w:rsidRPr="00566D0D">
        <w:t xml:space="preserve">HC Deb, </w:t>
      </w:r>
      <w:r>
        <w:t>15 June</w:t>
      </w:r>
      <w:r w:rsidRPr="00566D0D">
        <w:t xml:space="preserve"> 2011, </w:t>
      </w:r>
      <w:hyperlink r:id="rId4" w:anchor="column_878" w:history="1">
        <w:r w:rsidRPr="00566D0D">
          <w:rPr>
            <w:rStyle w:val="Hyperlink"/>
          </w:rPr>
          <w:t>col 882</w:t>
        </w:r>
      </w:hyperlink>
      <w:r>
        <w:rPr>
          <w:rStyle w:val="Hyperlink"/>
        </w:rPr>
        <w:t xml:space="preserve">, </w:t>
      </w:r>
      <w:r w:rsidRPr="002E6B8C">
        <w:rPr>
          <w:rStyle w:val="Hyperlink"/>
          <w:color w:val="auto"/>
          <w:u w:val="none"/>
        </w:rPr>
        <w:t>[Commons Chamber]</w:t>
      </w:r>
    </w:p>
  </w:footnote>
  <w:footnote w:id="6">
    <w:p w14:paraId="49AC206F" w14:textId="77777777" w:rsidR="00706E88" w:rsidRDefault="00706E88" w:rsidP="00403D93">
      <w:pPr>
        <w:pStyle w:val="FootnoteText"/>
      </w:pPr>
      <w:r>
        <w:rPr>
          <w:rStyle w:val="FootnoteReference"/>
        </w:rPr>
        <w:footnoteRef/>
      </w:r>
      <w:r>
        <w:t xml:space="preserve"> Department for Work and Pensions (BEC0023)</w:t>
      </w:r>
    </w:p>
  </w:footnote>
  <w:footnote w:id="7">
    <w:p w14:paraId="6B650F6C" w14:textId="77777777" w:rsidR="00706E88" w:rsidRDefault="00706E88">
      <w:pPr>
        <w:pStyle w:val="FootnoteText"/>
      </w:pPr>
      <w:r>
        <w:rPr>
          <w:rStyle w:val="FootnoteReference"/>
        </w:rPr>
        <w:footnoteRef/>
      </w:r>
      <w:r>
        <w:t xml:space="preserve"> Department for Work and Pensions, </w:t>
      </w:r>
      <w:hyperlink r:id="rId5" w:history="1">
        <w:r w:rsidRPr="008A0CAA">
          <w:rPr>
            <w:rStyle w:val="Hyperlink"/>
          </w:rPr>
          <w:t>'Benefit cap: number of households capped to November 2016'</w:t>
        </w:r>
      </w:hyperlink>
      <w:r>
        <w:t>, February 2017</w:t>
      </w:r>
    </w:p>
  </w:footnote>
  <w:footnote w:id="8">
    <w:p w14:paraId="1F0D9EEB" w14:textId="77777777" w:rsidR="00706E88" w:rsidRDefault="00706E88" w:rsidP="00CE5A79">
      <w:pPr>
        <w:pStyle w:val="FootnoteText"/>
      </w:pPr>
      <w:r>
        <w:rPr>
          <w:rStyle w:val="FootnoteReference"/>
        </w:rPr>
        <w:footnoteRef/>
      </w:r>
      <w:r>
        <w:t xml:space="preserve"> Office for National Statistics, </w:t>
      </w:r>
      <w:hyperlink r:id="rId6" w:history="1">
        <w:r w:rsidRPr="002E6B8C">
          <w:rPr>
            <w:rStyle w:val="Hyperlink"/>
          </w:rPr>
          <w:t>'Families and the Labour market, England: 2018'</w:t>
        </w:r>
      </w:hyperlink>
      <w:r>
        <w:t>, accessed 6 March 2019</w:t>
      </w:r>
    </w:p>
  </w:footnote>
  <w:footnote w:id="9">
    <w:p w14:paraId="68965A6F" w14:textId="77777777" w:rsidR="00706E88" w:rsidRDefault="00706E88">
      <w:pPr>
        <w:pStyle w:val="FootnoteText"/>
      </w:pPr>
      <w:r>
        <w:rPr>
          <w:rStyle w:val="FootnoteReference"/>
        </w:rPr>
        <w:footnoteRef/>
      </w:r>
      <w:r>
        <w:t xml:space="preserve"> Department for Work and Pensions, </w:t>
      </w:r>
      <w:hyperlink r:id="rId7" w:history="1">
        <w:r w:rsidRPr="008A0CAA">
          <w:rPr>
            <w:rStyle w:val="Hyperlink"/>
          </w:rPr>
          <w:t>'Benefit cap: number of households capped to November 2016'</w:t>
        </w:r>
      </w:hyperlink>
      <w:r>
        <w:t>, February 2017</w:t>
      </w:r>
    </w:p>
  </w:footnote>
  <w:footnote w:id="10">
    <w:p w14:paraId="6B1855F3" w14:textId="77777777" w:rsidR="00706E88" w:rsidRPr="00C50FE2" w:rsidRDefault="00706E88" w:rsidP="00A50AE5">
      <w:pPr>
        <w:pStyle w:val="FootnoteText"/>
      </w:pPr>
      <w:r>
        <w:rPr>
          <w:rStyle w:val="FootnoteReference"/>
        </w:rPr>
        <w:footnoteRef/>
      </w:r>
      <w:r>
        <w:t xml:space="preserve"> Department for Work and Pensions, "</w:t>
      </w:r>
      <w:hyperlink r:id="rId8" w:history="1">
        <w:r w:rsidRPr="00277F62">
          <w:rPr>
            <w:rStyle w:val="Hyperlink"/>
          </w:rPr>
          <w:t>DWP Welfare Reform and Work Act: impact assessment for the benefit cap</w:t>
        </w:r>
      </w:hyperlink>
      <w:r>
        <w:rPr>
          <w:rStyle w:val="Hyperlink"/>
        </w:rPr>
        <w:t>"</w:t>
      </w:r>
      <w:r w:rsidRPr="00C50FE2">
        <w:t>, 25 August 2016</w:t>
      </w:r>
    </w:p>
  </w:footnote>
  <w:footnote w:id="11">
    <w:p w14:paraId="1FA62E43" w14:textId="77777777" w:rsidR="00706E88" w:rsidRDefault="00706E88" w:rsidP="00A50AE5">
      <w:pPr>
        <w:pStyle w:val="FootnoteText"/>
      </w:pPr>
      <w:r>
        <w:rPr>
          <w:rStyle w:val="FootnoteReference"/>
        </w:rPr>
        <w:footnoteRef/>
      </w:r>
      <w:r>
        <w:t xml:space="preserve"> Ibid.</w:t>
      </w:r>
    </w:p>
  </w:footnote>
  <w:footnote w:id="12">
    <w:p w14:paraId="454971DE" w14:textId="77777777" w:rsidR="00706E88" w:rsidRDefault="00706E88" w:rsidP="00532C04">
      <w:pPr>
        <w:pStyle w:val="FootnoteText"/>
      </w:pPr>
      <w:r>
        <w:rPr>
          <w:rStyle w:val="FootnoteReference"/>
        </w:rPr>
        <w:footnoteRef/>
      </w:r>
      <w:r>
        <w:t xml:space="preserve"> </w:t>
      </w:r>
      <w:r w:rsidRPr="00BE021E">
        <w:t>Department for Work and Pensions</w:t>
      </w:r>
      <w:r>
        <w:t>,</w:t>
      </w:r>
      <w:r w:rsidRPr="00BE021E">
        <w:t xml:space="preserve"> </w:t>
      </w:r>
      <w:r>
        <w:t>"</w:t>
      </w:r>
      <w:hyperlink r:id="rId9" w:history="1">
        <w:r w:rsidRPr="002658BA">
          <w:rPr>
            <w:rStyle w:val="Hyperlink"/>
          </w:rPr>
          <w:t xml:space="preserve">Benefit cap quarterly statistics: GB households capped to </w:t>
        </w:r>
        <w:r>
          <w:rPr>
            <w:rStyle w:val="Hyperlink"/>
          </w:rPr>
          <w:t>November</w:t>
        </w:r>
        <w:r w:rsidRPr="002658BA">
          <w:rPr>
            <w:rStyle w:val="Hyperlink"/>
          </w:rPr>
          <w:t xml:space="preserve"> 201</w:t>
        </w:r>
      </w:hyperlink>
      <w:r w:rsidRPr="002658BA">
        <w:rPr>
          <w:rStyle w:val="Hyperlink"/>
        </w:rPr>
        <w:t>8</w:t>
      </w:r>
      <w:r>
        <w:rPr>
          <w:rStyle w:val="Hyperlink"/>
        </w:rPr>
        <w:t>"</w:t>
      </w:r>
      <w:r w:rsidRPr="00532C04">
        <w:rPr>
          <w:rStyle w:val="Hyperlink"/>
          <w:color w:val="auto"/>
          <w:u w:val="none"/>
        </w:rPr>
        <w:t>, February 2019</w:t>
      </w:r>
    </w:p>
  </w:footnote>
  <w:footnote w:id="13">
    <w:p w14:paraId="2DA22DF6" w14:textId="77777777" w:rsidR="00706E88" w:rsidRDefault="00706E88">
      <w:pPr>
        <w:pStyle w:val="FootnoteText"/>
      </w:pPr>
      <w:r>
        <w:rPr>
          <w:rStyle w:val="FootnoteReference"/>
        </w:rPr>
        <w:footnoteRef/>
      </w:r>
      <w:r>
        <w:t xml:space="preserve"> Ibid.</w:t>
      </w:r>
    </w:p>
  </w:footnote>
  <w:footnote w:id="14">
    <w:p w14:paraId="41CA07D1" w14:textId="77777777" w:rsidR="00706E88" w:rsidRDefault="00706E88">
      <w:pPr>
        <w:pStyle w:val="FootnoteText"/>
      </w:pPr>
      <w:r>
        <w:rPr>
          <w:rStyle w:val="FootnoteReference"/>
        </w:rPr>
        <w:footnoteRef/>
      </w:r>
      <w:r>
        <w:t xml:space="preserve"> </w:t>
      </w:r>
      <w:r w:rsidRPr="00BE021E">
        <w:t>Department for Work and Pensions</w:t>
      </w:r>
      <w:r>
        <w:t xml:space="preserve">, </w:t>
      </w:r>
      <w:hyperlink r:id="rId10" w:history="1">
        <w:r w:rsidRPr="000877A0">
          <w:rPr>
            <w:rStyle w:val="Hyperlink"/>
          </w:rPr>
          <w:t>Stat-Xplore</w:t>
        </w:r>
      </w:hyperlink>
      <w:r>
        <w:t>; Benefit cap tables, accessed February 2019</w:t>
      </w:r>
    </w:p>
  </w:footnote>
  <w:footnote w:id="15">
    <w:p w14:paraId="7E9AA168" w14:textId="77777777" w:rsidR="00706E88" w:rsidRDefault="00706E88" w:rsidP="00337B4A">
      <w:pPr>
        <w:pStyle w:val="FootnoteText"/>
      </w:pPr>
      <w:r>
        <w:rPr>
          <w:rStyle w:val="FootnoteReference"/>
        </w:rPr>
        <w:footnoteRef/>
      </w:r>
      <w:r>
        <w:t xml:space="preserve"> Q192</w:t>
      </w:r>
    </w:p>
  </w:footnote>
  <w:footnote w:id="16">
    <w:p w14:paraId="0D2F13BC" w14:textId="77777777" w:rsidR="00706E88" w:rsidRDefault="00706E88" w:rsidP="00B217B8">
      <w:pPr>
        <w:pStyle w:val="FootnoteText"/>
      </w:pPr>
      <w:r>
        <w:rPr>
          <w:rStyle w:val="FootnoteReference"/>
        </w:rPr>
        <w:footnoteRef/>
      </w:r>
      <w:r>
        <w:t xml:space="preserve"> </w:t>
      </w:r>
      <w:r w:rsidRPr="00BE021E">
        <w:t xml:space="preserve">Department for Work and Pensions; </w:t>
      </w:r>
      <w:r>
        <w:t>"</w:t>
      </w:r>
      <w:hyperlink r:id="rId11" w:history="1">
        <w:r w:rsidRPr="002658BA">
          <w:rPr>
            <w:rStyle w:val="Hyperlink"/>
          </w:rPr>
          <w:t xml:space="preserve">Benefit cap quarterly statistics: GB households capped to </w:t>
        </w:r>
        <w:r>
          <w:rPr>
            <w:rStyle w:val="Hyperlink"/>
          </w:rPr>
          <w:t>November</w:t>
        </w:r>
        <w:r w:rsidRPr="002658BA">
          <w:rPr>
            <w:rStyle w:val="Hyperlink"/>
          </w:rPr>
          <w:t xml:space="preserve"> 201</w:t>
        </w:r>
      </w:hyperlink>
      <w:r w:rsidRPr="002658BA">
        <w:rPr>
          <w:rStyle w:val="Hyperlink"/>
        </w:rPr>
        <w:t>8</w:t>
      </w:r>
      <w:r>
        <w:rPr>
          <w:rStyle w:val="Hyperlink"/>
        </w:rPr>
        <w:t>"</w:t>
      </w:r>
      <w:r w:rsidRPr="00B217B8">
        <w:rPr>
          <w:rStyle w:val="Hyperlink"/>
          <w:color w:val="auto"/>
          <w:u w:val="none"/>
        </w:rPr>
        <w:t xml:space="preserve">, </w:t>
      </w:r>
      <w:r w:rsidRPr="00847416">
        <w:rPr>
          <w:rStyle w:val="FootnoteReference"/>
          <w:vertAlign w:val="baseline"/>
        </w:rPr>
        <w:t>February 2019</w:t>
      </w:r>
    </w:p>
  </w:footnote>
  <w:footnote w:id="17">
    <w:p w14:paraId="6214DE00" w14:textId="77777777" w:rsidR="00706E88" w:rsidRDefault="00706E88">
      <w:pPr>
        <w:pStyle w:val="FootnoteText"/>
      </w:pPr>
      <w:r>
        <w:rPr>
          <w:rStyle w:val="FootnoteReference"/>
        </w:rPr>
        <w:footnoteRef/>
      </w:r>
      <w:r>
        <w:t xml:space="preserve"> Department for Work and Pensions (BEC0023)</w:t>
      </w:r>
    </w:p>
  </w:footnote>
  <w:footnote w:id="18">
    <w:p w14:paraId="55958382" w14:textId="77777777" w:rsidR="00706E88" w:rsidRDefault="00706E88">
      <w:pPr>
        <w:pStyle w:val="FootnoteText"/>
      </w:pPr>
      <w:r>
        <w:rPr>
          <w:rStyle w:val="FootnoteReference"/>
        </w:rPr>
        <w:footnoteRef/>
      </w:r>
      <w:r>
        <w:t xml:space="preserve"> Department for Work and Pensions (BEC0023)</w:t>
      </w:r>
    </w:p>
  </w:footnote>
  <w:footnote w:id="19">
    <w:p w14:paraId="63E30670" w14:textId="77777777" w:rsidR="00706E88" w:rsidRDefault="00706E88">
      <w:pPr>
        <w:pStyle w:val="FootnoteText"/>
      </w:pPr>
      <w:r>
        <w:rPr>
          <w:rStyle w:val="FootnoteReference"/>
        </w:rPr>
        <w:footnoteRef/>
      </w:r>
      <w:r>
        <w:t xml:space="preserve"> Ibid.</w:t>
      </w:r>
    </w:p>
  </w:footnote>
  <w:footnote w:id="20">
    <w:p w14:paraId="177AEC54" w14:textId="77777777" w:rsidR="00706E88" w:rsidRDefault="00706E88">
      <w:pPr>
        <w:pStyle w:val="FootnoteText"/>
      </w:pPr>
      <w:r>
        <w:rPr>
          <w:rStyle w:val="FootnoteReference"/>
        </w:rPr>
        <w:footnoteRef/>
      </w:r>
      <w:r>
        <w:t xml:space="preserve"> </w:t>
      </w:r>
      <w:r w:rsidRPr="008E6A08">
        <w:t>Child Poverty Action Group (BEC0022), Gingerbread (BEC0012), Zacchaeus 2000 Trust(BEC0027), Brighton and Hove City Council (BEC0021), Newcastle City Council and Your Homes Newcastle (BEC0020),</w:t>
      </w:r>
      <w:r>
        <w:t xml:space="preserve"> </w:t>
      </w:r>
      <w:r w:rsidRPr="008E6A08">
        <w:t>London Councils (BEC0018), Welfare Rights and Money Advice Service (WRAMAS) - Bristol City Council (BEC0015),</w:t>
      </w:r>
      <w:r>
        <w:t xml:space="preserve"> </w:t>
      </w:r>
      <w:r w:rsidRPr="008E6A08">
        <w:t xml:space="preserve">Policy in Practice (BEC0029), </w:t>
      </w:r>
      <w:r>
        <w:t>The Local Government Association (BEC0026), Shelter (BEC0024), Shelter Scotland (BEC0013), Chartered Institute of Housing (BEC0025), Citizens Advice Scotland (BEC0007)</w:t>
      </w:r>
    </w:p>
  </w:footnote>
  <w:footnote w:id="21">
    <w:p w14:paraId="61C90CBC" w14:textId="77777777" w:rsidR="00706E88" w:rsidRDefault="00706E88" w:rsidP="003E1229">
      <w:pPr>
        <w:pStyle w:val="FootnoteText"/>
      </w:pPr>
      <w:r>
        <w:rPr>
          <w:rStyle w:val="FootnoteReference"/>
        </w:rPr>
        <w:footnoteRef/>
      </w:r>
      <w:r>
        <w:t xml:space="preserve"> </w:t>
      </w:r>
      <w:r w:rsidRPr="00BE021E">
        <w:t>Department for Work and Pensions</w:t>
      </w:r>
      <w:r>
        <w:t>,</w:t>
      </w:r>
      <w:r w:rsidRPr="00BE021E">
        <w:t xml:space="preserve"> </w:t>
      </w:r>
      <w:r>
        <w:t>"</w:t>
      </w:r>
      <w:hyperlink r:id="rId12" w:history="1">
        <w:r w:rsidRPr="002658BA">
          <w:rPr>
            <w:rStyle w:val="Hyperlink"/>
          </w:rPr>
          <w:t>Benefit cap quarterly statistics:</w:t>
        </w:r>
        <w:r>
          <w:rPr>
            <w:rStyle w:val="Hyperlink"/>
          </w:rPr>
          <w:t xml:space="preserve"> </w:t>
        </w:r>
        <w:r w:rsidRPr="002658BA">
          <w:rPr>
            <w:rStyle w:val="Hyperlink"/>
          </w:rPr>
          <w:t xml:space="preserve">GB households capped to </w:t>
        </w:r>
        <w:r>
          <w:rPr>
            <w:rStyle w:val="Hyperlink"/>
          </w:rPr>
          <w:t>November</w:t>
        </w:r>
        <w:r w:rsidRPr="002658BA">
          <w:rPr>
            <w:rStyle w:val="Hyperlink"/>
          </w:rPr>
          <w:t xml:space="preserve"> 201</w:t>
        </w:r>
      </w:hyperlink>
      <w:r w:rsidRPr="002658BA">
        <w:rPr>
          <w:rStyle w:val="Hyperlink"/>
        </w:rPr>
        <w:t>8</w:t>
      </w:r>
      <w:r>
        <w:rPr>
          <w:rStyle w:val="Hyperlink"/>
        </w:rPr>
        <w:t xml:space="preserve">", </w:t>
      </w:r>
      <w:r w:rsidRPr="003E1229">
        <w:rPr>
          <w:rStyle w:val="Hyperlink"/>
          <w:color w:val="auto"/>
          <w:u w:val="none"/>
        </w:rPr>
        <w:t>February 2019</w:t>
      </w:r>
    </w:p>
  </w:footnote>
  <w:footnote w:id="22">
    <w:p w14:paraId="78FA674E" w14:textId="77777777" w:rsidR="00706E88" w:rsidRDefault="00706E88">
      <w:pPr>
        <w:pStyle w:val="FootnoteText"/>
      </w:pPr>
      <w:r>
        <w:rPr>
          <w:rStyle w:val="FootnoteReference"/>
        </w:rPr>
        <w:footnoteRef/>
      </w:r>
      <w:r>
        <w:t xml:space="preserve"> Ibid.</w:t>
      </w:r>
    </w:p>
  </w:footnote>
  <w:footnote w:id="23">
    <w:p w14:paraId="395A0177" w14:textId="77777777" w:rsidR="00706E88" w:rsidRDefault="00706E88" w:rsidP="00230F47">
      <w:pPr>
        <w:pStyle w:val="FootnoteText"/>
      </w:pPr>
      <w:r>
        <w:rPr>
          <w:rStyle w:val="FootnoteReference"/>
        </w:rPr>
        <w:footnoteRef/>
      </w:r>
      <w:r>
        <w:t xml:space="preserve"> Capped households can be in receipt of multiple benefits therefore percentages for households in receipt of each benefit do not sum to 100%.</w:t>
      </w:r>
    </w:p>
    <w:p w14:paraId="4CF6FBE2" w14:textId="77777777" w:rsidR="00706E88" w:rsidRDefault="00706E88" w:rsidP="00230F47">
      <w:pPr>
        <w:pStyle w:val="FootnoteText"/>
      </w:pPr>
    </w:p>
  </w:footnote>
  <w:footnote w:id="24">
    <w:p w14:paraId="3A29FC25" w14:textId="77777777" w:rsidR="00706E88" w:rsidRDefault="00706E88">
      <w:pPr>
        <w:pStyle w:val="FootnoteText"/>
      </w:pPr>
      <w:r>
        <w:rPr>
          <w:rStyle w:val="FootnoteReference"/>
        </w:rPr>
        <w:footnoteRef/>
      </w:r>
      <w:r>
        <w:t xml:space="preserve"> Child Poverty Action Group (BEC0022)</w:t>
      </w:r>
    </w:p>
  </w:footnote>
  <w:footnote w:id="25">
    <w:p w14:paraId="77BAF89F" w14:textId="77777777" w:rsidR="00706E88" w:rsidRDefault="00706E88">
      <w:pPr>
        <w:pStyle w:val="FootnoteText"/>
      </w:pPr>
      <w:r>
        <w:rPr>
          <w:rStyle w:val="FootnoteReference"/>
        </w:rPr>
        <w:footnoteRef/>
      </w:r>
      <w:r>
        <w:t xml:space="preserve"> Q7</w:t>
      </w:r>
    </w:p>
  </w:footnote>
  <w:footnote w:id="26">
    <w:p w14:paraId="5AE0DC27" w14:textId="77777777" w:rsidR="00706E88" w:rsidRDefault="00706E88">
      <w:pPr>
        <w:pStyle w:val="FootnoteText"/>
      </w:pPr>
      <w:r>
        <w:rPr>
          <w:rStyle w:val="FootnoteReference"/>
        </w:rPr>
        <w:footnoteRef/>
      </w:r>
      <w:r>
        <w:t xml:space="preserve"> Child Poverty Action Group (BEC0022), Gingerbread (BEC0012), Zacchaeus 2000 Trust (BEC0027), Brighton and Hove City Council (BEC0021), Newcastle City Council and Your Homes Newcastle (BEC0020),Durham City Council (BEC0019), London Councils (BEC0018), Welfare Rights and Money Advice Service (WRAMAS) - Bristol City Council (BEC0015), Policy in Practice (BEC0029), Gwent Welfare Reform Partnership (BEC003)</w:t>
      </w:r>
    </w:p>
  </w:footnote>
  <w:footnote w:id="27">
    <w:p w14:paraId="7F6AAFB0" w14:textId="77777777" w:rsidR="00706E88" w:rsidRDefault="00706E88" w:rsidP="00F67EC7">
      <w:pPr>
        <w:pStyle w:val="FootnoteText"/>
      </w:pPr>
      <w:r>
        <w:rPr>
          <w:rStyle w:val="FootnoteReference"/>
        </w:rPr>
        <w:footnoteRef/>
      </w:r>
      <w:r>
        <w:t xml:space="preserve"> Department for Work and Pensions, </w:t>
      </w:r>
      <w:hyperlink r:id="rId13" w:history="1">
        <w:r w:rsidRPr="003E1229">
          <w:rPr>
            <w:rStyle w:val="Hyperlink"/>
          </w:rPr>
          <w:t>"Post implementation effects of the benefit cap  (wave 2 survey)"</w:t>
        </w:r>
      </w:hyperlink>
      <w:r>
        <w:t>, December 2014</w:t>
      </w:r>
    </w:p>
  </w:footnote>
  <w:footnote w:id="28">
    <w:p w14:paraId="3AE2E5E1" w14:textId="77777777" w:rsidR="00706E88" w:rsidRDefault="00706E88">
      <w:pPr>
        <w:pStyle w:val="FootnoteText"/>
      </w:pPr>
      <w:r>
        <w:rPr>
          <w:rStyle w:val="FootnoteReference"/>
        </w:rPr>
        <w:footnoteRef/>
      </w:r>
      <w:r>
        <w:t xml:space="preserve"> Chartered Institute of Housing (BEC0025)</w:t>
      </w:r>
    </w:p>
  </w:footnote>
  <w:footnote w:id="29">
    <w:p w14:paraId="2D99B4CB" w14:textId="77777777" w:rsidR="00706E88" w:rsidRDefault="00706E88" w:rsidP="00953E41">
      <w:pPr>
        <w:pStyle w:val="FootnoteText"/>
      </w:pPr>
      <w:r>
        <w:rPr>
          <w:rStyle w:val="FootnoteReference"/>
        </w:rPr>
        <w:footnoteRef/>
      </w:r>
      <w:r>
        <w:t xml:space="preserve"> Child Poverty Action Group (BEC0022), Gingerbread (BEC0012)</w:t>
      </w:r>
    </w:p>
  </w:footnote>
  <w:footnote w:id="30">
    <w:p w14:paraId="7CB9913B" w14:textId="77777777" w:rsidR="00706E88" w:rsidRDefault="00706E88">
      <w:pPr>
        <w:pStyle w:val="FootnoteText"/>
      </w:pPr>
      <w:r>
        <w:rPr>
          <w:rStyle w:val="FootnoteReference"/>
        </w:rPr>
        <w:footnoteRef/>
      </w:r>
      <w:r>
        <w:t xml:space="preserve"> Q71</w:t>
      </w:r>
    </w:p>
  </w:footnote>
  <w:footnote w:id="31">
    <w:p w14:paraId="76057B31" w14:textId="77777777" w:rsidR="00706E88" w:rsidRDefault="00706E88">
      <w:pPr>
        <w:pStyle w:val="FootnoteText"/>
      </w:pPr>
      <w:r>
        <w:rPr>
          <w:rStyle w:val="FootnoteReference"/>
        </w:rPr>
        <w:footnoteRef/>
      </w:r>
      <w:r>
        <w:t xml:space="preserve"> </w:t>
      </w:r>
      <w:r w:rsidRPr="000E2E4D">
        <w:t xml:space="preserve">Department for </w:t>
      </w:r>
      <w:r>
        <w:t>Work and Pensions</w:t>
      </w:r>
      <w:r w:rsidRPr="000E2E4D">
        <w:t xml:space="preserve"> (BEC0023)</w:t>
      </w:r>
    </w:p>
  </w:footnote>
  <w:footnote w:id="32">
    <w:p w14:paraId="4B540342" w14:textId="77777777" w:rsidR="00706E88" w:rsidRDefault="00706E88">
      <w:pPr>
        <w:pStyle w:val="FootnoteText"/>
      </w:pPr>
      <w:r>
        <w:rPr>
          <w:rStyle w:val="FootnoteReference"/>
        </w:rPr>
        <w:footnoteRef/>
      </w:r>
      <w:r>
        <w:t xml:space="preserve"> Child Poverty Action Group (BEC0022)</w:t>
      </w:r>
    </w:p>
  </w:footnote>
  <w:footnote w:id="33">
    <w:p w14:paraId="710DC993" w14:textId="77777777" w:rsidR="00706E88" w:rsidRDefault="00706E88">
      <w:pPr>
        <w:pStyle w:val="FootnoteText"/>
      </w:pPr>
      <w:r>
        <w:rPr>
          <w:rStyle w:val="FootnoteReference"/>
        </w:rPr>
        <w:footnoteRef/>
      </w:r>
      <w:r>
        <w:t xml:space="preserve"> </w:t>
      </w:r>
      <w:r>
        <w:rPr>
          <w:highlight w:val="yellow"/>
        </w:rPr>
        <w:t>Benefit cap; claimant videos</w:t>
      </w:r>
    </w:p>
  </w:footnote>
  <w:footnote w:id="34">
    <w:p w14:paraId="38FAFAFF" w14:textId="77777777" w:rsidR="00706E88" w:rsidRDefault="00706E88" w:rsidP="004B02F6">
      <w:pPr>
        <w:pStyle w:val="FootnoteText"/>
      </w:pPr>
      <w:r>
        <w:rPr>
          <w:rStyle w:val="FootnoteReference"/>
        </w:rPr>
        <w:footnoteRef/>
      </w:r>
      <w:r>
        <w:t xml:space="preserve"> Q151</w:t>
      </w:r>
    </w:p>
  </w:footnote>
  <w:footnote w:id="35">
    <w:p w14:paraId="0F7BE660" w14:textId="77777777" w:rsidR="00706E88" w:rsidRDefault="00706E88" w:rsidP="004B02F6">
      <w:pPr>
        <w:pStyle w:val="FootnoteText"/>
      </w:pPr>
      <w:r>
        <w:rPr>
          <w:rStyle w:val="FootnoteReference"/>
        </w:rPr>
        <w:footnoteRef/>
      </w:r>
      <w:r>
        <w:t xml:space="preserve"> Work and Pensions Committee, Twenty-Second Report of Session 2017-19, </w:t>
      </w:r>
      <w:hyperlink r:id="rId14" w:history="1">
        <w:r w:rsidRPr="00EC631F">
          <w:rPr>
            <w:rStyle w:val="HyperlinkEmphasis"/>
          </w:rPr>
          <w:t>Universal Credit: childcare</w:t>
        </w:r>
      </w:hyperlink>
      <w:r>
        <w:t>, HC 1771</w:t>
      </w:r>
    </w:p>
  </w:footnote>
  <w:footnote w:id="36">
    <w:p w14:paraId="1F41AD45" w14:textId="77777777" w:rsidR="00706E88" w:rsidRDefault="00706E88">
      <w:pPr>
        <w:pStyle w:val="FootnoteText"/>
      </w:pPr>
      <w:r>
        <w:rPr>
          <w:rStyle w:val="FootnoteReference"/>
        </w:rPr>
        <w:footnoteRef/>
      </w:r>
      <w:r>
        <w:t xml:space="preserve"> Zacchaeus 2000 Trust (BEC0027)</w:t>
      </w:r>
    </w:p>
  </w:footnote>
  <w:footnote w:id="37">
    <w:p w14:paraId="35A0F2FA" w14:textId="77777777" w:rsidR="00706E88" w:rsidRDefault="00706E88">
      <w:pPr>
        <w:pStyle w:val="FootnoteText"/>
      </w:pPr>
      <w:r>
        <w:rPr>
          <w:rStyle w:val="FootnoteReference"/>
        </w:rPr>
        <w:footnoteRef/>
      </w:r>
      <w:r>
        <w:t xml:space="preserve"> Q3</w:t>
      </w:r>
    </w:p>
  </w:footnote>
  <w:footnote w:id="38">
    <w:p w14:paraId="7A964286" w14:textId="77777777" w:rsidR="00706E88" w:rsidRDefault="00706E88">
      <w:pPr>
        <w:pStyle w:val="FootnoteText"/>
      </w:pPr>
      <w:r>
        <w:rPr>
          <w:rStyle w:val="FootnoteReference"/>
        </w:rPr>
        <w:footnoteRef/>
      </w:r>
      <w:r>
        <w:t xml:space="preserve"> Q13</w:t>
      </w:r>
    </w:p>
  </w:footnote>
  <w:footnote w:id="39">
    <w:p w14:paraId="7183097C" w14:textId="77777777" w:rsidR="005F261C" w:rsidRDefault="005F261C" w:rsidP="005F261C">
      <w:pPr>
        <w:pStyle w:val="FootnoteText"/>
      </w:pPr>
      <w:r>
        <w:rPr>
          <w:rStyle w:val="FootnoteReference"/>
        </w:rPr>
        <w:footnoteRef/>
      </w:r>
      <w:r>
        <w:t xml:space="preserve"> </w:t>
      </w:r>
      <w:r>
        <w:t xml:space="preserve">ShawTrust, </w:t>
      </w:r>
      <w:hyperlink r:id="rId15" w:history="1">
        <w:r w:rsidRPr="00EC631F">
          <w:rPr>
            <w:rStyle w:val="HyperlinkEmphasis"/>
          </w:rPr>
          <w:t>"Mental Health at Work: Still the Last Taboo"</w:t>
        </w:r>
      </w:hyperlink>
      <w:r>
        <w:t>, May 2018, p3</w:t>
      </w:r>
    </w:p>
  </w:footnote>
  <w:footnote w:id="40">
    <w:p w14:paraId="4B0FCF29" w14:textId="77777777" w:rsidR="00706E88" w:rsidRDefault="00706E88">
      <w:pPr>
        <w:pStyle w:val="FootnoteText"/>
      </w:pPr>
      <w:r>
        <w:rPr>
          <w:rStyle w:val="FootnoteReference"/>
        </w:rPr>
        <w:footnoteRef/>
      </w:r>
      <w:r>
        <w:t xml:space="preserve"> Scope, </w:t>
      </w:r>
      <w:hyperlink r:id="rId16" w:history="1">
        <w:r w:rsidRPr="00EC631F">
          <w:rPr>
            <w:rStyle w:val="Hyperlink"/>
          </w:rPr>
          <w:t>"Let's talk; improving conversations about disability at work"</w:t>
        </w:r>
      </w:hyperlink>
      <w:r>
        <w:t>, November 2017, p12</w:t>
      </w:r>
    </w:p>
  </w:footnote>
  <w:footnote w:id="41">
    <w:p w14:paraId="388B2E23" w14:textId="77777777" w:rsidR="00706E88" w:rsidRDefault="00706E88" w:rsidP="000104BF">
      <w:pPr>
        <w:pStyle w:val="FootnoteText"/>
      </w:pPr>
      <w:r>
        <w:rPr>
          <w:rStyle w:val="FootnoteReference"/>
        </w:rPr>
        <w:footnoteRef/>
      </w:r>
      <w:r>
        <w:t xml:space="preserve"> </w:t>
      </w:r>
      <w:r w:rsidRPr="00BE021E">
        <w:t>Department for Work and Pensions</w:t>
      </w:r>
      <w:r>
        <w:t>,</w:t>
      </w:r>
      <w:r w:rsidRPr="00BE021E">
        <w:t xml:space="preserve"> </w:t>
      </w:r>
      <w:r>
        <w:t>"</w:t>
      </w:r>
      <w:hyperlink r:id="rId17" w:history="1">
        <w:r w:rsidRPr="002658BA">
          <w:rPr>
            <w:rStyle w:val="Hyperlink"/>
          </w:rPr>
          <w:t>Benefit cap quarterly statistics:</w:t>
        </w:r>
        <w:r>
          <w:rPr>
            <w:rStyle w:val="Hyperlink"/>
          </w:rPr>
          <w:t xml:space="preserve"> </w:t>
        </w:r>
        <w:r w:rsidRPr="002658BA">
          <w:rPr>
            <w:rStyle w:val="Hyperlink"/>
          </w:rPr>
          <w:t xml:space="preserve">GB households capped to </w:t>
        </w:r>
        <w:r>
          <w:rPr>
            <w:rStyle w:val="Hyperlink"/>
          </w:rPr>
          <w:t>November</w:t>
        </w:r>
        <w:r w:rsidRPr="002658BA">
          <w:rPr>
            <w:rStyle w:val="Hyperlink"/>
          </w:rPr>
          <w:t xml:space="preserve"> 201</w:t>
        </w:r>
      </w:hyperlink>
      <w:r w:rsidRPr="002658BA">
        <w:rPr>
          <w:rStyle w:val="Hyperlink"/>
        </w:rPr>
        <w:t>8</w:t>
      </w:r>
      <w:r>
        <w:rPr>
          <w:rStyle w:val="Hyperlink"/>
        </w:rPr>
        <w:t>"</w:t>
      </w:r>
      <w:r w:rsidRPr="000104BF">
        <w:rPr>
          <w:rStyle w:val="Hyperlink"/>
          <w:color w:val="auto"/>
          <w:u w:val="none"/>
        </w:rPr>
        <w:t>, February 2019</w:t>
      </w:r>
    </w:p>
  </w:footnote>
  <w:footnote w:id="42">
    <w:p w14:paraId="4E75D12D" w14:textId="77777777" w:rsidR="00706E88" w:rsidRDefault="00706E88" w:rsidP="00211E08">
      <w:pPr>
        <w:pStyle w:val="FootnoteText"/>
      </w:pPr>
      <w:r>
        <w:rPr>
          <w:rStyle w:val="FootnoteReference"/>
        </w:rPr>
        <w:footnoteRef/>
      </w:r>
      <w:r>
        <w:t xml:space="preserve"> Zacchaeus 2000 Trust (BEC0027)</w:t>
      </w:r>
    </w:p>
  </w:footnote>
  <w:footnote w:id="43">
    <w:p w14:paraId="18E68ABC" w14:textId="77777777" w:rsidR="00706E88" w:rsidRDefault="00706E88">
      <w:pPr>
        <w:pStyle w:val="FootnoteText"/>
      </w:pPr>
      <w:r>
        <w:rPr>
          <w:rStyle w:val="FootnoteReference"/>
        </w:rPr>
        <w:footnoteRef/>
      </w:r>
      <w:r>
        <w:t xml:space="preserve"> Department for Work and Pensions (BEC0023)</w:t>
      </w:r>
    </w:p>
  </w:footnote>
  <w:footnote w:id="44">
    <w:p w14:paraId="5F650A8A" w14:textId="77777777" w:rsidR="00706E88" w:rsidRDefault="00706E88">
      <w:pPr>
        <w:pStyle w:val="FootnoteText"/>
      </w:pPr>
      <w:r>
        <w:rPr>
          <w:rStyle w:val="FootnoteReference"/>
        </w:rPr>
        <w:footnoteRef/>
      </w:r>
      <w:r>
        <w:t xml:space="preserve"> Ibid.</w:t>
      </w:r>
    </w:p>
  </w:footnote>
  <w:footnote w:id="45">
    <w:p w14:paraId="42522B78" w14:textId="77777777" w:rsidR="00706E88" w:rsidRDefault="00706E88" w:rsidP="008154F5">
      <w:pPr>
        <w:pStyle w:val="FootnoteText"/>
      </w:pPr>
      <w:r>
        <w:rPr>
          <w:rStyle w:val="FootnoteReference"/>
        </w:rPr>
        <w:footnoteRef/>
      </w:r>
      <w:r>
        <w:t xml:space="preserve"> Department for Work and Pensions (BEC0023)</w:t>
      </w:r>
    </w:p>
  </w:footnote>
  <w:footnote w:id="46">
    <w:p w14:paraId="655A848A" w14:textId="77777777" w:rsidR="00706E88" w:rsidRDefault="00706E88" w:rsidP="008154F5">
      <w:pPr>
        <w:pStyle w:val="FootnoteText"/>
      </w:pPr>
      <w:r>
        <w:rPr>
          <w:rStyle w:val="FootnoteReference"/>
        </w:rPr>
        <w:footnoteRef/>
      </w:r>
      <w:r>
        <w:t xml:space="preserve"> Q167</w:t>
      </w:r>
    </w:p>
  </w:footnote>
  <w:footnote w:id="47">
    <w:p w14:paraId="5C9B9C31" w14:textId="77777777" w:rsidR="00706E88" w:rsidRDefault="00706E88">
      <w:pPr>
        <w:pStyle w:val="FootnoteText"/>
      </w:pPr>
      <w:r>
        <w:rPr>
          <w:rStyle w:val="FootnoteReference"/>
        </w:rPr>
        <w:footnoteRef/>
      </w:r>
      <w:r>
        <w:t xml:space="preserve"> Q153</w:t>
      </w:r>
    </w:p>
  </w:footnote>
  <w:footnote w:id="48">
    <w:p w14:paraId="58C3D984" w14:textId="77777777" w:rsidR="00706E88" w:rsidRDefault="00706E88">
      <w:pPr>
        <w:pStyle w:val="FootnoteText"/>
      </w:pPr>
      <w:r>
        <w:rPr>
          <w:rStyle w:val="FootnoteReference"/>
        </w:rPr>
        <w:footnoteRef/>
      </w:r>
      <w:r>
        <w:t xml:space="preserve"> Q161</w:t>
      </w:r>
    </w:p>
  </w:footnote>
  <w:footnote w:id="49">
    <w:p w14:paraId="6C7C955C" w14:textId="77777777" w:rsidR="00706E88" w:rsidRDefault="00706E88">
      <w:pPr>
        <w:pStyle w:val="FootnoteText"/>
      </w:pPr>
      <w:r>
        <w:rPr>
          <w:rStyle w:val="FootnoteReference"/>
        </w:rPr>
        <w:footnoteRef/>
      </w:r>
      <w:r>
        <w:t xml:space="preserve"> See for example Shelter (BEC0024), Chartered Institute of Housing (BEC0025), Plymouth Community Homes (BNC0046)</w:t>
      </w:r>
    </w:p>
  </w:footnote>
  <w:footnote w:id="50">
    <w:p w14:paraId="027AE6A8" w14:textId="77777777" w:rsidR="00706E88" w:rsidRDefault="00706E88" w:rsidP="00E2104D">
      <w:pPr>
        <w:pStyle w:val="FootnoteText"/>
      </w:pPr>
      <w:r>
        <w:rPr>
          <w:rStyle w:val="FootnoteReference"/>
        </w:rPr>
        <w:footnoteRef/>
      </w:r>
      <w:r>
        <w:t xml:space="preserve"> Plymouth Community Homes (BNC0046)</w:t>
      </w:r>
    </w:p>
  </w:footnote>
  <w:footnote w:id="51">
    <w:p w14:paraId="3FEF74CD" w14:textId="77777777" w:rsidR="00B9166C" w:rsidRDefault="00B9166C">
      <w:pPr>
        <w:pStyle w:val="FootnoteText"/>
      </w:pPr>
      <w:r>
        <w:rPr>
          <w:rStyle w:val="FootnoteReference"/>
        </w:rPr>
        <w:footnoteRef/>
      </w:r>
      <w:r>
        <w:t xml:space="preserve"> Shelter (BEC0024)</w:t>
      </w:r>
    </w:p>
  </w:footnote>
  <w:footnote w:id="52">
    <w:p w14:paraId="6060B809" w14:textId="77777777" w:rsidR="00706E88" w:rsidRDefault="00706E88">
      <w:pPr>
        <w:pStyle w:val="FootnoteText"/>
      </w:pPr>
      <w:r>
        <w:rPr>
          <w:rStyle w:val="FootnoteReference"/>
        </w:rPr>
        <w:footnoteRef/>
      </w:r>
      <w:r>
        <w:t xml:space="preserve"> As of November 2018, </w:t>
      </w:r>
      <w:r w:rsidR="00304408">
        <w:t xml:space="preserve">DWP, </w:t>
      </w:r>
      <w:hyperlink r:id="rId18" w:history="1">
        <w:r w:rsidRPr="00003E87">
          <w:rPr>
            <w:rStyle w:val="Hyperlink"/>
          </w:rPr>
          <w:t>Stat-Xplore</w:t>
        </w:r>
      </w:hyperlink>
      <w:r w:rsidR="00156E94">
        <w:t>, accessed February 2019</w:t>
      </w:r>
    </w:p>
  </w:footnote>
  <w:footnote w:id="53">
    <w:p w14:paraId="798120C2" w14:textId="77777777" w:rsidR="00706E88" w:rsidRDefault="00706E88" w:rsidP="00645923">
      <w:pPr>
        <w:pStyle w:val="FootnoteText"/>
      </w:pPr>
      <w:r>
        <w:rPr>
          <w:rStyle w:val="FootnoteReference"/>
        </w:rPr>
        <w:footnoteRef/>
      </w:r>
      <w:r>
        <w:t xml:space="preserve"> Shelter (BEC0024): Shelter considered where in England’s 152 Broad Rental Market Areas (geographical divisions used to determine the amount of Local Housing Allowance a household should receive for housing benefit purposes) rent would be low enough to avoid the cap for families of different sizes. It assumed households would look to rent at a level permitted by the Local Housing Allowance in a home that would have the minimum number of bedrooms needed not to be overcrowded. It assumed that any children are able to share rooms.</w:t>
      </w:r>
    </w:p>
  </w:footnote>
  <w:footnote w:id="54">
    <w:p w14:paraId="69D2BD77" w14:textId="77777777" w:rsidR="00706E88" w:rsidRDefault="00706E88">
      <w:pPr>
        <w:pStyle w:val="FootnoteText"/>
      </w:pPr>
      <w:r>
        <w:rPr>
          <w:rStyle w:val="FootnoteReference"/>
        </w:rPr>
        <w:footnoteRef/>
      </w:r>
      <w:r>
        <w:t xml:space="preserve"> Department for work and Pensions(BEC0023)</w:t>
      </w:r>
    </w:p>
  </w:footnote>
  <w:footnote w:id="55">
    <w:p w14:paraId="54BB7C55" w14:textId="77777777" w:rsidR="00706E88" w:rsidRDefault="00706E88">
      <w:pPr>
        <w:pStyle w:val="FootnoteText"/>
      </w:pPr>
      <w:r>
        <w:rPr>
          <w:rStyle w:val="FootnoteReference"/>
        </w:rPr>
        <w:footnoteRef/>
      </w:r>
      <w:r>
        <w:t xml:space="preserve"> </w:t>
      </w:r>
      <w:r w:rsidRPr="00246A05">
        <w:t>Department for Work and Pensions</w:t>
      </w:r>
      <w:r>
        <w:t>,</w:t>
      </w:r>
      <w:r w:rsidRPr="00246A05">
        <w:t xml:space="preserve"> </w:t>
      </w:r>
      <w:hyperlink r:id="rId19" w:history="1">
        <w:r w:rsidRPr="000D71CA">
          <w:rPr>
            <w:rStyle w:val="Hyperlink"/>
          </w:rPr>
          <w:t>"Post implementation effects of the benefit cap  (wave 2 survey)"</w:t>
        </w:r>
      </w:hyperlink>
      <w:r w:rsidRPr="00246A05">
        <w:t>, December 2014</w:t>
      </w:r>
    </w:p>
  </w:footnote>
  <w:footnote w:id="56">
    <w:p w14:paraId="379DBD9E" w14:textId="77777777" w:rsidR="00706E88" w:rsidRDefault="00706E88">
      <w:pPr>
        <w:pStyle w:val="FootnoteText"/>
      </w:pPr>
      <w:r>
        <w:rPr>
          <w:rStyle w:val="FootnoteReference"/>
        </w:rPr>
        <w:footnoteRef/>
      </w:r>
      <w:r>
        <w:t xml:space="preserve"> Q50</w:t>
      </w:r>
    </w:p>
  </w:footnote>
  <w:footnote w:id="57">
    <w:p w14:paraId="39803017" w14:textId="77777777" w:rsidR="00706E88" w:rsidRDefault="00706E88">
      <w:pPr>
        <w:pStyle w:val="FootnoteText"/>
      </w:pPr>
      <w:r>
        <w:rPr>
          <w:rStyle w:val="FootnoteReference"/>
        </w:rPr>
        <w:footnoteRef/>
      </w:r>
      <w:r>
        <w:t xml:space="preserve"> Shelter, </w:t>
      </w:r>
      <w:hyperlink r:id="rId20" w:history="1">
        <w:r w:rsidRPr="00DC1251">
          <w:rPr>
            <w:rStyle w:val="Hyperlink"/>
          </w:rPr>
          <w:t>"The benefit cap is harming struggling families"</w:t>
        </w:r>
      </w:hyperlink>
      <w:r>
        <w:t>, accessed on 6 March 2019</w:t>
      </w:r>
    </w:p>
  </w:footnote>
  <w:footnote w:id="58">
    <w:p w14:paraId="05C1A618" w14:textId="77777777" w:rsidR="00706E88" w:rsidRDefault="00706E88" w:rsidP="00E760A4">
      <w:pPr>
        <w:pStyle w:val="FootnoteText"/>
      </w:pPr>
      <w:r>
        <w:rPr>
          <w:rStyle w:val="FootnoteReference"/>
        </w:rPr>
        <w:footnoteRef/>
      </w:r>
      <w:r>
        <w:t xml:space="preserve"> </w:t>
      </w:r>
      <w:r w:rsidRPr="00BE021E">
        <w:t>Department for Work and Pensions</w:t>
      </w:r>
      <w:r>
        <w:t>,</w:t>
      </w:r>
      <w:r w:rsidRPr="00BE021E">
        <w:t xml:space="preserve"> </w:t>
      </w:r>
      <w:r>
        <w:t>"</w:t>
      </w:r>
      <w:hyperlink r:id="rId21" w:history="1">
        <w:r w:rsidRPr="002658BA">
          <w:rPr>
            <w:rStyle w:val="Hyperlink"/>
          </w:rPr>
          <w:t xml:space="preserve">Benefit cap quarterly statistics: GB households capped to </w:t>
        </w:r>
        <w:r>
          <w:rPr>
            <w:rStyle w:val="Hyperlink"/>
          </w:rPr>
          <w:t>November</w:t>
        </w:r>
        <w:r w:rsidRPr="002658BA">
          <w:rPr>
            <w:rStyle w:val="Hyperlink"/>
          </w:rPr>
          <w:t xml:space="preserve"> 201</w:t>
        </w:r>
      </w:hyperlink>
      <w:r w:rsidRPr="002658BA">
        <w:rPr>
          <w:rStyle w:val="Hyperlink"/>
        </w:rPr>
        <w:t>8</w:t>
      </w:r>
      <w:r>
        <w:rPr>
          <w:rStyle w:val="Hyperlink"/>
        </w:rPr>
        <w:t>"</w:t>
      </w:r>
      <w:r w:rsidRPr="00E760A4">
        <w:rPr>
          <w:rStyle w:val="FootnoteReference"/>
          <w:vertAlign w:val="baseline"/>
        </w:rPr>
        <w:t>, February 2019</w:t>
      </w:r>
    </w:p>
  </w:footnote>
  <w:footnote w:id="59">
    <w:p w14:paraId="710DA1FC" w14:textId="77777777" w:rsidR="00706E88" w:rsidRDefault="00706E88" w:rsidP="004D6CDE">
      <w:pPr>
        <w:pStyle w:val="FootnoteText"/>
      </w:pPr>
      <w:r>
        <w:rPr>
          <w:rStyle w:val="FootnoteReference"/>
        </w:rPr>
        <w:footnoteRef/>
      </w:r>
      <w:r>
        <w:t xml:space="preserve"> </w:t>
      </w:r>
      <w:r w:rsidRPr="00583F46">
        <w:t xml:space="preserve">Department for </w:t>
      </w:r>
      <w:r>
        <w:t>Work and Pensions</w:t>
      </w:r>
      <w:r w:rsidRPr="00583F46">
        <w:t xml:space="preserve"> (BEC0023)</w:t>
      </w:r>
    </w:p>
  </w:footnote>
  <w:footnote w:id="60">
    <w:p w14:paraId="330C3463" w14:textId="77777777" w:rsidR="00706E88" w:rsidRDefault="00706E88" w:rsidP="004D6CDE">
      <w:pPr>
        <w:pStyle w:val="FootnoteText"/>
      </w:pPr>
      <w:r>
        <w:rPr>
          <w:rStyle w:val="FootnoteReference"/>
        </w:rPr>
        <w:footnoteRef/>
      </w:r>
      <w:r>
        <w:t xml:space="preserve"> Q2</w:t>
      </w:r>
    </w:p>
  </w:footnote>
  <w:footnote w:id="61">
    <w:p w14:paraId="76428CE8" w14:textId="77777777" w:rsidR="00706E88" w:rsidRDefault="00706E88" w:rsidP="004D6CDE">
      <w:pPr>
        <w:pStyle w:val="FootnoteText"/>
      </w:pPr>
      <w:r>
        <w:rPr>
          <w:rStyle w:val="FootnoteReference"/>
        </w:rPr>
        <w:footnoteRef/>
      </w:r>
      <w:r>
        <w:t xml:space="preserve"> </w:t>
      </w:r>
      <w:r w:rsidRPr="00343761">
        <w:t xml:space="preserve">Department for </w:t>
      </w:r>
      <w:r>
        <w:t>Work and Pensions</w:t>
      </w:r>
      <w:r w:rsidRPr="00343761">
        <w:t xml:space="preserve"> (BEC0023)</w:t>
      </w:r>
    </w:p>
  </w:footnote>
  <w:footnote w:id="62">
    <w:p w14:paraId="7224A367" w14:textId="77777777" w:rsidR="00706E88" w:rsidRDefault="00706E88" w:rsidP="004D6CDE">
      <w:pPr>
        <w:pStyle w:val="FootnoteText"/>
      </w:pPr>
      <w:r>
        <w:rPr>
          <w:rStyle w:val="FootnoteReference"/>
        </w:rPr>
        <w:footnoteRef/>
      </w:r>
      <w:r>
        <w:t xml:space="preserve"> Q2</w:t>
      </w:r>
    </w:p>
  </w:footnote>
  <w:footnote w:id="63">
    <w:p w14:paraId="029DA1D4" w14:textId="77777777" w:rsidR="00706E88" w:rsidRDefault="00706E88" w:rsidP="004D6CDE">
      <w:pPr>
        <w:pStyle w:val="FootnoteText"/>
      </w:pPr>
      <w:r>
        <w:rPr>
          <w:rStyle w:val="FootnoteReference"/>
        </w:rPr>
        <w:footnoteRef/>
      </w:r>
      <w:r>
        <w:t xml:space="preserve"> Ibid.</w:t>
      </w:r>
    </w:p>
  </w:footnote>
  <w:footnote w:id="64">
    <w:p w14:paraId="7455FBC8" w14:textId="77777777" w:rsidR="00706E88" w:rsidRDefault="00706E88" w:rsidP="004D6CDE">
      <w:pPr>
        <w:pStyle w:val="FootnoteText"/>
      </w:pPr>
      <w:r>
        <w:rPr>
          <w:rStyle w:val="FootnoteReference"/>
        </w:rPr>
        <w:footnoteRef/>
      </w:r>
      <w:r>
        <w:t xml:space="preserve"> </w:t>
      </w:r>
      <w:r w:rsidRPr="00343761">
        <w:t xml:space="preserve">Department for </w:t>
      </w:r>
      <w:r>
        <w:t>Work and Pensions (BEC0023)</w:t>
      </w:r>
    </w:p>
  </w:footnote>
  <w:footnote w:id="65">
    <w:p w14:paraId="21A92996" w14:textId="77777777" w:rsidR="00706E88" w:rsidRDefault="00706E88" w:rsidP="004D6CDE">
      <w:pPr>
        <w:pStyle w:val="FootnoteText"/>
      </w:pPr>
      <w:r>
        <w:rPr>
          <w:rStyle w:val="FootnoteReference"/>
        </w:rPr>
        <w:footnoteRef/>
      </w:r>
      <w:r>
        <w:t xml:space="preserve"> Zacchaeus 2000 Trust (BEC0027), Q2</w:t>
      </w:r>
    </w:p>
  </w:footnote>
  <w:footnote w:id="66">
    <w:p w14:paraId="71AD28B2" w14:textId="77777777" w:rsidR="00706E88" w:rsidRDefault="00706E88" w:rsidP="004D6CDE">
      <w:pPr>
        <w:pStyle w:val="FootnoteText"/>
      </w:pPr>
      <w:r>
        <w:rPr>
          <w:rStyle w:val="FootnoteReference"/>
        </w:rPr>
        <w:footnoteRef/>
      </w:r>
      <w:r>
        <w:t xml:space="preserve"> </w:t>
      </w:r>
      <w:r w:rsidRPr="00343761">
        <w:t xml:space="preserve">Department for </w:t>
      </w:r>
      <w:r>
        <w:t>Work and Pensions</w:t>
      </w:r>
      <w:r w:rsidRPr="00343761">
        <w:t>(BEC0023)</w:t>
      </w:r>
    </w:p>
  </w:footnote>
  <w:footnote w:id="67">
    <w:p w14:paraId="1AFF2044" w14:textId="77777777" w:rsidR="00706E88" w:rsidRDefault="00706E88" w:rsidP="004D6CDE">
      <w:pPr>
        <w:pStyle w:val="FootnoteText"/>
      </w:pPr>
      <w:r>
        <w:rPr>
          <w:rStyle w:val="FootnoteReference"/>
        </w:rPr>
        <w:footnoteRef/>
      </w:r>
      <w:r>
        <w:t xml:space="preserve"> Ibid.</w:t>
      </w:r>
    </w:p>
  </w:footnote>
  <w:footnote w:id="68">
    <w:p w14:paraId="48857DE2" w14:textId="77777777" w:rsidR="00706E88" w:rsidRDefault="00706E88" w:rsidP="004D6CDE">
      <w:pPr>
        <w:pStyle w:val="FootnoteText"/>
      </w:pPr>
      <w:r w:rsidRPr="004F7E77">
        <w:rPr>
          <w:vertAlign w:val="superscript"/>
        </w:rPr>
        <w:footnoteRef/>
      </w:r>
      <w:r w:rsidRPr="004F7E77">
        <w:t xml:space="preserve"> </w:t>
      </w:r>
      <w:hyperlink r:id="rId22" w:history="1">
        <w:r w:rsidRPr="002D796F">
          <w:rPr>
            <w:rStyle w:val="Hyperlink"/>
          </w:rPr>
          <w:t>"1 in 4 facing a cut to their benefits has found work"</w:t>
        </w:r>
      </w:hyperlink>
      <w:r>
        <w:t xml:space="preserve">, Mail Online, 13 April 2013 </w:t>
      </w:r>
    </w:p>
  </w:footnote>
  <w:footnote w:id="69">
    <w:p w14:paraId="443B353F" w14:textId="77777777" w:rsidR="00706E88" w:rsidRDefault="00706E88" w:rsidP="004D6CDE">
      <w:pPr>
        <w:pStyle w:val="FootnoteText"/>
      </w:pPr>
      <w:r>
        <w:rPr>
          <w:rStyle w:val="FootnoteReference"/>
        </w:rPr>
        <w:footnoteRef/>
      </w:r>
      <w:r>
        <w:t xml:space="preserve"> </w:t>
      </w:r>
      <w:hyperlink r:id="rId23" w:history="1">
        <w:r w:rsidRPr="00FE0292">
          <w:rPr>
            <w:rStyle w:val="Hyperlink"/>
          </w:rPr>
          <w:t>Letter from Chair of the UK Statistics Authority to Rt. Hon. Iain Duncan Smith MP</w:t>
        </w:r>
      </w:hyperlink>
      <w:r>
        <w:t xml:space="preserve">, 9 May 2013 </w:t>
      </w:r>
    </w:p>
  </w:footnote>
  <w:footnote w:id="70">
    <w:p w14:paraId="2E768C2D" w14:textId="77777777" w:rsidR="00706E88" w:rsidRDefault="00706E88" w:rsidP="004D6CDE">
      <w:pPr>
        <w:pStyle w:val="FootnoteText"/>
      </w:pPr>
      <w:r>
        <w:rPr>
          <w:rStyle w:val="FootnoteReference"/>
        </w:rPr>
        <w:footnoteRef/>
      </w:r>
      <w:r>
        <w:t xml:space="preserve"> </w:t>
      </w:r>
      <w:hyperlink r:id="rId24" w:history="1">
        <w:r w:rsidRPr="00E62500">
          <w:rPr>
            <w:rStyle w:val="Hyperlink"/>
          </w:rPr>
          <w:t xml:space="preserve">Letter from Chair of the UK Statistics Authority to Jonathan </w:t>
        </w:r>
        <w:r w:rsidRPr="00E62500">
          <w:rPr>
            <w:rStyle w:val="Hyperlink"/>
          </w:rPr>
          <w:t>Portes at the National Institute of Economic and Social Research</w:t>
        </w:r>
      </w:hyperlink>
      <w:r>
        <w:t>, 17 December 2014</w:t>
      </w:r>
    </w:p>
  </w:footnote>
  <w:footnote w:id="71">
    <w:p w14:paraId="14EC6F78" w14:textId="77777777" w:rsidR="00706E88" w:rsidRDefault="00706E88" w:rsidP="004D6CDE">
      <w:pPr>
        <w:pStyle w:val="FootnoteText"/>
      </w:pPr>
      <w:r>
        <w:rPr>
          <w:rStyle w:val="FootnoteReference"/>
        </w:rPr>
        <w:footnoteRef/>
      </w:r>
      <w:r>
        <w:t xml:space="preserve"> </w:t>
      </w:r>
      <w:r w:rsidRPr="000E2E4D">
        <w:t xml:space="preserve">Department for </w:t>
      </w:r>
      <w:r>
        <w:t>Work and Pensions</w:t>
      </w:r>
      <w:r w:rsidRPr="000E2E4D">
        <w:t xml:space="preserve"> (BEC0023)</w:t>
      </w:r>
      <w:r>
        <w:t>, Q142, Q148</w:t>
      </w:r>
    </w:p>
  </w:footnote>
  <w:footnote w:id="72">
    <w:p w14:paraId="4D7D0F42" w14:textId="77777777" w:rsidR="00706E88" w:rsidRDefault="00706E88" w:rsidP="004D6CDE">
      <w:pPr>
        <w:pStyle w:val="FootnoteText"/>
      </w:pPr>
      <w:r>
        <w:rPr>
          <w:rStyle w:val="FootnoteReference"/>
        </w:rPr>
        <w:footnoteRef/>
      </w:r>
      <w:r>
        <w:t xml:space="preserve"> Q2</w:t>
      </w:r>
    </w:p>
  </w:footnote>
  <w:footnote w:id="73">
    <w:p w14:paraId="51BF2773" w14:textId="77777777" w:rsidR="00706E88" w:rsidRDefault="00706E88" w:rsidP="004D6CDE">
      <w:pPr>
        <w:pStyle w:val="FootnoteText"/>
      </w:pPr>
      <w:r>
        <w:rPr>
          <w:rStyle w:val="FootnoteReference"/>
        </w:rPr>
        <w:footnoteRef/>
      </w:r>
      <w:r>
        <w:t xml:space="preserve"> Q142: The Minister said 59% in oral evidence. He corrected this to 39% in correspondence following the session.</w:t>
      </w:r>
    </w:p>
  </w:footnote>
  <w:footnote w:id="74">
    <w:p w14:paraId="2D5943C4" w14:textId="77777777" w:rsidR="00706E88" w:rsidRDefault="00706E88" w:rsidP="004D6CDE">
      <w:pPr>
        <w:pStyle w:val="FootnoteText"/>
      </w:pPr>
      <w:r>
        <w:rPr>
          <w:rStyle w:val="FootnoteReference"/>
        </w:rPr>
        <w:footnoteRef/>
      </w:r>
      <w:r>
        <w:t xml:space="preserve"> Q142</w:t>
      </w:r>
    </w:p>
  </w:footnote>
  <w:footnote w:id="75">
    <w:p w14:paraId="548979A3" w14:textId="77777777" w:rsidR="00706E88" w:rsidRDefault="00706E88">
      <w:pPr>
        <w:pStyle w:val="FootnoteText"/>
      </w:pPr>
      <w:r>
        <w:rPr>
          <w:rStyle w:val="FootnoteReference"/>
        </w:rPr>
        <w:footnoteRef/>
      </w:r>
      <w:r>
        <w:t xml:space="preserve"> Department for Work and Pensions (BEC0023)</w:t>
      </w:r>
    </w:p>
  </w:footnote>
  <w:footnote w:id="76">
    <w:p w14:paraId="390C4E56" w14:textId="77777777" w:rsidR="00706E88" w:rsidRDefault="00706E88">
      <w:pPr>
        <w:pStyle w:val="FootnoteText"/>
      </w:pPr>
      <w:r>
        <w:rPr>
          <w:rStyle w:val="FootnoteReference"/>
        </w:rPr>
        <w:footnoteRef/>
      </w:r>
      <w:r>
        <w:t xml:space="preserve"> Q142</w:t>
      </w:r>
    </w:p>
  </w:footnote>
  <w:footnote w:id="77">
    <w:p w14:paraId="28261734" w14:textId="77777777" w:rsidR="00706E88" w:rsidRDefault="00706E88" w:rsidP="000570FF">
      <w:pPr>
        <w:pStyle w:val="FootnoteText"/>
      </w:pPr>
      <w:r>
        <w:rPr>
          <w:rStyle w:val="FootnoteReference"/>
        </w:rPr>
        <w:footnoteRef/>
      </w:r>
      <w:r>
        <w:t xml:space="preserve"> </w:t>
      </w:r>
      <w:r w:rsidRPr="00CB36C5">
        <w:t>Child Poverty Action Group (BEC0022)</w:t>
      </w:r>
    </w:p>
  </w:footnote>
  <w:footnote w:id="78">
    <w:p w14:paraId="5854F730" w14:textId="77777777" w:rsidR="00706E88" w:rsidRDefault="00706E88">
      <w:pPr>
        <w:pStyle w:val="FootnoteText"/>
      </w:pPr>
      <w:r>
        <w:rPr>
          <w:rStyle w:val="FootnoteReference"/>
        </w:rPr>
        <w:footnoteRef/>
      </w:r>
      <w:r>
        <w:t xml:space="preserve"> </w:t>
      </w:r>
      <w:r w:rsidRPr="00CB36C5">
        <w:t>Child Poverty Action Group (BEC0022)</w:t>
      </w:r>
      <w:r>
        <w:t>, Chartered Institute for Housing (BEC0025)</w:t>
      </w:r>
    </w:p>
  </w:footnote>
  <w:footnote w:id="79">
    <w:p w14:paraId="4E9BC959" w14:textId="77777777" w:rsidR="00706E88" w:rsidRPr="003A5457" w:rsidRDefault="00706E88">
      <w:pPr>
        <w:pStyle w:val="FootnoteText"/>
      </w:pPr>
      <w:r>
        <w:rPr>
          <w:rStyle w:val="FootnoteReference"/>
        </w:rPr>
        <w:footnoteRef/>
      </w:r>
      <w:r>
        <w:t xml:space="preserve"> </w:t>
      </w:r>
      <w:r w:rsidRPr="003A5457">
        <w:t>House of Commons Library analysis</w:t>
      </w:r>
    </w:p>
  </w:footnote>
  <w:footnote w:id="80">
    <w:p w14:paraId="49883E2A" w14:textId="77777777" w:rsidR="00706E88" w:rsidRDefault="00706E88" w:rsidP="008E09DB">
      <w:pPr>
        <w:pStyle w:val="FootnoteText"/>
      </w:pPr>
      <w:r>
        <w:rPr>
          <w:rStyle w:val="FootnoteReference"/>
        </w:rPr>
        <w:footnoteRef/>
      </w:r>
      <w:r>
        <w:t xml:space="preserve"> </w:t>
      </w:r>
      <w:r w:rsidRPr="008E09DB">
        <w:rPr>
          <w:rStyle w:val="Hyperlink"/>
          <w:color w:val="auto"/>
          <w:u w:val="none"/>
        </w:rPr>
        <w:t xml:space="preserve">Oral evidence taken on 12 December 2018, </w:t>
      </w:r>
      <w:hyperlink r:id="rId25" w:history="1">
        <w:r w:rsidRPr="008E09DB">
          <w:rPr>
            <w:rStyle w:val="HyperlinkEmphasis"/>
          </w:rPr>
          <w:t>HC 1540</w:t>
        </w:r>
      </w:hyperlink>
      <w:r w:rsidRPr="008E09DB">
        <w:rPr>
          <w:rStyle w:val="Hyperlink"/>
          <w:color w:val="auto"/>
          <w:u w:val="none"/>
        </w:rPr>
        <w:t>, Q 28</w:t>
      </w:r>
    </w:p>
  </w:footnote>
  <w:footnote w:id="81">
    <w:p w14:paraId="0AC59B24" w14:textId="77777777" w:rsidR="00706E88" w:rsidRDefault="00706E88">
      <w:pPr>
        <w:pStyle w:val="FootnoteText"/>
      </w:pPr>
      <w:r>
        <w:rPr>
          <w:rStyle w:val="FootnoteReference"/>
        </w:rPr>
        <w:footnoteRef/>
      </w:r>
      <w:r>
        <w:t xml:space="preserve"> Work and Pensions Committee,</w:t>
      </w:r>
      <w:r w:rsidRPr="00AA3E13">
        <w:t xml:space="preserve"> </w:t>
      </w:r>
      <w:r>
        <w:t xml:space="preserve">Twenty-Third Report of Session 2017-19, </w:t>
      </w:r>
      <w:hyperlink r:id="rId26" w:history="1">
        <w:r w:rsidRPr="00AA3E13">
          <w:rPr>
            <w:rStyle w:val="HyperlinkEmphasis"/>
          </w:rPr>
          <w:t>Two-child limit</w:t>
        </w:r>
      </w:hyperlink>
      <w:r>
        <w:t>,  HC</w:t>
      </w:r>
      <w:r w:rsidR="00AF3429">
        <w:t xml:space="preserve"> </w:t>
      </w:r>
      <w:r>
        <w:t>1540</w:t>
      </w:r>
    </w:p>
  </w:footnote>
  <w:footnote w:id="82">
    <w:p w14:paraId="59DD6B4D" w14:textId="77777777" w:rsidR="00706E88" w:rsidRDefault="00706E88">
      <w:pPr>
        <w:pStyle w:val="FootnoteText"/>
      </w:pPr>
      <w:r>
        <w:rPr>
          <w:rStyle w:val="FootnoteReference"/>
        </w:rPr>
        <w:footnoteRef/>
      </w:r>
      <w:r>
        <w:t xml:space="preserve"> Child Poverty Action Group (BEC0022)</w:t>
      </w:r>
    </w:p>
  </w:footnote>
  <w:footnote w:id="83">
    <w:p w14:paraId="1E6A3DCB" w14:textId="77777777" w:rsidR="00706E88" w:rsidRDefault="00706E88" w:rsidP="00A37A24">
      <w:pPr>
        <w:pStyle w:val="FootnoteText"/>
      </w:pPr>
      <w:r>
        <w:rPr>
          <w:rStyle w:val="FootnoteReference"/>
        </w:rPr>
        <w:footnoteRef/>
      </w:r>
      <w:r>
        <w:t xml:space="preserve"> Child Poverty Action Group (BEC0039)</w:t>
      </w:r>
    </w:p>
  </w:footnote>
  <w:footnote w:id="84">
    <w:p w14:paraId="6CD15FE6" w14:textId="77777777" w:rsidR="00706E88" w:rsidRDefault="00706E88">
      <w:pPr>
        <w:pStyle w:val="FootnoteText"/>
      </w:pPr>
      <w:r>
        <w:rPr>
          <w:rStyle w:val="FootnoteReference"/>
        </w:rPr>
        <w:footnoteRef/>
      </w:r>
      <w:r>
        <w:t>See for example Child Poverty Action Group (BEC0022), Zacchaeus 2000 Trust (BEC0027)</w:t>
      </w:r>
    </w:p>
  </w:footnote>
  <w:footnote w:id="85">
    <w:p w14:paraId="3758DB83" w14:textId="77777777" w:rsidR="00706E88" w:rsidRDefault="00706E88">
      <w:pPr>
        <w:pStyle w:val="FootnoteText"/>
      </w:pPr>
      <w:r>
        <w:rPr>
          <w:rStyle w:val="FootnoteReference"/>
        </w:rPr>
        <w:footnoteRef/>
      </w:r>
      <w:r>
        <w:t xml:space="preserve"> </w:t>
      </w:r>
      <w:r w:rsidRPr="00BE021E">
        <w:t>Department for Work and Pensions</w:t>
      </w:r>
      <w:r>
        <w:t>,</w:t>
      </w:r>
      <w:r w:rsidRPr="00BE021E">
        <w:t xml:space="preserve"> </w:t>
      </w:r>
      <w:r>
        <w:t>"</w:t>
      </w:r>
      <w:hyperlink r:id="rId27" w:history="1">
        <w:r w:rsidRPr="002658BA">
          <w:rPr>
            <w:rStyle w:val="Hyperlink"/>
          </w:rPr>
          <w:t xml:space="preserve">Benefit cap quarterly statistics: GB households capped to </w:t>
        </w:r>
        <w:r>
          <w:rPr>
            <w:rStyle w:val="Hyperlink"/>
          </w:rPr>
          <w:t>November</w:t>
        </w:r>
        <w:r w:rsidRPr="002658BA">
          <w:rPr>
            <w:rStyle w:val="Hyperlink"/>
          </w:rPr>
          <w:t xml:space="preserve"> 201</w:t>
        </w:r>
      </w:hyperlink>
      <w:r w:rsidRPr="002658BA">
        <w:rPr>
          <w:rStyle w:val="Hyperlink"/>
        </w:rPr>
        <w:t>8</w:t>
      </w:r>
      <w:r>
        <w:rPr>
          <w:rStyle w:val="Hyperlink"/>
        </w:rPr>
        <w:t>"</w:t>
      </w:r>
      <w:r w:rsidRPr="00E83207">
        <w:rPr>
          <w:rStyle w:val="Hyperlink"/>
        </w:rPr>
        <w:t>, February 2019</w:t>
      </w:r>
    </w:p>
  </w:footnote>
  <w:footnote w:id="86">
    <w:p w14:paraId="66EA0C3A" w14:textId="77777777" w:rsidR="00706E88" w:rsidRDefault="00706E88">
      <w:pPr>
        <w:pStyle w:val="FootnoteText"/>
      </w:pPr>
      <w:r>
        <w:rPr>
          <w:rStyle w:val="FootnoteReference"/>
        </w:rPr>
        <w:footnoteRef/>
      </w:r>
      <w:r>
        <w:t xml:space="preserve"> See for example Child Poverty Action Group (BEC0022), Shelter (BEC0024), Policy in Practice (BEC0029)</w:t>
      </w:r>
    </w:p>
  </w:footnote>
  <w:footnote w:id="87">
    <w:p w14:paraId="3BE3EC88" w14:textId="77777777" w:rsidR="00706E88" w:rsidRDefault="00706E88">
      <w:pPr>
        <w:pStyle w:val="FootnoteText"/>
      </w:pPr>
      <w:r>
        <w:rPr>
          <w:rStyle w:val="FootnoteReference"/>
        </w:rPr>
        <w:footnoteRef/>
      </w:r>
      <w:r>
        <w:t xml:space="preserve"> </w:t>
      </w:r>
      <w:r w:rsidRPr="00D91ECF">
        <w:t>Shelter (BEC0024)</w:t>
      </w:r>
    </w:p>
  </w:footnote>
  <w:footnote w:id="88">
    <w:p w14:paraId="31F5E09E" w14:textId="77777777" w:rsidR="00706E88" w:rsidRDefault="00706E88">
      <w:pPr>
        <w:pStyle w:val="FootnoteText"/>
      </w:pPr>
      <w:r>
        <w:rPr>
          <w:rStyle w:val="FootnoteReference"/>
        </w:rPr>
        <w:footnoteRef/>
      </w:r>
      <w:r>
        <w:t xml:space="preserve"> Q14</w:t>
      </w:r>
    </w:p>
  </w:footnote>
  <w:footnote w:id="89">
    <w:p w14:paraId="40B6E49E" w14:textId="77777777" w:rsidR="00706E88" w:rsidRDefault="00706E88" w:rsidP="00A2681D">
      <w:pPr>
        <w:pStyle w:val="FootnoteText"/>
      </w:pPr>
      <w:r>
        <w:rPr>
          <w:rStyle w:val="FootnoteReference"/>
        </w:rPr>
        <w:footnoteRef/>
      </w:r>
      <w:r>
        <w:t xml:space="preserve"> Gingerbread</w:t>
      </w:r>
    </w:p>
  </w:footnote>
  <w:footnote w:id="90">
    <w:p w14:paraId="436D455C" w14:textId="77777777" w:rsidR="00706E88" w:rsidRDefault="00706E88">
      <w:pPr>
        <w:pStyle w:val="FootnoteText"/>
      </w:pPr>
      <w:r>
        <w:rPr>
          <w:rStyle w:val="FootnoteReference"/>
        </w:rPr>
        <w:footnoteRef/>
      </w:r>
      <w:r>
        <w:t>Q14,Q19,Q72,Q73</w:t>
      </w:r>
    </w:p>
  </w:footnote>
  <w:footnote w:id="91">
    <w:p w14:paraId="520AAA98" w14:textId="77777777" w:rsidR="00706E88" w:rsidRDefault="00706E88">
      <w:pPr>
        <w:pStyle w:val="FootnoteText"/>
      </w:pPr>
      <w:r>
        <w:rPr>
          <w:rStyle w:val="FootnoteReference"/>
        </w:rPr>
        <w:footnoteRef/>
      </w:r>
      <w:r>
        <w:t xml:space="preserve"> Q72</w:t>
      </w:r>
    </w:p>
  </w:footnote>
  <w:footnote w:id="92">
    <w:p w14:paraId="7E3F70B1" w14:textId="77777777" w:rsidR="00706E88" w:rsidRDefault="00706E88">
      <w:pPr>
        <w:pStyle w:val="FootnoteText"/>
      </w:pPr>
      <w:r>
        <w:rPr>
          <w:rStyle w:val="FootnoteReference"/>
        </w:rPr>
        <w:footnoteRef/>
      </w:r>
      <w:r w:rsidRPr="0065205C">
        <w:rPr>
          <w:highlight w:val="yellow"/>
        </w:rPr>
        <w:t xml:space="preserve"> Benefit Cap; claimant videos</w:t>
      </w:r>
    </w:p>
  </w:footnote>
  <w:footnote w:id="93">
    <w:p w14:paraId="62D33095" w14:textId="77777777" w:rsidR="00706E88" w:rsidRDefault="00706E88">
      <w:pPr>
        <w:pStyle w:val="FootnoteText"/>
      </w:pPr>
      <w:r>
        <w:rPr>
          <w:rStyle w:val="FootnoteReference"/>
        </w:rPr>
        <w:footnoteRef/>
      </w:r>
      <w:r>
        <w:t xml:space="preserve"> Q105,Q72</w:t>
      </w:r>
    </w:p>
  </w:footnote>
  <w:footnote w:id="94">
    <w:p w14:paraId="5AFBAEC0" w14:textId="77777777" w:rsidR="00706E88" w:rsidRDefault="00706E88">
      <w:pPr>
        <w:pStyle w:val="FootnoteText"/>
      </w:pPr>
      <w:r>
        <w:rPr>
          <w:rStyle w:val="FootnoteReference"/>
        </w:rPr>
        <w:footnoteRef/>
      </w:r>
      <w:r>
        <w:t xml:space="preserve"> </w:t>
      </w:r>
      <w:r w:rsidRPr="00D91ECF">
        <w:rPr>
          <w:highlight w:val="yellow"/>
        </w:rPr>
        <w:t>Benefit cap; claimant videos</w:t>
      </w:r>
    </w:p>
  </w:footnote>
  <w:footnote w:id="95">
    <w:p w14:paraId="046BE7CD" w14:textId="77777777" w:rsidR="00706E88" w:rsidRDefault="00706E88">
      <w:pPr>
        <w:pStyle w:val="FootnoteText"/>
      </w:pPr>
      <w:r>
        <w:rPr>
          <w:rStyle w:val="FootnoteReference"/>
        </w:rPr>
        <w:footnoteRef/>
      </w:r>
      <w:r>
        <w:t xml:space="preserve"> Child Poverty Action Group (BEC0022)</w:t>
      </w:r>
    </w:p>
  </w:footnote>
  <w:footnote w:id="96">
    <w:p w14:paraId="3AA8541A" w14:textId="77777777" w:rsidR="00706E88" w:rsidRDefault="00706E88">
      <w:pPr>
        <w:pStyle w:val="FootnoteText"/>
      </w:pPr>
      <w:r>
        <w:rPr>
          <w:rStyle w:val="FootnoteReference"/>
        </w:rPr>
        <w:footnoteRef/>
      </w:r>
      <w:r>
        <w:t xml:space="preserve"> See for example Q73, </w:t>
      </w:r>
      <w:r w:rsidRPr="00E175C2">
        <w:rPr>
          <w:highlight w:val="yellow"/>
        </w:rPr>
        <w:t>Benefit cap; claimant videos</w:t>
      </w:r>
    </w:p>
  </w:footnote>
  <w:footnote w:id="97">
    <w:p w14:paraId="66AF3EDD" w14:textId="77777777" w:rsidR="00706E88" w:rsidRDefault="00706E88">
      <w:pPr>
        <w:pStyle w:val="FootnoteText"/>
      </w:pPr>
      <w:r>
        <w:rPr>
          <w:rStyle w:val="FootnoteReference"/>
        </w:rPr>
        <w:footnoteRef/>
      </w:r>
      <w:r>
        <w:t xml:space="preserve"> Supreme Court, Judgment, </w:t>
      </w:r>
      <w:hyperlink r:id="rId28" w:history="1">
        <w:r w:rsidRPr="001F5217">
          <w:rPr>
            <w:rStyle w:val="HyperlinkEmphasis"/>
          </w:rPr>
          <w:t>"R vs Secretary of State for Work and Pensions"</w:t>
        </w:r>
      </w:hyperlink>
      <w:r>
        <w:t xml:space="preserve">, March 2015 </w:t>
      </w:r>
    </w:p>
  </w:footnote>
  <w:footnote w:id="98">
    <w:p w14:paraId="6C0B80D2" w14:textId="77777777" w:rsidR="00706E88" w:rsidRDefault="00706E88">
      <w:pPr>
        <w:pStyle w:val="FootnoteText"/>
      </w:pPr>
      <w:r>
        <w:rPr>
          <w:rStyle w:val="FootnoteReference"/>
        </w:rPr>
        <w:footnoteRef/>
      </w:r>
      <w:r>
        <w:t xml:space="preserve"> Child Poverty Action Group (BEC0022)</w:t>
      </w:r>
    </w:p>
  </w:footnote>
  <w:footnote w:id="99">
    <w:p w14:paraId="1059DEA5" w14:textId="77777777" w:rsidR="00706E88" w:rsidRDefault="00706E88" w:rsidP="00E175C2">
      <w:pPr>
        <w:pStyle w:val="FootnoteText"/>
      </w:pPr>
      <w:r>
        <w:rPr>
          <w:rStyle w:val="FootnoteReference"/>
        </w:rPr>
        <w:footnoteRef/>
      </w:r>
      <w:r>
        <w:t xml:space="preserve"> "</w:t>
      </w:r>
      <w:hyperlink r:id="rId29" w:history="1">
        <w:r w:rsidRPr="002658BA">
          <w:rPr>
            <w:rStyle w:val="Hyperlink"/>
          </w:rPr>
          <w:t xml:space="preserve">Benefit cap quarterly statistics: GB households capped to </w:t>
        </w:r>
        <w:r>
          <w:rPr>
            <w:rStyle w:val="Hyperlink"/>
          </w:rPr>
          <w:t>November</w:t>
        </w:r>
        <w:r w:rsidRPr="002658BA">
          <w:rPr>
            <w:rStyle w:val="Hyperlink"/>
          </w:rPr>
          <w:t xml:space="preserve"> 201</w:t>
        </w:r>
      </w:hyperlink>
      <w:r w:rsidRPr="002658BA">
        <w:rPr>
          <w:rStyle w:val="Hyperlink"/>
        </w:rPr>
        <w:t>8</w:t>
      </w:r>
      <w:r>
        <w:rPr>
          <w:rStyle w:val="Hyperlink"/>
        </w:rPr>
        <w:t>"</w:t>
      </w:r>
      <w:r w:rsidRPr="00E83207">
        <w:rPr>
          <w:rStyle w:val="Hyperlink"/>
        </w:rPr>
        <w:t>, February 2019</w:t>
      </w:r>
    </w:p>
    <w:p w14:paraId="62BF1836" w14:textId="77777777" w:rsidR="00706E88" w:rsidRDefault="00706E88">
      <w:pPr>
        <w:pStyle w:val="FootnoteText"/>
      </w:pPr>
    </w:p>
  </w:footnote>
  <w:footnote w:id="100">
    <w:p w14:paraId="5810B944" w14:textId="77777777" w:rsidR="00706E88" w:rsidRDefault="00706E88">
      <w:pPr>
        <w:pStyle w:val="FootnoteText"/>
      </w:pPr>
      <w:r>
        <w:rPr>
          <w:rStyle w:val="FootnoteReference"/>
        </w:rPr>
        <w:footnoteRef/>
      </w:r>
      <w:r>
        <w:t xml:space="preserve"> Department for Work and Pensions, </w:t>
      </w:r>
      <w:hyperlink r:id="rId30" w:history="1">
        <w:r w:rsidRPr="00E175C2">
          <w:rPr>
            <w:rStyle w:val="HyperlinkEmphasis"/>
          </w:rPr>
          <w:t>"In-depth interviews with people affected by the Benefit Cap"</w:t>
        </w:r>
      </w:hyperlink>
      <w:r>
        <w:t>, December 2014</w:t>
      </w:r>
    </w:p>
  </w:footnote>
  <w:footnote w:id="101">
    <w:p w14:paraId="14A043E4" w14:textId="77777777" w:rsidR="00706E88" w:rsidRDefault="00706E88">
      <w:pPr>
        <w:pStyle w:val="FootnoteText"/>
      </w:pPr>
      <w:r>
        <w:rPr>
          <w:rStyle w:val="FootnoteReference"/>
        </w:rPr>
        <w:footnoteRef/>
      </w:r>
      <w:r>
        <w:t xml:space="preserve"> Department for Work and Pensions, </w:t>
      </w:r>
      <w:hyperlink r:id="rId31" w:history="1">
        <w:r w:rsidRPr="00E175C2">
          <w:rPr>
            <w:rStyle w:val="HyperlinkEmphasis"/>
          </w:rPr>
          <w:t>"The benefit cap: a review of the first year"</w:t>
        </w:r>
      </w:hyperlink>
      <w:r>
        <w:t xml:space="preserve">, December 2014 </w:t>
      </w:r>
    </w:p>
  </w:footnote>
  <w:footnote w:id="102">
    <w:p w14:paraId="635941AA" w14:textId="77777777" w:rsidR="00706E88" w:rsidRDefault="00706E88" w:rsidP="000C43C8">
      <w:pPr>
        <w:pStyle w:val="FootnoteText"/>
      </w:pPr>
      <w:r>
        <w:rPr>
          <w:rStyle w:val="FootnoteReference"/>
        </w:rPr>
        <w:footnoteRef/>
      </w:r>
      <w:r>
        <w:t xml:space="preserve"> </w:t>
      </w:r>
      <w:r w:rsidRPr="00ED268C">
        <w:rPr>
          <w:highlight w:val="yellow"/>
        </w:rPr>
        <w:t>Letter to the Chair from Justin Tomlinson MP, Minister for Family Support, Housing and Child Maintenance, 18 December 2018</w:t>
      </w:r>
    </w:p>
  </w:footnote>
  <w:footnote w:id="103">
    <w:p w14:paraId="72390DAB" w14:textId="77777777" w:rsidR="00706E88" w:rsidRPr="004441D7" w:rsidRDefault="00706E88">
      <w:pPr>
        <w:pStyle w:val="FootnoteText"/>
        <w:rPr>
          <w:highlight w:val="yellow"/>
        </w:rPr>
      </w:pPr>
      <w:r>
        <w:rPr>
          <w:rStyle w:val="FootnoteReference"/>
        </w:rPr>
        <w:footnoteRef/>
      </w:r>
      <w:r>
        <w:t xml:space="preserve"> </w:t>
      </w:r>
      <w:r w:rsidRPr="003A5457">
        <w:t xml:space="preserve">House of Commons Library </w:t>
      </w:r>
      <w:r w:rsidR="00B31051">
        <w:t>briefing provided to the Chair</w:t>
      </w:r>
    </w:p>
  </w:footnote>
  <w:footnote w:id="104">
    <w:p w14:paraId="11CE3D14" w14:textId="77777777" w:rsidR="00706E88" w:rsidRDefault="00706E88">
      <w:pPr>
        <w:pStyle w:val="FootnoteText"/>
      </w:pPr>
      <w:r>
        <w:rPr>
          <w:rStyle w:val="FootnoteReference"/>
        </w:rPr>
        <w:footnoteRef/>
      </w:r>
      <w:r>
        <w:t xml:space="preserve"> </w:t>
      </w:r>
      <w:r w:rsidRPr="0054789D">
        <w:t>Oral evidence</w:t>
      </w:r>
      <w:r>
        <w:t xml:space="preserve"> taken on 16 January 2019, </w:t>
      </w:r>
      <w:hyperlink r:id="rId32" w:history="1">
        <w:r w:rsidRPr="004441D7">
          <w:rPr>
            <w:rStyle w:val="HyperlinkEmphasis"/>
          </w:rPr>
          <w:t>HC 1539</w:t>
        </w:r>
      </w:hyperlink>
      <w:r>
        <w:t>,</w:t>
      </w:r>
      <w:r w:rsidRPr="0054789D">
        <w:t xml:space="preserve"> Q56</w:t>
      </w:r>
    </w:p>
  </w:footnote>
  <w:footnote w:id="105">
    <w:p w14:paraId="3009E7BB" w14:textId="77777777" w:rsidR="00706E88" w:rsidRDefault="00706E88" w:rsidP="00F63022">
      <w:pPr>
        <w:pStyle w:val="FootnoteText"/>
      </w:pPr>
      <w:r>
        <w:rPr>
          <w:rStyle w:val="FootnoteReference"/>
        </w:rPr>
        <w:footnoteRef/>
      </w:r>
      <w:r>
        <w:t xml:space="preserve"> </w:t>
      </w:r>
      <w:r w:rsidRPr="00ED268C">
        <w:rPr>
          <w:highlight w:val="yellow"/>
        </w:rPr>
        <w:t>Letter to the Chair from Justin Tomlinson MP, Minister for Family Support, Housing and Child Maintenance, 18 December 2018</w:t>
      </w:r>
    </w:p>
  </w:footnote>
  <w:footnote w:id="106">
    <w:p w14:paraId="070BC502" w14:textId="77777777" w:rsidR="00706E88" w:rsidRDefault="00706E88" w:rsidP="00C16A41">
      <w:pPr>
        <w:pStyle w:val="FootnoteText"/>
      </w:pPr>
      <w:r>
        <w:rPr>
          <w:rStyle w:val="FootnoteReference"/>
        </w:rPr>
        <w:footnoteRef/>
      </w:r>
      <w:r>
        <w:t xml:space="preserve"> </w:t>
      </w:r>
      <w:r w:rsidRPr="00A40848">
        <w:t>Shelter Scotland (</w:t>
      </w:r>
      <w:r>
        <w:t>BEC0013</w:t>
      </w:r>
      <w:r w:rsidRPr="00A40848">
        <w:t>)</w:t>
      </w:r>
    </w:p>
  </w:footnote>
  <w:footnote w:id="107">
    <w:p w14:paraId="6991898F" w14:textId="77777777" w:rsidR="00706E88" w:rsidRDefault="00706E88" w:rsidP="00BD7BA6">
      <w:pPr>
        <w:pStyle w:val="FootnoteText"/>
      </w:pPr>
      <w:r>
        <w:rPr>
          <w:rStyle w:val="FootnoteReference"/>
        </w:rPr>
        <w:footnoteRef/>
      </w:r>
      <w:r>
        <w:t xml:space="preserve"> Work and Pensions Committee, Fourth Report of the Session 2013-14, </w:t>
      </w:r>
      <w:hyperlink r:id="rId33" w:history="1">
        <w:r w:rsidRPr="00E612F4">
          <w:rPr>
            <w:rStyle w:val="HyperlinkEmphasis"/>
          </w:rPr>
          <w:t>Support for housing costs in the reformed welfare system</w:t>
        </w:r>
      </w:hyperlink>
      <w:r>
        <w:t>, HC 720, p4</w:t>
      </w:r>
    </w:p>
  </w:footnote>
  <w:footnote w:id="108">
    <w:p w14:paraId="0F5716C2" w14:textId="77777777" w:rsidR="00706E88" w:rsidRDefault="00706E88" w:rsidP="001D4768">
      <w:pPr>
        <w:pStyle w:val="FootnoteText"/>
      </w:pPr>
      <w:r>
        <w:rPr>
          <w:rStyle w:val="FootnoteReference"/>
        </w:rPr>
        <w:footnoteRef/>
      </w:r>
      <w:r>
        <w:t xml:space="preserve"> Zacchaeus 2000 Trust (BEC0027)</w:t>
      </w:r>
    </w:p>
  </w:footnote>
  <w:footnote w:id="109">
    <w:p w14:paraId="1B10C1DB" w14:textId="77777777" w:rsidR="00706E88" w:rsidRDefault="00706E88">
      <w:pPr>
        <w:pStyle w:val="FootnoteText"/>
      </w:pPr>
      <w:r>
        <w:rPr>
          <w:rStyle w:val="FootnoteReference"/>
        </w:rPr>
        <w:footnoteRef/>
      </w:r>
      <w:r>
        <w:t xml:space="preserve"> Q199</w:t>
      </w:r>
    </w:p>
  </w:footnote>
  <w:footnote w:id="110">
    <w:p w14:paraId="6CE9BCEE" w14:textId="77777777" w:rsidR="00706E88" w:rsidRDefault="00706E88">
      <w:pPr>
        <w:pStyle w:val="FootnoteText"/>
      </w:pPr>
      <w:r>
        <w:rPr>
          <w:rStyle w:val="FootnoteReference"/>
        </w:rPr>
        <w:footnoteRef/>
      </w:r>
      <w:r>
        <w:t xml:space="preserve"> Ibid.</w:t>
      </w:r>
    </w:p>
  </w:footnote>
  <w:footnote w:id="111">
    <w:p w14:paraId="5E01F683" w14:textId="77777777" w:rsidR="00706E88" w:rsidRDefault="00706E88">
      <w:pPr>
        <w:pStyle w:val="FootnoteText"/>
      </w:pPr>
      <w:r>
        <w:rPr>
          <w:rStyle w:val="FootnoteReference"/>
        </w:rPr>
        <w:footnoteRef/>
      </w:r>
      <w:r>
        <w:t xml:space="preserve"> </w:t>
      </w:r>
      <w:r w:rsidRPr="00ED268C">
        <w:rPr>
          <w:highlight w:val="yellow"/>
        </w:rPr>
        <w:t>Letter to the Chair from Justin Tomlinson MP, Minister for Family Support, Housing and Child Maintenance, 18 December 2018</w:t>
      </w:r>
    </w:p>
  </w:footnote>
  <w:footnote w:id="112">
    <w:p w14:paraId="0C5AE9C4" w14:textId="77777777" w:rsidR="00706E88" w:rsidRDefault="00706E88" w:rsidP="00C16A41">
      <w:pPr>
        <w:pStyle w:val="FootnoteText"/>
      </w:pPr>
      <w:r>
        <w:rPr>
          <w:rStyle w:val="FootnoteReference"/>
        </w:rPr>
        <w:footnoteRef/>
      </w:r>
      <w:r>
        <w:t xml:space="preserve"> Child Poverty Action Group (BEC0022), London Councils (BEC0018)</w:t>
      </w:r>
    </w:p>
  </w:footnote>
  <w:footnote w:id="113">
    <w:p w14:paraId="16C6C671" w14:textId="77777777" w:rsidR="00706E88" w:rsidRDefault="00706E88">
      <w:pPr>
        <w:pStyle w:val="FootnoteText"/>
      </w:pPr>
      <w:r>
        <w:rPr>
          <w:rStyle w:val="FootnoteReference"/>
        </w:rPr>
        <w:footnoteRef/>
      </w:r>
      <w:r>
        <w:t xml:space="preserve"> Q87</w:t>
      </w:r>
    </w:p>
  </w:footnote>
  <w:footnote w:id="114">
    <w:p w14:paraId="62B7A667" w14:textId="77777777" w:rsidR="00706E88" w:rsidRDefault="00706E88" w:rsidP="00C16A41">
      <w:pPr>
        <w:pStyle w:val="FootnoteText"/>
      </w:pPr>
      <w:r>
        <w:rPr>
          <w:rStyle w:val="FootnoteReference"/>
        </w:rPr>
        <w:footnoteRef/>
      </w:r>
      <w:r>
        <w:t xml:space="preserve"> Department for Work and Pensions (BEC0023)</w:t>
      </w:r>
    </w:p>
  </w:footnote>
  <w:footnote w:id="115">
    <w:p w14:paraId="3A77B6F4" w14:textId="77777777" w:rsidR="00706E88" w:rsidRDefault="00706E88" w:rsidP="00C16A41">
      <w:pPr>
        <w:pStyle w:val="FootnoteText"/>
      </w:pPr>
      <w:r>
        <w:rPr>
          <w:rStyle w:val="FootnoteReference"/>
        </w:rPr>
        <w:footnoteRef/>
      </w:r>
      <w:r>
        <w:t xml:space="preserve"> Q136</w:t>
      </w:r>
    </w:p>
  </w:footnote>
  <w:footnote w:id="116">
    <w:p w14:paraId="1DB279F2" w14:textId="77777777" w:rsidR="00706E88" w:rsidRDefault="00706E88">
      <w:pPr>
        <w:pStyle w:val="FootnoteText"/>
      </w:pPr>
      <w:r>
        <w:rPr>
          <w:rStyle w:val="FootnoteReference"/>
        </w:rPr>
        <w:footnoteRef/>
      </w:r>
      <w:r>
        <w:t xml:space="preserve"> Q193</w:t>
      </w:r>
    </w:p>
  </w:footnote>
  <w:footnote w:id="117">
    <w:p w14:paraId="62FD0171" w14:textId="77777777" w:rsidR="00706E88" w:rsidRDefault="00706E88">
      <w:pPr>
        <w:pStyle w:val="FootnoteText"/>
      </w:pPr>
      <w:r>
        <w:rPr>
          <w:rStyle w:val="FootnoteReference"/>
        </w:rPr>
        <w:footnoteRef/>
      </w:r>
      <w:r>
        <w:t xml:space="preserve"> </w:t>
      </w:r>
      <w:r w:rsidRPr="00ED268C">
        <w:rPr>
          <w:highlight w:val="yellow"/>
        </w:rPr>
        <w:t>Letter to the Chair from Justin Tomlinson MP, Minister for Family Support, Housing and Child Maintenance, 18 December 2018</w:t>
      </w:r>
    </w:p>
  </w:footnote>
  <w:footnote w:id="118">
    <w:p w14:paraId="1F2D45A9" w14:textId="77777777" w:rsidR="00706E88" w:rsidRDefault="00706E88" w:rsidP="00DF1123">
      <w:pPr>
        <w:pStyle w:val="FootnoteText"/>
      </w:pPr>
      <w:r>
        <w:rPr>
          <w:rStyle w:val="FootnoteReference"/>
        </w:rPr>
        <w:footnoteRef/>
      </w:r>
      <w:r>
        <w:t xml:space="preserve"> London Councils (BEC0018)</w:t>
      </w:r>
    </w:p>
  </w:footnote>
  <w:footnote w:id="119">
    <w:p w14:paraId="26D636AB" w14:textId="77777777" w:rsidR="00706E88" w:rsidRDefault="00706E88">
      <w:pPr>
        <w:pStyle w:val="FootnoteText"/>
      </w:pPr>
      <w:r>
        <w:rPr>
          <w:rStyle w:val="FootnoteReference"/>
        </w:rPr>
        <w:footnoteRef/>
      </w:r>
      <w:r>
        <w:t xml:space="preserve"> England and Wales High Court Decisions, </w:t>
      </w:r>
      <w:hyperlink r:id="rId34" w:history="1">
        <w:r w:rsidRPr="007C3AE2">
          <w:rPr>
            <w:rStyle w:val="Hyperlink"/>
          </w:rPr>
          <w:t>"Between R and Secretary of State"</w:t>
        </w:r>
      </w:hyperlink>
      <w:r>
        <w:t xml:space="preserve">, 11 January 2019 </w:t>
      </w:r>
    </w:p>
  </w:footnote>
  <w:footnote w:id="120">
    <w:p w14:paraId="02FC0289" w14:textId="77777777" w:rsidR="00706E88" w:rsidRDefault="00706E88" w:rsidP="00C16A41">
      <w:pPr>
        <w:pStyle w:val="FootnoteText"/>
      </w:pPr>
      <w:r>
        <w:rPr>
          <w:rStyle w:val="FootnoteReference"/>
        </w:rPr>
        <w:footnoteRef/>
      </w:r>
      <w:r>
        <w:t xml:space="preserve"> Child Poverty Action Group (BEC0022)</w:t>
      </w:r>
    </w:p>
  </w:footnote>
  <w:footnote w:id="121">
    <w:p w14:paraId="18F9EF07" w14:textId="77777777" w:rsidR="00706E88" w:rsidRDefault="00706E88">
      <w:pPr>
        <w:pStyle w:val="FootnoteText"/>
      </w:pPr>
      <w:r>
        <w:rPr>
          <w:rStyle w:val="FootnoteReference"/>
        </w:rPr>
        <w:footnoteRef/>
      </w:r>
      <w:r>
        <w:t xml:space="preserve"> Q195</w:t>
      </w:r>
    </w:p>
  </w:footnote>
  <w:footnote w:id="122">
    <w:p w14:paraId="4753AE4B" w14:textId="77777777" w:rsidR="00706E88" w:rsidRDefault="00706E88">
      <w:pPr>
        <w:pStyle w:val="FootnoteText"/>
      </w:pPr>
      <w:r>
        <w:rPr>
          <w:rStyle w:val="FootnoteReference"/>
        </w:rPr>
        <w:footnoteRef/>
      </w:r>
      <w:r>
        <w:t xml:space="preserve"> </w:t>
      </w:r>
      <w:r w:rsidRPr="00ED268C">
        <w:rPr>
          <w:highlight w:val="yellow"/>
        </w:rPr>
        <w:t>Letter to the Chair from Justin Tomlinson MP, Minister for Family Support, Housing and Child Maintenance, 18 December 2018</w:t>
      </w:r>
    </w:p>
  </w:footnote>
  <w:footnote w:id="123">
    <w:p w14:paraId="7052606A" w14:textId="77777777" w:rsidR="00706E88" w:rsidRDefault="00706E88">
      <w:pPr>
        <w:pStyle w:val="FootnoteText"/>
      </w:pPr>
      <w:r>
        <w:rPr>
          <w:rStyle w:val="FootnoteReference"/>
        </w:rPr>
        <w:footnoteRef/>
      </w:r>
      <w:r>
        <w:t xml:space="preserve"> Department for Work and Pensions (BEC0023)</w:t>
      </w:r>
    </w:p>
  </w:footnote>
  <w:footnote w:id="124">
    <w:p w14:paraId="2349B54D" w14:textId="77777777" w:rsidR="00706E88" w:rsidRDefault="00706E88">
      <w:pPr>
        <w:pStyle w:val="FootnoteText"/>
      </w:pPr>
      <w:r>
        <w:rPr>
          <w:rStyle w:val="FootnoteReference"/>
        </w:rPr>
        <w:footnoteRef/>
      </w:r>
      <w:r>
        <w:t xml:space="preserve"> Child Poverty Action Group (BEC0022), Gingerbread (BEC0012)</w:t>
      </w:r>
    </w:p>
  </w:footnote>
  <w:footnote w:id="125">
    <w:p w14:paraId="5DBD08F0" w14:textId="77777777" w:rsidR="00706E88" w:rsidRDefault="00706E88">
      <w:pPr>
        <w:pStyle w:val="FootnoteText"/>
      </w:pPr>
      <w:r>
        <w:rPr>
          <w:rStyle w:val="FootnoteReference"/>
        </w:rPr>
        <w:footnoteRef/>
      </w:r>
      <w:r>
        <w:t xml:space="preserve"> Child Poverty Action Group (BEC0022), Gingerbread (BEC0012)</w:t>
      </w:r>
    </w:p>
  </w:footnote>
  <w:footnote w:id="126">
    <w:p w14:paraId="380CC158" w14:textId="77777777" w:rsidR="00706E88" w:rsidRDefault="00706E88">
      <w:pPr>
        <w:pStyle w:val="FootnoteText"/>
      </w:pPr>
      <w:r>
        <w:rPr>
          <w:rStyle w:val="FootnoteReference"/>
        </w:rPr>
        <w:footnoteRef/>
      </w:r>
      <w:r>
        <w:t xml:space="preserve"> Residential Landlords Association (BEC0028)</w:t>
      </w:r>
    </w:p>
  </w:footnote>
  <w:footnote w:id="127">
    <w:p w14:paraId="5C6224DC" w14:textId="77777777" w:rsidR="00706E88" w:rsidRDefault="00706E88">
      <w:pPr>
        <w:pStyle w:val="FootnoteText"/>
      </w:pPr>
      <w:r>
        <w:rPr>
          <w:rStyle w:val="FootnoteReference"/>
        </w:rPr>
        <w:footnoteRef/>
      </w:r>
      <w:r>
        <w:t xml:space="preserve"> Work and Pensions Committee, Fourth Report of the Session 2013-14, </w:t>
      </w:r>
      <w:hyperlink r:id="rId35" w:history="1">
        <w:r w:rsidRPr="00E612F4">
          <w:rPr>
            <w:rStyle w:val="HyperlinkEmphasis"/>
          </w:rPr>
          <w:t>Support for housing costs in the reformed welfare system</w:t>
        </w:r>
      </w:hyperlink>
      <w:r>
        <w:t>, HC 720</w:t>
      </w:r>
    </w:p>
  </w:footnote>
  <w:footnote w:id="128">
    <w:p w14:paraId="3C2CE83C" w14:textId="77777777" w:rsidR="00706E88" w:rsidRDefault="00706E88">
      <w:pPr>
        <w:pStyle w:val="FootnoteText"/>
      </w:pPr>
      <w:r>
        <w:rPr>
          <w:rStyle w:val="FootnoteReference"/>
        </w:rPr>
        <w:footnoteRef/>
      </w:r>
      <w:r>
        <w:t xml:space="preserve"> Zacchaeus 2000 Trust (BEC0027), Carmarthenshire County Council (BEC0041), Kingston upon Thames(BEC0043), Women's Aid Federation of England (BEC0017)</w:t>
      </w:r>
    </w:p>
  </w:footnote>
  <w:footnote w:id="129">
    <w:p w14:paraId="21D6173F" w14:textId="77777777" w:rsidR="00706E88" w:rsidRDefault="00706E88">
      <w:pPr>
        <w:pStyle w:val="FootnoteText"/>
      </w:pPr>
      <w:r>
        <w:rPr>
          <w:rStyle w:val="FootnoteReference"/>
        </w:rPr>
        <w:footnoteRef/>
      </w:r>
      <w:r>
        <w:t xml:space="preserve"> Shelter (BEC0024)</w:t>
      </w:r>
    </w:p>
  </w:footnote>
  <w:footnote w:id="130">
    <w:p w14:paraId="2D46905F" w14:textId="77777777" w:rsidR="00706E88" w:rsidRDefault="00706E88">
      <w:pPr>
        <w:pStyle w:val="FootnoteText"/>
      </w:pPr>
      <w:r>
        <w:rPr>
          <w:rStyle w:val="FootnoteReference"/>
        </w:rPr>
        <w:footnoteRef/>
      </w:r>
      <w:r>
        <w:t xml:space="preserve"> Liverpool City Council (BEC0044), Kingston upon Thames (BEC0043), Oxford City Council (BEC0040), Spelthorne Borough Council (BEC0045), Brighton and Hove City Council (BEC0021), Newcastle City Council and Your Homes Newcastle (BEC0020)</w:t>
      </w:r>
    </w:p>
  </w:footnote>
  <w:footnote w:id="131">
    <w:p w14:paraId="071D671B" w14:textId="77777777" w:rsidR="00706E88" w:rsidRDefault="00706E88">
      <w:pPr>
        <w:pStyle w:val="FootnoteText"/>
      </w:pPr>
      <w:r>
        <w:rPr>
          <w:rStyle w:val="FootnoteReference"/>
        </w:rPr>
        <w:footnoteRef/>
      </w:r>
      <w:r>
        <w:t xml:space="preserve"> </w:t>
      </w:r>
      <w:r w:rsidRPr="00681AC6">
        <w:rPr>
          <w:highlight w:val="yellow"/>
        </w:rPr>
        <w:t>Benefit Cap; claimant videos</w:t>
      </w:r>
    </w:p>
  </w:footnote>
  <w:footnote w:id="132">
    <w:p w14:paraId="0E091B14" w14:textId="77777777" w:rsidR="00706E88" w:rsidRDefault="00706E88">
      <w:pPr>
        <w:pStyle w:val="FootnoteText"/>
      </w:pPr>
      <w:r>
        <w:rPr>
          <w:rStyle w:val="FootnoteReference"/>
        </w:rPr>
        <w:footnoteRef/>
      </w:r>
      <w:r>
        <w:t xml:space="preserve"> Child Poverty Action Group (BEC0022)</w:t>
      </w:r>
    </w:p>
  </w:footnote>
  <w:footnote w:id="133">
    <w:p w14:paraId="0E607E73" w14:textId="77777777" w:rsidR="00706E88" w:rsidRPr="00C30188" w:rsidRDefault="00706E88" w:rsidP="005D4EE7">
      <w:pPr>
        <w:pStyle w:val="FootnoteText"/>
      </w:pPr>
      <w:r w:rsidRPr="00C30188">
        <w:rPr>
          <w:rStyle w:val="FootnoteReference"/>
        </w:rPr>
        <w:footnoteRef/>
      </w:r>
      <w:r w:rsidRPr="00C30188">
        <w:t xml:space="preserve"> </w:t>
      </w:r>
      <w:r>
        <w:t>Q202-203</w:t>
      </w:r>
    </w:p>
  </w:footnote>
  <w:footnote w:id="134">
    <w:p w14:paraId="26DFAD63" w14:textId="77777777" w:rsidR="00706E88" w:rsidRPr="00ED268C" w:rsidRDefault="00706E88">
      <w:pPr>
        <w:pStyle w:val="FootnoteText"/>
        <w:rPr>
          <w:highlight w:val="yellow"/>
        </w:rPr>
      </w:pPr>
      <w:r>
        <w:rPr>
          <w:rStyle w:val="FootnoteReference"/>
        </w:rPr>
        <w:footnoteRef/>
      </w:r>
      <w:r>
        <w:t xml:space="preserve"> </w:t>
      </w:r>
      <w:r w:rsidRPr="00ED268C">
        <w:rPr>
          <w:highlight w:val="yellow"/>
        </w:rPr>
        <w:t>Letter to the Chair from Justin Tomlinson MP, Minister for Family Support, Housing and Child Maintenance, 18 December 2018</w:t>
      </w:r>
    </w:p>
  </w:footnote>
  <w:footnote w:id="135">
    <w:p w14:paraId="6E0B7DDD" w14:textId="77777777" w:rsidR="00706E88" w:rsidRDefault="00706E88">
      <w:pPr>
        <w:pStyle w:val="FootnoteText"/>
      </w:pPr>
      <w:r>
        <w:rPr>
          <w:rStyle w:val="FootnoteReference"/>
        </w:rPr>
        <w:footnoteRef/>
      </w:r>
      <w:r>
        <w:t xml:space="preserve"> Department for Work and Pensions (BEC0023)</w:t>
      </w:r>
    </w:p>
  </w:footnote>
  <w:footnote w:id="136">
    <w:p w14:paraId="49E86B64" w14:textId="77777777" w:rsidR="00706E88" w:rsidRDefault="00706E88">
      <w:pPr>
        <w:pStyle w:val="FootnoteText"/>
      </w:pPr>
      <w:r>
        <w:rPr>
          <w:rStyle w:val="FootnoteReference"/>
        </w:rPr>
        <w:footnoteRef/>
      </w:r>
      <w:r>
        <w:t xml:space="preserve"> HM Treasury, </w:t>
      </w:r>
      <w:hyperlink r:id="rId36" w:history="1">
        <w:r w:rsidRPr="003E1805">
          <w:rPr>
            <w:rStyle w:val="HyperlinkEmphasis"/>
          </w:rPr>
          <w:t>Budget 2013</w:t>
        </w:r>
      </w:hyperlink>
      <w:r>
        <w:t>, HC 1033, March 2013</w:t>
      </w:r>
    </w:p>
  </w:footnote>
  <w:footnote w:id="137">
    <w:p w14:paraId="746CA894" w14:textId="77777777" w:rsidR="00706E88" w:rsidRDefault="00706E88">
      <w:pPr>
        <w:pStyle w:val="FootnoteText"/>
      </w:pPr>
      <w:r>
        <w:rPr>
          <w:rStyle w:val="FootnoteReference"/>
        </w:rPr>
        <w:footnoteRef/>
      </w:r>
      <w:r>
        <w:t xml:space="preserve"> Department for Work and Pensions, </w:t>
      </w:r>
      <w:hyperlink r:id="rId37" w:history="1">
        <w:r w:rsidRPr="002375AF">
          <w:rPr>
            <w:rStyle w:val="HyperlinkEmphasis"/>
          </w:rPr>
          <w:t>"Welfare Reform and Work Act: impact assessment for the benefit cap"</w:t>
        </w:r>
      </w:hyperlink>
      <w:r>
        <w:t>, August 2016</w:t>
      </w:r>
    </w:p>
  </w:footnote>
  <w:footnote w:id="138">
    <w:p w14:paraId="078C1A06" w14:textId="77777777" w:rsidR="00706E88" w:rsidRDefault="00706E88">
      <w:pPr>
        <w:pStyle w:val="FootnoteText"/>
      </w:pPr>
      <w:r>
        <w:rPr>
          <w:rStyle w:val="FootnoteReference"/>
        </w:rPr>
        <w:footnoteRef/>
      </w:r>
      <w:r>
        <w:t xml:space="preserve"> Q142</w:t>
      </w:r>
    </w:p>
  </w:footnote>
  <w:footnote w:id="139">
    <w:p w14:paraId="24CF0D28" w14:textId="77777777" w:rsidR="00706E88" w:rsidRDefault="00706E88">
      <w:pPr>
        <w:pStyle w:val="FootnoteText"/>
      </w:pPr>
      <w:r>
        <w:rPr>
          <w:rStyle w:val="FootnoteReference"/>
        </w:rPr>
        <w:footnoteRef/>
      </w:r>
      <w:r>
        <w:t xml:space="preserve"> Department for Work and Pensions, </w:t>
      </w:r>
      <w:hyperlink r:id="rId38" w:history="1">
        <w:r w:rsidRPr="002375AF">
          <w:rPr>
            <w:rStyle w:val="HyperlinkEmphasis"/>
          </w:rPr>
          <w:t>"Welfare Reform and Work Act: impact assessment for the benefit cap"</w:t>
        </w:r>
      </w:hyperlink>
      <w:r>
        <w:t>, August 2016</w:t>
      </w:r>
    </w:p>
  </w:footnote>
  <w:footnote w:id="140">
    <w:p w14:paraId="36387B1E" w14:textId="77777777" w:rsidR="00706E88" w:rsidRDefault="00706E88">
      <w:pPr>
        <w:pStyle w:val="FootnoteText"/>
      </w:pPr>
      <w:r>
        <w:rPr>
          <w:rStyle w:val="FootnoteReference"/>
        </w:rPr>
        <w:footnoteRef/>
      </w:r>
      <w:r>
        <w:t xml:space="preserve"> Q22</w:t>
      </w:r>
    </w:p>
  </w:footnote>
  <w:footnote w:id="141">
    <w:p w14:paraId="2FD80198" w14:textId="77777777" w:rsidR="00706E88" w:rsidRDefault="00706E88" w:rsidP="00346B73">
      <w:pPr>
        <w:pStyle w:val="FootnoteText"/>
      </w:pPr>
      <w:r>
        <w:rPr>
          <w:rStyle w:val="FootnoteReference"/>
        </w:rPr>
        <w:footnoteRef/>
      </w:r>
      <w:r>
        <w:t xml:space="preserve"> Q21</w:t>
      </w:r>
    </w:p>
  </w:footnote>
  <w:footnote w:id="142">
    <w:p w14:paraId="0CC1F9F1" w14:textId="77777777" w:rsidR="00706E88" w:rsidRDefault="00706E88" w:rsidP="00A92787">
      <w:pPr>
        <w:pStyle w:val="FootnoteText"/>
      </w:pPr>
      <w:r>
        <w:rPr>
          <w:rStyle w:val="FootnoteReference"/>
        </w:rPr>
        <w:footnoteRef/>
      </w:r>
      <w:r w:rsidRPr="00A92787">
        <w:rPr>
          <w:rStyle w:val="HyperlinkEmphasis"/>
          <w:i w:val="0"/>
          <w:color w:val="auto"/>
          <w:u w:val="none"/>
        </w:rPr>
        <w:t xml:space="preserve">National Audit Office, </w:t>
      </w:r>
      <w:hyperlink r:id="rId39" w:history="1">
        <w:r w:rsidRPr="00A92787">
          <w:rPr>
            <w:rStyle w:val="Hyperlink"/>
          </w:rPr>
          <w:t>Departmental Overview</w:t>
        </w:r>
        <w:r>
          <w:rPr>
            <w:rStyle w:val="Hyperlink"/>
          </w:rPr>
          <w:t xml:space="preserve"> -</w:t>
        </w:r>
        <w:r w:rsidRPr="00A92787">
          <w:rPr>
            <w:rStyle w:val="Hyperlink"/>
          </w:rPr>
          <w:t>Department for Work and Pensions</w:t>
        </w:r>
      </w:hyperlink>
      <w:r w:rsidRPr="00A92787">
        <w:rPr>
          <w:rStyle w:val="HyperlinkEmphasis"/>
          <w:i w:val="0"/>
          <w:color w:val="auto"/>
          <w:u w:val="none"/>
        </w:rPr>
        <w:t>;</w:t>
      </w:r>
      <w:r w:rsidRPr="00A92787">
        <w:rPr>
          <w:rStyle w:val="Hyperlink"/>
          <w:color w:val="auto"/>
          <w:u w:val="none"/>
        </w:rPr>
        <w:t xml:space="preserve"> </w:t>
      </w:r>
      <w:r w:rsidRPr="00A92787">
        <w:t>The</w:t>
      </w:r>
      <w:r>
        <w:t xml:space="preserve"> NAO describes the total welfare bill of £177.2 billion as £177 billion in its Departmental overview</w:t>
      </w:r>
    </w:p>
  </w:footnote>
  <w:footnote w:id="143">
    <w:p w14:paraId="089E3E3D" w14:textId="77777777" w:rsidR="00706E88" w:rsidRDefault="00706E88">
      <w:pPr>
        <w:pStyle w:val="FootnoteText"/>
      </w:pPr>
      <w:r>
        <w:rPr>
          <w:rStyle w:val="FootnoteReference"/>
        </w:rPr>
        <w:footnoteRef/>
      </w:r>
      <w:r>
        <w:t xml:space="preserve"> Department for Work and Pensions (BEC0023)</w:t>
      </w:r>
    </w:p>
  </w:footnote>
  <w:footnote w:id="144">
    <w:p w14:paraId="39C659AA" w14:textId="77777777" w:rsidR="00706E88" w:rsidRDefault="00706E88">
      <w:pPr>
        <w:pStyle w:val="FootnoteText"/>
      </w:pPr>
      <w:r>
        <w:rPr>
          <w:rStyle w:val="FootnoteReference"/>
        </w:rPr>
        <w:footnoteRef/>
      </w:r>
      <w:r>
        <w:t xml:space="preserve"> Institute for Fiscal Studies, </w:t>
      </w:r>
      <w:hyperlink r:id="rId40" w:history="1">
        <w:r w:rsidRPr="00A92787">
          <w:rPr>
            <w:rStyle w:val="Hyperlink"/>
          </w:rPr>
          <w:t>A tighter benefit cap</w:t>
        </w:r>
      </w:hyperlink>
      <w:r>
        <w:t>, accessed 6 March 2019</w:t>
      </w:r>
    </w:p>
  </w:footnote>
  <w:footnote w:id="145">
    <w:p w14:paraId="096AAEBF" w14:textId="77777777" w:rsidR="00706E88" w:rsidRDefault="00706E88">
      <w:pPr>
        <w:pStyle w:val="FootnoteText"/>
      </w:pPr>
      <w:r>
        <w:rPr>
          <w:rStyle w:val="FootnoteReference"/>
        </w:rPr>
        <w:footnoteRef/>
      </w:r>
      <w:r>
        <w:t xml:space="preserve"> Q22</w:t>
      </w:r>
    </w:p>
  </w:footnote>
  <w:footnote w:id="146">
    <w:p w14:paraId="5CBE7CA6" w14:textId="77777777" w:rsidR="00706E88" w:rsidRDefault="00706E88">
      <w:pPr>
        <w:pStyle w:val="FootnoteText"/>
      </w:pPr>
      <w:r>
        <w:rPr>
          <w:rStyle w:val="FootnoteReference"/>
        </w:rPr>
        <w:footnoteRef/>
      </w:r>
      <w:r>
        <w:t xml:space="preserve"> Child Poverty Action Group (BEC0022)</w:t>
      </w:r>
    </w:p>
  </w:footnote>
  <w:footnote w:id="147">
    <w:p w14:paraId="12C0CD0A" w14:textId="77777777" w:rsidR="00706E88" w:rsidRDefault="00706E88">
      <w:pPr>
        <w:pStyle w:val="FootnoteText"/>
      </w:pPr>
      <w:r>
        <w:rPr>
          <w:rStyle w:val="FootnoteReference"/>
        </w:rPr>
        <w:footnoteRef/>
      </w:r>
      <w:r>
        <w:t xml:space="preserve"> </w:t>
      </w:r>
      <w:r w:rsidRPr="00ED268C">
        <w:rPr>
          <w:highlight w:val="yellow"/>
        </w:rPr>
        <w:t>Letter to the Chair from Justin Tomlinson MP, Minister for Family Support, Housing and Child Maintenance, 18 December 2018</w:t>
      </w:r>
    </w:p>
  </w:footnote>
  <w:footnote w:id="148">
    <w:p w14:paraId="0986BF38" w14:textId="77777777" w:rsidR="00706E88" w:rsidRDefault="00706E88">
      <w:pPr>
        <w:pStyle w:val="FootnoteText"/>
      </w:pPr>
      <w:r>
        <w:rPr>
          <w:rStyle w:val="FootnoteReference"/>
        </w:rPr>
        <w:footnoteRef/>
      </w:r>
      <w:r>
        <w:t xml:space="preserve"> Department for Work and Pensions (BEC0023)</w:t>
      </w:r>
    </w:p>
  </w:footnote>
  <w:footnote w:id="149">
    <w:p w14:paraId="11627EDE" w14:textId="77777777" w:rsidR="00706E88" w:rsidRDefault="00706E88">
      <w:pPr>
        <w:pStyle w:val="FootnoteText"/>
      </w:pPr>
      <w:r>
        <w:rPr>
          <w:rStyle w:val="FootnoteReference"/>
        </w:rPr>
        <w:footnoteRef/>
      </w:r>
      <w:r>
        <w:t xml:space="preserve"> Policy in Practice (BEC006)</w:t>
      </w:r>
    </w:p>
  </w:footnote>
  <w:footnote w:id="150">
    <w:p w14:paraId="0AA9D4FB" w14:textId="77777777" w:rsidR="00706E88" w:rsidRDefault="00706E88">
      <w:pPr>
        <w:pStyle w:val="FootnoteText"/>
      </w:pPr>
      <w:r>
        <w:rPr>
          <w:rStyle w:val="FootnoteReference"/>
        </w:rPr>
        <w:footnoteRef/>
      </w:r>
      <w:r>
        <w:t xml:space="preserve"> Newcastle City Council and Your Homes Newcastle (BEC0020)</w:t>
      </w:r>
    </w:p>
  </w:footnote>
  <w:footnote w:id="151">
    <w:p w14:paraId="305C5BDB" w14:textId="77777777" w:rsidR="00706E88" w:rsidRDefault="00706E88">
      <w:pPr>
        <w:pStyle w:val="FootnoteText"/>
      </w:pPr>
      <w:r>
        <w:rPr>
          <w:rStyle w:val="FootnoteReference"/>
        </w:rPr>
        <w:footnoteRef/>
      </w:r>
      <w:r>
        <w:t xml:space="preserve"> Q96, Q100, Q105</w:t>
      </w:r>
    </w:p>
  </w:footnote>
  <w:footnote w:id="152">
    <w:p w14:paraId="623C9CA6" w14:textId="77777777" w:rsidR="00706E88" w:rsidRDefault="00706E88">
      <w:pPr>
        <w:pStyle w:val="FootnoteText"/>
      </w:pPr>
      <w:r>
        <w:rPr>
          <w:rStyle w:val="FootnoteReference"/>
        </w:rPr>
        <w:footnoteRef/>
      </w:r>
      <w:r>
        <w:t xml:space="preserve"> </w:t>
      </w:r>
      <w:r w:rsidRPr="00372B21">
        <w:t>Newcastle City Council and Your Homes Newcastle (BEC0020)</w:t>
      </w:r>
    </w:p>
  </w:footnote>
  <w:footnote w:id="153">
    <w:p w14:paraId="4A528012" w14:textId="77777777" w:rsidR="00706E88" w:rsidRDefault="00706E88">
      <w:pPr>
        <w:pStyle w:val="FootnoteText"/>
      </w:pPr>
      <w:r>
        <w:rPr>
          <w:rStyle w:val="FootnoteReference"/>
        </w:rPr>
        <w:footnoteRef/>
      </w:r>
      <w:r>
        <w:t xml:space="preserve"> See for example </w:t>
      </w:r>
      <w:r w:rsidRPr="00372B21">
        <w:t>Newcastle City Council and Your Homes Newcastle (BEC0020)</w:t>
      </w:r>
      <w:r>
        <w:t>, Brighton and Hove City Council (BEC0021)</w:t>
      </w:r>
    </w:p>
  </w:footnote>
  <w:footnote w:id="154">
    <w:p w14:paraId="5A07FE5D" w14:textId="77777777" w:rsidR="00706E88" w:rsidRDefault="00706E88">
      <w:pPr>
        <w:pStyle w:val="FootnoteText"/>
      </w:pPr>
      <w:r>
        <w:rPr>
          <w:rStyle w:val="FootnoteReference"/>
        </w:rPr>
        <w:footnoteRef/>
      </w:r>
      <w:r>
        <w:t xml:space="preserve"> Q107</w:t>
      </w:r>
    </w:p>
  </w:footnote>
  <w:footnote w:id="155">
    <w:p w14:paraId="7FB62F17" w14:textId="77777777" w:rsidR="00706E88" w:rsidRDefault="00706E88">
      <w:pPr>
        <w:pStyle w:val="FootnoteText"/>
      </w:pPr>
      <w:r>
        <w:rPr>
          <w:rStyle w:val="FootnoteReference"/>
        </w:rPr>
        <w:footnoteRef/>
      </w:r>
      <w:r>
        <w:t xml:space="preserve"> Ibid.</w:t>
      </w:r>
    </w:p>
  </w:footnote>
  <w:footnote w:id="156">
    <w:p w14:paraId="0B39887C" w14:textId="77777777" w:rsidR="00706E88" w:rsidRDefault="00706E88">
      <w:pPr>
        <w:pStyle w:val="FootnoteText"/>
      </w:pPr>
      <w:r>
        <w:rPr>
          <w:rStyle w:val="FootnoteReference"/>
        </w:rPr>
        <w:footnoteRef/>
      </w:r>
      <w:r>
        <w:t xml:space="preserve"> Ibid.</w:t>
      </w:r>
    </w:p>
  </w:footnote>
  <w:footnote w:id="157">
    <w:p w14:paraId="3935ABBA" w14:textId="77777777" w:rsidR="00706E88" w:rsidRDefault="00706E88">
      <w:pPr>
        <w:pStyle w:val="FootnoteText"/>
      </w:pPr>
      <w:r>
        <w:rPr>
          <w:rStyle w:val="FootnoteReference"/>
        </w:rPr>
        <w:footnoteRef/>
      </w:r>
      <w:r>
        <w:t xml:space="preserve"> Q100</w:t>
      </w:r>
    </w:p>
  </w:footnote>
  <w:footnote w:id="158">
    <w:p w14:paraId="5B09DEA1" w14:textId="77777777" w:rsidR="00706E88" w:rsidRDefault="00706E88">
      <w:pPr>
        <w:pStyle w:val="FootnoteText"/>
      </w:pPr>
      <w:r>
        <w:rPr>
          <w:rStyle w:val="FootnoteReference"/>
        </w:rPr>
        <w:footnoteRef/>
      </w:r>
      <w:r>
        <w:t xml:space="preserve"> See for example London Councils (BEC0018)</w:t>
      </w:r>
    </w:p>
  </w:footnote>
  <w:footnote w:id="159">
    <w:p w14:paraId="24AE9B16" w14:textId="77777777" w:rsidR="00706E88" w:rsidRDefault="00706E88">
      <w:pPr>
        <w:pStyle w:val="FootnoteText"/>
      </w:pPr>
      <w:r>
        <w:rPr>
          <w:rStyle w:val="FootnoteReference"/>
        </w:rPr>
        <w:footnoteRef/>
      </w:r>
      <w:r>
        <w:t xml:space="preserve"> Q139</w:t>
      </w:r>
    </w:p>
  </w:footnote>
  <w:footnote w:id="160">
    <w:p w14:paraId="5980513D" w14:textId="77777777" w:rsidR="00706E88" w:rsidRDefault="00706E88">
      <w:pPr>
        <w:pStyle w:val="FootnoteText"/>
      </w:pPr>
      <w:r>
        <w:rPr>
          <w:rStyle w:val="FootnoteReference"/>
        </w:rPr>
        <w:footnoteRef/>
      </w:r>
      <w:r>
        <w:t xml:space="preserve"> Q140</w:t>
      </w:r>
    </w:p>
  </w:footnote>
  <w:footnote w:id="161">
    <w:p w14:paraId="2AB97E7B" w14:textId="77777777" w:rsidR="00706E88" w:rsidRDefault="00706E88">
      <w:pPr>
        <w:pStyle w:val="FootnoteText"/>
      </w:pPr>
      <w:r>
        <w:rPr>
          <w:rStyle w:val="FootnoteReference"/>
        </w:rPr>
        <w:footnoteRef/>
      </w:r>
      <w:r>
        <w:t xml:space="preserve"> Q138</w:t>
      </w:r>
    </w:p>
  </w:footnote>
  <w:footnote w:id="162">
    <w:p w14:paraId="29360F0D" w14:textId="77777777" w:rsidR="00706E88" w:rsidRDefault="00706E88">
      <w:pPr>
        <w:pStyle w:val="FootnoteText"/>
      </w:pPr>
      <w:r>
        <w:rPr>
          <w:rStyle w:val="FootnoteReference"/>
        </w:rPr>
        <w:footnoteRef/>
      </w:r>
      <w:r>
        <w:t xml:space="preserve"> Q217</w:t>
      </w:r>
    </w:p>
  </w:footnote>
  <w:footnote w:id="163">
    <w:p w14:paraId="19EC1B73" w14:textId="77777777" w:rsidR="00706E88" w:rsidRDefault="00706E88">
      <w:pPr>
        <w:pStyle w:val="FootnoteText"/>
      </w:pPr>
      <w:r>
        <w:rPr>
          <w:rStyle w:val="FootnoteReference"/>
        </w:rPr>
        <w:footnoteRef/>
      </w:r>
      <w:r>
        <w:t xml:space="preserve"> </w:t>
      </w:r>
      <w:r w:rsidRPr="00151933">
        <w:rPr>
          <w:highlight w:val="yellow"/>
        </w:rPr>
        <w:t>Letter to the Chair from Justin Tomlinson MP, Minister for Family Support, Housing and Child Maintenance, 18 December 2018</w:t>
      </w:r>
    </w:p>
  </w:footnote>
  <w:footnote w:id="164">
    <w:p w14:paraId="11E5C753" w14:textId="77777777" w:rsidR="00706E88" w:rsidRDefault="00706E88">
      <w:pPr>
        <w:pStyle w:val="FootnoteText"/>
      </w:pPr>
      <w:r>
        <w:rPr>
          <w:rStyle w:val="FootnoteReference"/>
        </w:rPr>
        <w:footnoteRef/>
      </w:r>
      <w:r>
        <w:t xml:space="preserve"> Shelter Scotland (BEC0013)</w:t>
      </w:r>
    </w:p>
  </w:footnote>
  <w:footnote w:id="165">
    <w:p w14:paraId="371C65A3" w14:textId="77777777" w:rsidR="00706E88" w:rsidRDefault="00706E88">
      <w:pPr>
        <w:pStyle w:val="FootnoteText"/>
      </w:pPr>
      <w:r>
        <w:rPr>
          <w:rStyle w:val="FootnoteReference"/>
        </w:rPr>
        <w:footnoteRef/>
      </w:r>
      <w:r>
        <w:t xml:space="preserve"> See for example London Councils (BEC0018)</w:t>
      </w:r>
    </w:p>
  </w:footnote>
  <w:footnote w:id="166">
    <w:p w14:paraId="5773F7AE" w14:textId="77777777" w:rsidR="00706E88" w:rsidRDefault="00706E88">
      <w:pPr>
        <w:pStyle w:val="FootnoteText"/>
      </w:pPr>
      <w:r>
        <w:rPr>
          <w:rStyle w:val="FootnoteReference"/>
        </w:rPr>
        <w:footnoteRef/>
      </w:r>
      <w:r>
        <w:t xml:space="preserve"> Shelter Scotland (BEC0013)</w:t>
      </w:r>
    </w:p>
  </w:footnote>
  <w:footnote w:id="167">
    <w:p w14:paraId="16F1A368" w14:textId="77777777" w:rsidR="00706E88" w:rsidRDefault="00706E88">
      <w:pPr>
        <w:pStyle w:val="FootnoteText"/>
      </w:pPr>
      <w:r>
        <w:rPr>
          <w:rStyle w:val="FootnoteReference"/>
        </w:rPr>
        <w:footnoteRef/>
      </w:r>
      <w:r>
        <w:t xml:space="preserve"> London Councils </w:t>
      </w:r>
      <w:r w:rsidRPr="00F34B73">
        <w:t>(BEC0018)</w:t>
      </w:r>
    </w:p>
  </w:footnote>
  <w:footnote w:id="168">
    <w:p w14:paraId="4F169469" w14:textId="77777777" w:rsidR="00706E88" w:rsidRDefault="00706E88">
      <w:pPr>
        <w:pStyle w:val="FootnoteText"/>
      </w:pPr>
      <w:r>
        <w:rPr>
          <w:rStyle w:val="FootnoteReference"/>
        </w:rPr>
        <w:footnoteRef/>
      </w:r>
      <w:r>
        <w:t xml:space="preserve"> See for example London Councils (BEC0018), Stonewater (BEC0014)</w:t>
      </w:r>
    </w:p>
  </w:footnote>
  <w:footnote w:id="169">
    <w:p w14:paraId="304872DC" w14:textId="77777777" w:rsidR="00706E88" w:rsidRPr="00F34B73" w:rsidRDefault="00706E88" w:rsidP="00F34B73">
      <w:pPr>
        <w:pStyle w:val="FootnoteText"/>
      </w:pPr>
      <w:r>
        <w:rPr>
          <w:rStyle w:val="FootnoteReference"/>
        </w:rPr>
        <w:footnoteRef/>
      </w:r>
      <w:r>
        <w:t xml:space="preserve"> </w:t>
      </w:r>
      <w:r w:rsidRPr="00F34B73">
        <w:t>Brighton and Hove City Council (BEC0021)</w:t>
      </w:r>
    </w:p>
    <w:p w14:paraId="666B3F48" w14:textId="77777777" w:rsidR="00706E88" w:rsidRDefault="00706E88">
      <w:pPr>
        <w:pStyle w:val="FootnoteText"/>
      </w:pPr>
    </w:p>
  </w:footnote>
  <w:footnote w:id="170">
    <w:p w14:paraId="3B67936F" w14:textId="77777777" w:rsidR="00706E88" w:rsidRDefault="00706E88">
      <w:pPr>
        <w:pStyle w:val="FootnoteText"/>
      </w:pPr>
      <w:r>
        <w:rPr>
          <w:rStyle w:val="FootnoteReference"/>
        </w:rPr>
        <w:footnoteRef/>
      </w:r>
      <w:r>
        <w:t xml:space="preserve"> Department for Work and Pensions, </w:t>
      </w:r>
      <w:hyperlink r:id="rId41" w:history="1">
        <w:r w:rsidRPr="001165C8">
          <w:rPr>
            <w:rStyle w:val="Hyperlink"/>
          </w:rPr>
          <w:t>"Use of Discretionary Housing Payments—Analysis of end of year returns from Local Authorities"</w:t>
        </w:r>
      </w:hyperlink>
      <w:r>
        <w:t>, 12 July 2018</w:t>
      </w:r>
    </w:p>
  </w:footnote>
  <w:footnote w:id="171">
    <w:p w14:paraId="0F8FE0D8" w14:textId="77777777" w:rsidR="00706E88" w:rsidRDefault="00706E88">
      <w:pPr>
        <w:pStyle w:val="FootnoteText"/>
      </w:pPr>
      <w:r>
        <w:rPr>
          <w:rStyle w:val="FootnoteReference"/>
        </w:rPr>
        <w:footnoteRef/>
      </w:r>
      <w:r>
        <w:t xml:space="preserve"> Department for Work and Pensions (BEC0023)</w:t>
      </w:r>
    </w:p>
  </w:footnote>
  <w:footnote w:id="172">
    <w:p w14:paraId="1DB177F1" w14:textId="77777777" w:rsidR="00706E88" w:rsidRPr="00B95905" w:rsidRDefault="00706E88" w:rsidP="003714B6">
      <w:pPr>
        <w:pStyle w:val="FootnoteText"/>
        <w:rPr>
          <w:sz w:val="22"/>
        </w:rPr>
      </w:pPr>
      <w:r w:rsidRPr="00B95905">
        <w:rPr>
          <w:rStyle w:val="FootnoteReference"/>
          <w:sz w:val="22"/>
        </w:rPr>
        <w:footnoteRef/>
      </w:r>
      <w:r w:rsidRPr="00B95905">
        <w:rPr>
          <w:sz w:val="22"/>
        </w:rPr>
        <w:t xml:space="preserve"> </w:t>
      </w:r>
      <w:r>
        <w:t xml:space="preserve">Department for Work and Pensions, </w:t>
      </w:r>
      <w:hyperlink r:id="rId42" w:history="1">
        <w:r w:rsidRPr="001165C8">
          <w:rPr>
            <w:rStyle w:val="Hyperlink"/>
          </w:rPr>
          <w:t>"Use of Discretionary Housing Payments—Analysis of end of year returns from Local Authorities"</w:t>
        </w:r>
      </w:hyperlink>
      <w:r>
        <w:t>, 12 July 2018</w:t>
      </w:r>
    </w:p>
  </w:footnote>
  <w:footnote w:id="173">
    <w:p w14:paraId="3C53183E" w14:textId="77777777" w:rsidR="00706E88" w:rsidRDefault="00706E88">
      <w:pPr>
        <w:pStyle w:val="FootnoteText"/>
      </w:pPr>
      <w:r>
        <w:rPr>
          <w:rStyle w:val="FootnoteReference"/>
        </w:rPr>
        <w:footnoteRef/>
      </w:r>
      <w:r>
        <w:t xml:space="preserve"> Q110</w:t>
      </w:r>
    </w:p>
  </w:footnote>
  <w:footnote w:id="174">
    <w:p w14:paraId="5AD5C522" w14:textId="77777777" w:rsidR="00706E88" w:rsidRDefault="00706E88">
      <w:pPr>
        <w:pStyle w:val="FootnoteText"/>
      </w:pPr>
      <w:r>
        <w:rPr>
          <w:rStyle w:val="FootnoteReference"/>
        </w:rPr>
        <w:footnoteRef/>
      </w:r>
      <w:r>
        <w:t xml:space="preserve"> Cambridge Council (BEC0034)</w:t>
      </w:r>
      <w:r>
        <w:tab/>
      </w:r>
    </w:p>
  </w:footnote>
  <w:footnote w:id="175">
    <w:p w14:paraId="55F8958C" w14:textId="77777777" w:rsidR="00706E88" w:rsidRDefault="00706E88">
      <w:pPr>
        <w:pStyle w:val="FootnoteText"/>
      </w:pPr>
      <w:r>
        <w:rPr>
          <w:rStyle w:val="FootnoteReference"/>
        </w:rPr>
        <w:footnoteRef/>
      </w:r>
      <w:r>
        <w:t xml:space="preserve"> London Councils (BEC0018)</w:t>
      </w:r>
    </w:p>
  </w:footnote>
  <w:footnote w:id="176">
    <w:p w14:paraId="3C8E00CA" w14:textId="77777777" w:rsidR="00706E88" w:rsidRDefault="00706E88">
      <w:pPr>
        <w:pStyle w:val="FootnoteText"/>
      </w:pPr>
      <w:r>
        <w:rPr>
          <w:rStyle w:val="FootnoteReference"/>
        </w:rPr>
        <w:footnoteRef/>
      </w:r>
      <w:r>
        <w:t xml:space="preserve"> The Local Government Association (BEC0026)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15C1C" w14:textId="77777777" w:rsidR="00706E88" w:rsidRDefault="00706E88" w:rsidP="004E6379">
    <w:pPr>
      <w:pStyle w:val="Header"/>
    </w:pPr>
    <w:r>
      <w:rPr>
        <w:noProof/>
        <w:lang w:eastAsia="en-GB"/>
      </w:rPr>
      <mc:AlternateContent>
        <mc:Choice Requires="wps">
          <w:drawing>
            <wp:anchor distT="0" distB="0" distL="114300" distR="114300" simplePos="0" relativeHeight="251658240" behindDoc="1" locked="1" layoutInCell="0" allowOverlap="1" wp14:anchorId="05B511FC" wp14:editId="0E7FA599">
              <wp:simplePos x="0" y="0"/>
              <wp:positionH relativeFrom="page">
                <wp:posOffset>493395</wp:posOffset>
              </wp:positionH>
              <wp:positionV relativeFrom="page">
                <wp:posOffset>5454650</wp:posOffset>
              </wp:positionV>
              <wp:extent cx="6971030" cy="774065"/>
              <wp:effectExtent l="0" t="0" r="0" b="0"/>
              <wp:wrapNone/>
              <wp:docPr id="8" name="WordArt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971030" cy="7740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C926873" w14:textId="77777777" w:rsidR="00706E88" w:rsidRDefault="00706E88" w:rsidP="00620081">
                          <w:pPr>
                            <w:jc w:val="center"/>
                          </w:pPr>
                          <w:r w:rsidRPr="006312E8">
                            <w:rPr>
                              <w:rFonts w:ascii="Plantin" w:hAnsi="Plantin"/>
                              <w:color w:val="FFFFFF"/>
                              <w:sz w:val="2"/>
                              <w:szCs w:val="2"/>
                            </w:rPr>
                            <w:t>CONFIDENTIAL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5B511FC" id="_x0000_t202" coordsize="21600,21600" o:spt="202" path="m,l,21600r21600,l21600,xe">
              <v:stroke joinstyle="miter"/>
              <v:path gradientshapeok="t" o:connecttype="rect"/>
            </v:shapetype>
            <v:shape id="WordArt 18" o:spid="_x0000_s1026" type="#_x0000_t202" style="position:absolute;margin-left:38.85pt;margin-top:429.5pt;width:548.9pt;height:60.95pt;rotation:-45;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" o:allowincell="f" filled="f" stroked="f">
              <v:stroke joinstyle="round"/>
              <o:lock v:ext="edit" shapetype="t"/>
              <v:textbox style="mso-fit-shape-to-text:t">
                <w:txbxContent>
                  <w:p w14:paraId="5C926873" w14:textId="77777777" w:rsidR="00706E88" w:rsidRDefault="00706E88" w:rsidP="00620081">
                    <w:pPr>
                      <w:jc w:val="center"/>
                    </w:pPr>
                    <w:r w:rsidRPr="006312E8">
                      <w:rPr>
                        <w:rFonts w:ascii="Plantin" w:hAnsi="Plantin"/>
                        <w:color w:val="FFFFFF"/>
                        <w:sz w:val="2"/>
                        <w:szCs w:val="2"/>
                      </w:rPr>
                      <w:t>CONFIDENTIAL</w:t>
                    </w:r>
                  </w:p>
                </w:txbxContent>
              </v:textbox>
              <w10:wrap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1203D" w14:textId="77777777" w:rsidR="00706E88" w:rsidRPr="00F90316" w:rsidRDefault="00706E88" w:rsidP="004E6379">
    <w:pPr>
      <w:pStyle w:val="Header"/>
    </w:pPr>
    <w:r>
      <w:tab/>
    </w:r>
    <w:r w:rsidRPr="00F90316">
      <w:t>In confidence – for committee use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63DE2" w14:textId="77777777" w:rsidR="00706E88" w:rsidRDefault="00706E88" w:rsidP="004E6379">
    <w:pPr>
      <w:pStyle w:val="Header"/>
    </w:pPr>
    <w:r>
      <w:tab/>
    </w:r>
    <w:r w:rsidRPr="00F90316">
      <w:t>In co</w:t>
    </w:r>
    <w:r>
      <w:t>nfidence – for committee use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D5C09" w14:textId="77777777" w:rsidR="00706E88" w:rsidRPr="004E6379" w:rsidRDefault="00706E88" w:rsidP="004E6379">
    <w:pPr>
      <w:pStyle w:val="Header"/>
    </w:pPr>
    <w:r>
      <w:tab/>
    </w:r>
    <w:r w:rsidRPr="00F90316">
      <w:t>In confidence – for committee use</w:t>
    </w:r>
    <w:r>
      <w:tab/>
    </w:r>
    <w:r w:rsidRPr="00F90316">
      <w:rPr>
        <w:szCs w:val="16"/>
      </w:rPr>
      <w:fldChar w:fldCharType="begin"/>
    </w:r>
    <w:r w:rsidRPr="00F90316">
      <w:rPr>
        <w:szCs w:val="16"/>
      </w:rPr>
      <w:instrText xml:space="preserve"> PAGE </w:instrText>
    </w:r>
    <w:r w:rsidRPr="00F90316">
      <w:rPr>
        <w:szCs w:val="16"/>
      </w:rPr>
      <w:fldChar w:fldCharType="separate"/>
    </w:r>
    <w:r>
      <w:rPr>
        <w:noProof/>
        <w:szCs w:val="16"/>
      </w:rPr>
      <w:t>6</w:t>
    </w:r>
    <w:r w:rsidRPr="00F90316">
      <w:rPr>
        <w:szCs w:val="16"/>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34127" w14:textId="77777777" w:rsidR="00706E88" w:rsidRPr="004E6379" w:rsidRDefault="00706E88" w:rsidP="004E6379">
    <w:pPr>
      <w:pStyle w:val="Header"/>
    </w:pPr>
    <w:r>
      <w:tab/>
    </w:r>
    <w:r w:rsidRPr="00F90316">
      <w:t>In confidence – for committee use</w:t>
    </w:r>
    <w:r>
      <w:tab/>
    </w:r>
    <w:r w:rsidRPr="00F90316">
      <w:rPr>
        <w:szCs w:val="16"/>
      </w:rPr>
      <w:fldChar w:fldCharType="begin"/>
    </w:r>
    <w:r w:rsidRPr="00F90316">
      <w:rPr>
        <w:szCs w:val="16"/>
      </w:rPr>
      <w:instrText xml:space="preserve"> PAGE </w:instrText>
    </w:r>
    <w:r w:rsidRPr="00F90316">
      <w:rPr>
        <w:szCs w:val="16"/>
      </w:rPr>
      <w:fldChar w:fldCharType="separate"/>
    </w:r>
    <w:r>
      <w:rPr>
        <w:noProof/>
        <w:szCs w:val="16"/>
      </w:rPr>
      <w:t>4</w:t>
    </w:r>
    <w:r w:rsidRPr="00F90316">
      <w:rPr>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87CA41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C5A22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156281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D4C73D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672807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080FFE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7903F1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348897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372A5F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C1EBDA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563C2B"/>
    <w:multiLevelType w:val="multilevel"/>
    <w:tmpl w:val="39B091C8"/>
    <w:lvl w:ilvl="0">
      <w:start w:val="1"/>
      <w:numFmt w:val="decimal"/>
      <w:pStyle w:val="AppendixHeading1"/>
      <w:suff w:val="space"/>
      <w:lvlText w:val="Appendix %1:"/>
      <w:lvlJc w:val="left"/>
      <w:pPr>
        <w:ind w:left="0" w:firstLine="0"/>
      </w:pPr>
      <w:rPr>
        <w:rFonts w:hint="default"/>
        <w:b w:val="0"/>
        <w:i w:val="0"/>
        <w:u w:color="0052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0581390"/>
    <w:multiLevelType w:val="multilevel"/>
    <w:tmpl w:val="3DEAB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875ACA"/>
    <w:multiLevelType w:val="multilevel"/>
    <w:tmpl w:val="9340A66E"/>
    <w:name w:val="Para List"/>
    <w:lvl w:ilvl="0">
      <w:start w:val="1"/>
      <w:numFmt w:val="decimal"/>
      <w:suff w:val="space"/>
      <w:lvlText w:val="%1. "/>
      <w:lvlJc w:val="left"/>
      <w:pPr>
        <w:ind w:left="0" w:firstLine="0"/>
      </w:pPr>
      <w:rPr>
        <w:rFonts w:hint="default"/>
      </w:rPr>
    </w:lvl>
    <w:lvl w:ilvl="1">
      <w:start w:val="1"/>
      <w:numFmt w:val="lowerLetter"/>
      <w:lvlText w:val="%2)"/>
      <w:lvlJc w:val="left"/>
      <w:pPr>
        <w:ind w:left="680" w:hanging="340"/>
      </w:pPr>
      <w:rPr>
        <w:rFonts w:asciiTheme="minorHAnsi" w:hAnsiTheme="minorHAnsi" w:hint="default"/>
      </w:rPr>
    </w:lvl>
    <w:lvl w:ilvl="2">
      <w:start w:val="1"/>
      <w:numFmt w:val="lowerRoman"/>
      <w:lvlText w:val="%3)"/>
      <w:lvlJc w:val="left"/>
      <w:pPr>
        <w:ind w:left="1021" w:hanging="341"/>
      </w:pPr>
      <w:rPr>
        <w:rFonts w:asciiTheme="minorHAnsi" w:hAnsiTheme="minorHAnsi" w:hint="default"/>
      </w:rPr>
    </w:lvl>
    <w:lvl w:ilvl="3">
      <w:start w:val="1"/>
      <w:numFmt w:val="decimal"/>
      <w:lvlText w:val="(%4)"/>
      <w:lvlJc w:val="left"/>
      <w:pPr>
        <w:ind w:left="680" w:hanging="340"/>
      </w:pPr>
      <w:rPr>
        <w:rFonts w:hint="default"/>
        <w:color w:val="auto"/>
        <w:sz w:val="23"/>
      </w:rPr>
    </w:lvl>
    <w:lvl w:ilvl="4">
      <w:start w:val="1"/>
      <w:numFmt w:val="bullet"/>
      <w:lvlText w:val=""/>
      <w:lvlJc w:val="left"/>
      <w:pPr>
        <w:ind w:left="680" w:hanging="340"/>
      </w:pPr>
      <w:rPr>
        <w:rFonts w:ascii="Symbol" w:hAnsi="Symbol" w:hint="default"/>
        <w:color w:val="auto"/>
        <w:sz w:val="20"/>
      </w:rPr>
    </w:lvl>
    <w:lvl w:ilvl="5">
      <w:start w:val="1"/>
      <w:numFmt w:val="bullet"/>
      <w:lvlText w:val=""/>
      <w:lvlJc w:val="left"/>
      <w:pPr>
        <w:ind w:left="1021" w:hanging="341"/>
      </w:pPr>
      <w:rPr>
        <w:rFonts w:ascii="Symbol" w:hAnsi="Symbol"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12E5E58"/>
    <w:multiLevelType w:val="multilevel"/>
    <w:tmpl w:val="20E6A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2A1A0D"/>
    <w:multiLevelType w:val="multilevel"/>
    <w:tmpl w:val="34F8797E"/>
    <w:name w:val="App Para Unnumbered"/>
    <w:lvl w:ilvl="0">
      <w:start w:val="1"/>
      <w:numFmt w:val="bullet"/>
      <w:lvlText w:val=""/>
      <w:lvlJc w:val="left"/>
      <w:pPr>
        <w:ind w:left="340" w:firstLine="0"/>
      </w:pPr>
      <w:rPr>
        <w:rFonts w:ascii="Symbol" w:hAnsi="Symbol" w:hint="default"/>
        <w:color w:val="auto"/>
      </w:rPr>
    </w:lvl>
    <w:lvl w:ilvl="1">
      <w:start w:val="1"/>
      <w:numFmt w:val="lowerLetter"/>
      <w:lvlText w:val="%2)"/>
      <w:lvlJc w:val="left"/>
      <w:pPr>
        <w:ind w:left="680" w:firstLine="0"/>
      </w:pPr>
      <w:rPr>
        <w:rFonts w:hint="default"/>
      </w:rPr>
    </w:lvl>
    <w:lvl w:ilvl="2">
      <w:start w:val="1"/>
      <w:numFmt w:val="lowerRoman"/>
      <w:lvlText w:val="%3)"/>
      <w:lvlJc w:val="left"/>
      <w:pPr>
        <w:ind w:left="1020" w:firstLine="0"/>
      </w:pPr>
      <w:rPr>
        <w:rFonts w:hint="default"/>
      </w:rPr>
    </w:lvl>
    <w:lvl w:ilvl="3">
      <w:start w:val="1"/>
      <w:numFmt w:val="decimal"/>
      <w:lvlText w:val="(%4)"/>
      <w:lvlJc w:val="left"/>
      <w:pPr>
        <w:ind w:left="1360" w:firstLine="0"/>
      </w:pPr>
      <w:rPr>
        <w:rFonts w:hint="default"/>
        <w:color w:val="auto"/>
        <w:sz w:val="23"/>
      </w:rPr>
    </w:lvl>
    <w:lvl w:ilvl="4">
      <w:start w:val="1"/>
      <w:numFmt w:val="lowerLetter"/>
      <w:lvlText w:val="(%5)"/>
      <w:lvlJc w:val="left"/>
      <w:pPr>
        <w:ind w:left="1700" w:firstLine="0"/>
      </w:pPr>
      <w:rPr>
        <w:rFonts w:hint="default"/>
        <w:color w:val="auto"/>
        <w:sz w:val="20"/>
      </w:rPr>
    </w:lvl>
    <w:lvl w:ilvl="5">
      <w:start w:val="1"/>
      <w:numFmt w:val="lowerRoman"/>
      <w:lvlText w:val="(%6)"/>
      <w:lvlJc w:val="left"/>
      <w:pPr>
        <w:ind w:left="2040" w:firstLine="0"/>
      </w:pPr>
      <w:rPr>
        <w:rFonts w:hint="default"/>
        <w:color w:val="auto"/>
      </w:rPr>
    </w:lvl>
    <w:lvl w:ilvl="6">
      <w:start w:val="1"/>
      <w:numFmt w:val="decimal"/>
      <w:lvlText w:val="%7."/>
      <w:lvlJc w:val="left"/>
      <w:pPr>
        <w:ind w:left="2380" w:firstLine="0"/>
      </w:pPr>
      <w:rPr>
        <w:rFonts w:hint="default"/>
      </w:rPr>
    </w:lvl>
    <w:lvl w:ilvl="7">
      <w:start w:val="1"/>
      <w:numFmt w:val="lowerLetter"/>
      <w:lvlText w:val="%8."/>
      <w:lvlJc w:val="left"/>
      <w:pPr>
        <w:ind w:left="2720" w:firstLine="0"/>
      </w:pPr>
      <w:rPr>
        <w:rFonts w:hint="default"/>
      </w:rPr>
    </w:lvl>
    <w:lvl w:ilvl="8">
      <w:start w:val="1"/>
      <w:numFmt w:val="lowerRoman"/>
      <w:lvlText w:val="%9."/>
      <w:lvlJc w:val="left"/>
      <w:pPr>
        <w:ind w:left="3060" w:firstLine="0"/>
      </w:pPr>
      <w:rPr>
        <w:rFonts w:hint="default"/>
      </w:rPr>
    </w:lvl>
  </w:abstractNum>
  <w:abstractNum w:abstractNumId="15" w15:restartNumberingAfterBreak="0">
    <w:nsid w:val="4D8814D6"/>
    <w:multiLevelType w:val="multilevel"/>
    <w:tmpl w:val="87CC067A"/>
    <w:lvl w:ilvl="0">
      <w:start w:val="1"/>
      <w:numFmt w:val="decimal"/>
      <w:pStyle w:val="ChapterHeading1"/>
      <w:suff w:val="space"/>
      <w:lvlText w:val="Chapter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DA14D55"/>
    <w:multiLevelType w:val="multilevel"/>
    <w:tmpl w:val="0E287822"/>
    <w:name w:val="Box Para List"/>
    <w:lvl w:ilvl="0">
      <w:start w:val="1"/>
      <w:numFmt w:val="decimal"/>
      <w:pStyle w:val="BoxPara1"/>
      <w:lvlText w:val="%1."/>
      <w:lvlJc w:val="left"/>
      <w:pPr>
        <w:tabs>
          <w:tab w:val="num" w:pos="340"/>
        </w:tabs>
        <w:ind w:left="340" w:hanging="340"/>
      </w:pPr>
      <w:rPr>
        <w:rFonts w:hint="default"/>
      </w:rPr>
    </w:lvl>
    <w:lvl w:ilvl="1">
      <w:start w:val="1"/>
      <w:numFmt w:val="lowerLetter"/>
      <w:pStyle w:val="BoxPara2"/>
      <w:lvlText w:val="%2)"/>
      <w:lvlJc w:val="left"/>
      <w:pPr>
        <w:ind w:left="680" w:hanging="340"/>
      </w:pPr>
      <w:rPr>
        <w:rFonts w:asciiTheme="minorHAnsi" w:hAnsiTheme="minorHAnsi" w:hint="default"/>
      </w:rPr>
    </w:lvl>
    <w:lvl w:ilvl="2">
      <w:start w:val="1"/>
      <w:numFmt w:val="lowerRoman"/>
      <w:pStyle w:val="BoxPara3"/>
      <w:lvlText w:val="%3)"/>
      <w:lvlJc w:val="left"/>
      <w:pPr>
        <w:ind w:left="1021" w:hanging="341"/>
      </w:pPr>
      <w:rPr>
        <w:rFonts w:asciiTheme="minorHAnsi" w:hAnsiTheme="minorHAnsi" w:hint="default"/>
      </w:rPr>
    </w:lvl>
    <w:lvl w:ilvl="3">
      <w:start w:val="1"/>
      <w:numFmt w:val="bullet"/>
      <w:pStyle w:val="BoxUnorderedList1"/>
      <w:lvlText w:val=""/>
      <w:lvlJc w:val="left"/>
      <w:pPr>
        <w:ind w:left="680" w:hanging="340"/>
      </w:pPr>
      <w:rPr>
        <w:rFonts w:ascii="Symbol" w:hAnsi="Symbol" w:hint="default"/>
        <w:color w:val="auto"/>
        <w:sz w:val="23"/>
      </w:rPr>
    </w:lvl>
    <w:lvl w:ilvl="4">
      <w:start w:val="1"/>
      <w:numFmt w:val="bullet"/>
      <w:pStyle w:val="BoxUnorderedList2"/>
      <w:lvlText w:val="—"/>
      <w:lvlJc w:val="left"/>
      <w:pPr>
        <w:ind w:left="1021" w:hanging="341"/>
      </w:pPr>
      <w:rPr>
        <w:rFonts w:ascii="Times New Roman" w:hAnsi="Times New Roman" w:cs="Times New Roman" w:hint="default"/>
        <w:color w:val="auto"/>
        <w:sz w:val="20"/>
      </w:rPr>
    </w:lvl>
    <w:lvl w:ilvl="5">
      <w:start w:val="1"/>
      <w:numFmt w:val="decimal"/>
      <w:pStyle w:val="BoxOrderedList1"/>
      <w:lvlText w:val="(%6)"/>
      <w:lvlJc w:val="left"/>
      <w:pPr>
        <w:tabs>
          <w:tab w:val="num" w:pos="680"/>
        </w:tabs>
        <w:ind w:left="1021" w:hanging="341"/>
      </w:pPr>
      <w:rPr>
        <w:rFonts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C7B1BBF"/>
    <w:multiLevelType w:val="multilevel"/>
    <w:tmpl w:val="0DD29F6C"/>
    <w:name w:val="App Para List"/>
    <w:lvl w:ilvl="0">
      <w:start w:val="1"/>
      <w:numFmt w:val="decimal"/>
      <w:pStyle w:val="AppendixPara1"/>
      <w:lvlText w:val="%1."/>
      <w:lvlJc w:val="left"/>
      <w:pPr>
        <w:tabs>
          <w:tab w:val="num" w:pos="578"/>
        </w:tabs>
        <w:ind w:left="578" w:hanging="578"/>
      </w:pPr>
      <w:rPr>
        <w:rFonts w:hint="default"/>
      </w:rPr>
    </w:lvl>
    <w:lvl w:ilvl="1">
      <w:start w:val="1"/>
      <w:numFmt w:val="lowerLetter"/>
      <w:pStyle w:val="AppendixPara2"/>
      <w:lvlText w:val="%2)"/>
      <w:lvlJc w:val="left"/>
      <w:pPr>
        <w:ind w:left="1032" w:hanging="454"/>
      </w:pPr>
      <w:rPr>
        <w:rFonts w:hint="default"/>
      </w:rPr>
    </w:lvl>
    <w:lvl w:ilvl="2">
      <w:start w:val="1"/>
      <w:numFmt w:val="lowerRoman"/>
      <w:pStyle w:val="AppendixPara3"/>
      <w:lvlText w:val="%3)"/>
      <w:lvlJc w:val="left"/>
      <w:pPr>
        <w:ind w:left="1486" w:hanging="454"/>
      </w:pPr>
      <w:rPr>
        <w:rFonts w:hint="default"/>
      </w:rPr>
    </w:lvl>
    <w:lvl w:ilvl="3">
      <w:start w:val="1"/>
      <w:numFmt w:val="bullet"/>
      <w:pStyle w:val="AppendixUnorderedList1"/>
      <w:lvlText w:val=""/>
      <w:lvlJc w:val="left"/>
      <w:pPr>
        <w:ind w:left="1032" w:hanging="454"/>
      </w:pPr>
      <w:rPr>
        <w:rFonts w:ascii="Symbol" w:hAnsi="Symbol" w:hint="default"/>
        <w:color w:val="auto"/>
        <w:sz w:val="23"/>
      </w:rPr>
    </w:lvl>
    <w:lvl w:ilvl="4">
      <w:start w:val="1"/>
      <w:numFmt w:val="bullet"/>
      <w:pStyle w:val="AppendixUnorderedList2"/>
      <w:lvlText w:val="—"/>
      <w:lvlJc w:val="left"/>
      <w:pPr>
        <w:ind w:left="1486" w:hanging="454"/>
      </w:pPr>
      <w:rPr>
        <w:rFonts w:ascii="Times New Roman" w:hAnsi="Times New Roman" w:cs="Times New Roman" w:hint="default"/>
        <w:color w:val="auto"/>
        <w:sz w:val="20"/>
      </w:rPr>
    </w:lvl>
    <w:lvl w:ilvl="5">
      <w:start w:val="1"/>
      <w:numFmt w:val="decimal"/>
      <w:pStyle w:val="AppendixOrderedList1"/>
      <w:lvlText w:val="(%6)"/>
      <w:lvlJc w:val="left"/>
      <w:pPr>
        <w:ind w:left="1032" w:hanging="454"/>
      </w:pPr>
      <w:rPr>
        <w:rFonts w:hint="default"/>
        <w:color w:val="auto"/>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18" w15:restartNumberingAfterBreak="0">
    <w:nsid w:val="637976ED"/>
    <w:multiLevelType w:val="multilevel"/>
    <w:tmpl w:val="DE168AA2"/>
    <w:name w:val="Para List2"/>
    <w:lvl w:ilvl="0">
      <w:start w:val="1"/>
      <w:numFmt w:val="decimal"/>
      <w:pStyle w:val="Para1"/>
      <w:lvlText w:val="%1."/>
      <w:lvlJc w:val="left"/>
      <w:pPr>
        <w:ind w:left="8233" w:hanging="578"/>
      </w:pPr>
      <w:rPr>
        <w:rFonts w:hint="default"/>
      </w:rPr>
    </w:lvl>
    <w:lvl w:ilvl="1">
      <w:start w:val="1"/>
      <w:numFmt w:val="lowerLetter"/>
      <w:pStyle w:val="Para2"/>
      <w:lvlText w:val="%2)"/>
      <w:lvlJc w:val="left"/>
      <w:pPr>
        <w:ind w:left="1021" w:hanging="454"/>
      </w:pPr>
      <w:rPr>
        <w:rFonts w:asciiTheme="minorHAnsi" w:hAnsiTheme="minorHAnsi" w:hint="default"/>
      </w:rPr>
    </w:lvl>
    <w:lvl w:ilvl="2">
      <w:start w:val="1"/>
      <w:numFmt w:val="lowerRoman"/>
      <w:pStyle w:val="Para3"/>
      <w:lvlText w:val="%3)"/>
      <w:lvlJc w:val="left"/>
      <w:pPr>
        <w:tabs>
          <w:tab w:val="num" w:pos="1032"/>
        </w:tabs>
        <w:ind w:left="1486" w:hanging="454"/>
      </w:pPr>
      <w:rPr>
        <w:rFonts w:asciiTheme="minorHAnsi" w:hAnsiTheme="minorHAnsi" w:hint="default"/>
      </w:rPr>
    </w:lvl>
    <w:lvl w:ilvl="3">
      <w:start w:val="1"/>
      <w:numFmt w:val="bullet"/>
      <w:pStyle w:val="UnorderedList1"/>
      <w:lvlText w:val=""/>
      <w:lvlJc w:val="left"/>
      <w:pPr>
        <w:ind w:left="1032" w:hanging="454"/>
      </w:pPr>
      <w:rPr>
        <w:rFonts w:ascii="Symbol" w:hAnsi="Symbol" w:hint="default"/>
        <w:color w:val="auto"/>
        <w:sz w:val="23"/>
      </w:rPr>
    </w:lvl>
    <w:lvl w:ilvl="4">
      <w:start w:val="1"/>
      <w:numFmt w:val="bullet"/>
      <w:pStyle w:val="UnorderedList2"/>
      <w:lvlText w:val="—"/>
      <w:lvlJc w:val="left"/>
      <w:pPr>
        <w:ind w:left="1486" w:hanging="454"/>
      </w:pPr>
      <w:rPr>
        <w:rFonts w:ascii="Times New Roman" w:hAnsi="Times New Roman" w:cs="Times New Roman" w:hint="default"/>
        <w:color w:val="auto"/>
        <w:sz w:val="20"/>
      </w:rPr>
    </w:lvl>
    <w:lvl w:ilvl="5">
      <w:start w:val="1"/>
      <w:numFmt w:val="decimal"/>
      <w:pStyle w:val="OrderedList1"/>
      <w:lvlText w:val="(%6)"/>
      <w:lvlJc w:val="left"/>
      <w:pPr>
        <w:ind w:left="1032" w:hanging="454"/>
      </w:pPr>
      <w:rPr>
        <w:rFonts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5820268"/>
    <w:multiLevelType w:val="multilevel"/>
    <w:tmpl w:val="76F031F2"/>
    <w:lvl w:ilvl="0">
      <w:start w:val="1"/>
      <w:numFmt w:val="decimal"/>
      <w:pStyle w:val="CRPara1"/>
      <w:lvlText w:val="%1."/>
      <w:lvlJc w:val="left"/>
      <w:pPr>
        <w:tabs>
          <w:tab w:val="num" w:pos="567"/>
        </w:tabs>
        <w:ind w:left="567" w:hanging="567"/>
      </w:pPr>
      <w:rPr>
        <w:rFonts w:ascii="Cambria" w:hAnsi="Cambria" w:hint="default"/>
        <w:b w:val="0"/>
        <w:i w:val="0"/>
        <w:color w:val="auto"/>
      </w:rPr>
    </w:lvl>
    <w:lvl w:ilvl="1">
      <w:start w:val="1"/>
      <w:numFmt w:val="none"/>
      <w:lvlText w:val=""/>
      <w:lvlJc w:val="left"/>
      <w:pPr>
        <w:tabs>
          <w:tab w:val="num" w:pos="720"/>
        </w:tabs>
        <w:ind w:left="720" w:hanging="360"/>
      </w:pPr>
      <w:rPr>
        <w:rFonts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num w:numId="1">
    <w:abstractNumId w:val="19"/>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7"/>
  </w:num>
  <w:num w:numId="14">
    <w:abstractNumId w:val="16"/>
  </w:num>
  <w:num w:numId="15">
    <w:abstractNumId w:val="15"/>
  </w:num>
  <w:num w:numId="16">
    <w:abstractNumId w:val="18"/>
  </w:num>
  <w:num w:numId="17">
    <w:abstractNumId w:val="11"/>
    <w:lvlOverride w:ilvl="0">
      <w:startOverride w:val="1"/>
    </w:lvlOverride>
  </w:num>
  <w:num w:numId="18">
    <w:abstractNumId w:val="13"/>
    <w:lvlOverride w:ilvl="0">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defaultTabStop w:val="578"/>
  <w:drawingGridHorizontalSpacing w:val="12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9DF"/>
    <w:rsid w:val="00000019"/>
    <w:rsid w:val="0000020A"/>
    <w:rsid w:val="00000E0D"/>
    <w:rsid w:val="00001512"/>
    <w:rsid w:val="00001676"/>
    <w:rsid w:val="000018C9"/>
    <w:rsid w:val="000029BC"/>
    <w:rsid w:val="00002E8C"/>
    <w:rsid w:val="000034C2"/>
    <w:rsid w:val="00003E87"/>
    <w:rsid w:val="0000418C"/>
    <w:rsid w:val="00004378"/>
    <w:rsid w:val="00004F5A"/>
    <w:rsid w:val="00005048"/>
    <w:rsid w:val="000055FC"/>
    <w:rsid w:val="00005630"/>
    <w:rsid w:val="00005656"/>
    <w:rsid w:val="000067CF"/>
    <w:rsid w:val="00006C39"/>
    <w:rsid w:val="0000741D"/>
    <w:rsid w:val="00007609"/>
    <w:rsid w:val="00007704"/>
    <w:rsid w:val="00007819"/>
    <w:rsid w:val="000104BF"/>
    <w:rsid w:val="00010B04"/>
    <w:rsid w:val="00010FE8"/>
    <w:rsid w:val="00011196"/>
    <w:rsid w:val="000116C0"/>
    <w:rsid w:val="000118C5"/>
    <w:rsid w:val="00011E61"/>
    <w:rsid w:val="000128FD"/>
    <w:rsid w:val="00012B38"/>
    <w:rsid w:val="00012C3B"/>
    <w:rsid w:val="00012FCF"/>
    <w:rsid w:val="000133C5"/>
    <w:rsid w:val="00013652"/>
    <w:rsid w:val="0001382A"/>
    <w:rsid w:val="00013883"/>
    <w:rsid w:val="000139AC"/>
    <w:rsid w:val="00013EB4"/>
    <w:rsid w:val="00013F2C"/>
    <w:rsid w:val="00014052"/>
    <w:rsid w:val="000141B8"/>
    <w:rsid w:val="000141F2"/>
    <w:rsid w:val="00014515"/>
    <w:rsid w:val="00015A48"/>
    <w:rsid w:val="00015A49"/>
    <w:rsid w:val="000167A6"/>
    <w:rsid w:val="000171B0"/>
    <w:rsid w:val="000176EF"/>
    <w:rsid w:val="00017B83"/>
    <w:rsid w:val="00017F38"/>
    <w:rsid w:val="00017F7D"/>
    <w:rsid w:val="0002050A"/>
    <w:rsid w:val="00020AB2"/>
    <w:rsid w:val="000211BB"/>
    <w:rsid w:val="00021C70"/>
    <w:rsid w:val="00021E66"/>
    <w:rsid w:val="000229D8"/>
    <w:rsid w:val="000229DD"/>
    <w:rsid w:val="000229E2"/>
    <w:rsid w:val="00022A5F"/>
    <w:rsid w:val="00022B11"/>
    <w:rsid w:val="00022E43"/>
    <w:rsid w:val="00022F9C"/>
    <w:rsid w:val="00023E1D"/>
    <w:rsid w:val="00024AE3"/>
    <w:rsid w:val="00024C8C"/>
    <w:rsid w:val="00024FBA"/>
    <w:rsid w:val="00025711"/>
    <w:rsid w:val="0002576B"/>
    <w:rsid w:val="000257EE"/>
    <w:rsid w:val="00026014"/>
    <w:rsid w:val="00026029"/>
    <w:rsid w:val="00026CC9"/>
    <w:rsid w:val="00026D3D"/>
    <w:rsid w:val="00026F5A"/>
    <w:rsid w:val="00027751"/>
    <w:rsid w:val="00027BC0"/>
    <w:rsid w:val="0003039A"/>
    <w:rsid w:val="00030528"/>
    <w:rsid w:val="00030733"/>
    <w:rsid w:val="00030899"/>
    <w:rsid w:val="000314E3"/>
    <w:rsid w:val="0003188C"/>
    <w:rsid w:val="00031D9C"/>
    <w:rsid w:val="00032866"/>
    <w:rsid w:val="0003326F"/>
    <w:rsid w:val="000334AE"/>
    <w:rsid w:val="00033703"/>
    <w:rsid w:val="000337C4"/>
    <w:rsid w:val="00033AE3"/>
    <w:rsid w:val="000341D2"/>
    <w:rsid w:val="00034F53"/>
    <w:rsid w:val="00035012"/>
    <w:rsid w:val="00035BAB"/>
    <w:rsid w:val="00035D55"/>
    <w:rsid w:val="00035EA0"/>
    <w:rsid w:val="00036264"/>
    <w:rsid w:val="000362EC"/>
    <w:rsid w:val="000363BB"/>
    <w:rsid w:val="00036484"/>
    <w:rsid w:val="00036503"/>
    <w:rsid w:val="00036753"/>
    <w:rsid w:val="00036760"/>
    <w:rsid w:val="000368EA"/>
    <w:rsid w:val="0003756B"/>
    <w:rsid w:val="00037FD7"/>
    <w:rsid w:val="0004033A"/>
    <w:rsid w:val="0004059E"/>
    <w:rsid w:val="00041351"/>
    <w:rsid w:val="000413FD"/>
    <w:rsid w:val="000415CF"/>
    <w:rsid w:val="00041742"/>
    <w:rsid w:val="00041796"/>
    <w:rsid w:val="0004195C"/>
    <w:rsid w:val="0004196B"/>
    <w:rsid w:val="00041B9F"/>
    <w:rsid w:val="00041BD2"/>
    <w:rsid w:val="000425A7"/>
    <w:rsid w:val="000426E7"/>
    <w:rsid w:val="00042791"/>
    <w:rsid w:val="00042B13"/>
    <w:rsid w:val="00042C66"/>
    <w:rsid w:val="00042F7C"/>
    <w:rsid w:val="00043A7F"/>
    <w:rsid w:val="00043C53"/>
    <w:rsid w:val="0004407C"/>
    <w:rsid w:val="0004455E"/>
    <w:rsid w:val="00044F2B"/>
    <w:rsid w:val="00044F3B"/>
    <w:rsid w:val="00044F93"/>
    <w:rsid w:val="000453CB"/>
    <w:rsid w:val="000463F1"/>
    <w:rsid w:val="000468D7"/>
    <w:rsid w:val="00046B24"/>
    <w:rsid w:val="00046BA7"/>
    <w:rsid w:val="00046D8A"/>
    <w:rsid w:val="00046F60"/>
    <w:rsid w:val="0004713A"/>
    <w:rsid w:val="000475D7"/>
    <w:rsid w:val="00047ADA"/>
    <w:rsid w:val="00047C60"/>
    <w:rsid w:val="00047D71"/>
    <w:rsid w:val="00047DD9"/>
    <w:rsid w:val="00050226"/>
    <w:rsid w:val="00050A3D"/>
    <w:rsid w:val="00050DB1"/>
    <w:rsid w:val="00051364"/>
    <w:rsid w:val="00051D4A"/>
    <w:rsid w:val="00052347"/>
    <w:rsid w:val="000526AF"/>
    <w:rsid w:val="00053086"/>
    <w:rsid w:val="00053221"/>
    <w:rsid w:val="000533B5"/>
    <w:rsid w:val="0005350C"/>
    <w:rsid w:val="0005360C"/>
    <w:rsid w:val="00053723"/>
    <w:rsid w:val="00053EA0"/>
    <w:rsid w:val="000541C6"/>
    <w:rsid w:val="000542C4"/>
    <w:rsid w:val="000547DA"/>
    <w:rsid w:val="00054AFE"/>
    <w:rsid w:val="00055BF2"/>
    <w:rsid w:val="000562B1"/>
    <w:rsid w:val="00056322"/>
    <w:rsid w:val="000565C7"/>
    <w:rsid w:val="00056796"/>
    <w:rsid w:val="00056C57"/>
    <w:rsid w:val="000570FF"/>
    <w:rsid w:val="000572B6"/>
    <w:rsid w:val="000574A9"/>
    <w:rsid w:val="000574AA"/>
    <w:rsid w:val="00057702"/>
    <w:rsid w:val="00057789"/>
    <w:rsid w:val="00057820"/>
    <w:rsid w:val="00057A65"/>
    <w:rsid w:val="00057D34"/>
    <w:rsid w:val="00057DDA"/>
    <w:rsid w:val="00057E3F"/>
    <w:rsid w:val="000607BA"/>
    <w:rsid w:val="00061860"/>
    <w:rsid w:val="00061935"/>
    <w:rsid w:val="00061A7C"/>
    <w:rsid w:val="00062099"/>
    <w:rsid w:val="00062C0D"/>
    <w:rsid w:val="000636EB"/>
    <w:rsid w:val="00063998"/>
    <w:rsid w:val="00063FAD"/>
    <w:rsid w:val="0006427C"/>
    <w:rsid w:val="000646DA"/>
    <w:rsid w:val="00064E86"/>
    <w:rsid w:val="0006534C"/>
    <w:rsid w:val="0006591A"/>
    <w:rsid w:val="000662B0"/>
    <w:rsid w:val="00066AE4"/>
    <w:rsid w:val="00066B8F"/>
    <w:rsid w:val="000676DE"/>
    <w:rsid w:val="000678D0"/>
    <w:rsid w:val="00067E32"/>
    <w:rsid w:val="00070754"/>
    <w:rsid w:val="00070922"/>
    <w:rsid w:val="00070BAC"/>
    <w:rsid w:val="00070EF2"/>
    <w:rsid w:val="00071988"/>
    <w:rsid w:val="00071A6E"/>
    <w:rsid w:val="00071DFB"/>
    <w:rsid w:val="000721FC"/>
    <w:rsid w:val="00072538"/>
    <w:rsid w:val="00073102"/>
    <w:rsid w:val="00073341"/>
    <w:rsid w:val="00073355"/>
    <w:rsid w:val="0007356B"/>
    <w:rsid w:val="00074769"/>
    <w:rsid w:val="00074813"/>
    <w:rsid w:val="00074F24"/>
    <w:rsid w:val="000757E6"/>
    <w:rsid w:val="00076362"/>
    <w:rsid w:val="000770CE"/>
    <w:rsid w:val="00077D90"/>
    <w:rsid w:val="00077DE0"/>
    <w:rsid w:val="00080487"/>
    <w:rsid w:val="000804FD"/>
    <w:rsid w:val="000805EA"/>
    <w:rsid w:val="0008077B"/>
    <w:rsid w:val="00080E67"/>
    <w:rsid w:val="00081457"/>
    <w:rsid w:val="0008222D"/>
    <w:rsid w:val="00082388"/>
    <w:rsid w:val="00082609"/>
    <w:rsid w:val="00082B9A"/>
    <w:rsid w:val="00082E4C"/>
    <w:rsid w:val="00082F46"/>
    <w:rsid w:val="000831D4"/>
    <w:rsid w:val="00083207"/>
    <w:rsid w:val="00083430"/>
    <w:rsid w:val="00083490"/>
    <w:rsid w:val="0008401B"/>
    <w:rsid w:val="00084214"/>
    <w:rsid w:val="00084AA8"/>
    <w:rsid w:val="00084D00"/>
    <w:rsid w:val="00085171"/>
    <w:rsid w:val="00086291"/>
    <w:rsid w:val="000862C3"/>
    <w:rsid w:val="000862C9"/>
    <w:rsid w:val="00086401"/>
    <w:rsid w:val="00086B84"/>
    <w:rsid w:val="00086FD0"/>
    <w:rsid w:val="00087086"/>
    <w:rsid w:val="000877A0"/>
    <w:rsid w:val="0009055D"/>
    <w:rsid w:val="00090A78"/>
    <w:rsid w:val="000914AB"/>
    <w:rsid w:val="000917A5"/>
    <w:rsid w:val="000919DE"/>
    <w:rsid w:val="00092134"/>
    <w:rsid w:val="0009250D"/>
    <w:rsid w:val="000925DC"/>
    <w:rsid w:val="0009315B"/>
    <w:rsid w:val="0009328B"/>
    <w:rsid w:val="00093342"/>
    <w:rsid w:val="00093555"/>
    <w:rsid w:val="00093673"/>
    <w:rsid w:val="00093F11"/>
    <w:rsid w:val="00093F99"/>
    <w:rsid w:val="00094071"/>
    <w:rsid w:val="000942B1"/>
    <w:rsid w:val="00094CA9"/>
    <w:rsid w:val="00094E57"/>
    <w:rsid w:val="00095277"/>
    <w:rsid w:val="00095480"/>
    <w:rsid w:val="00095915"/>
    <w:rsid w:val="00095A30"/>
    <w:rsid w:val="00095D2D"/>
    <w:rsid w:val="00095FFF"/>
    <w:rsid w:val="00096606"/>
    <w:rsid w:val="000967D9"/>
    <w:rsid w:val="00096D38"/>
    <w:rsid w:val="0009750C"/>
    <w:rsid w:val="0009761D"/>
    <w:rsid w:val="00097962"/>
    <w:rsid w:val="000A023C"/>
    <w:rsid w:val="000A04A3"/>
    <w:rsid w:val="000A092B"/>
    <w:rsid w:val="000A0A12"/>
    <w:rsid w:val="000A0B78"/>
    <w:rsid w:val="000A151B"/>
    <w:rsid w:val="000A15DF"/>
    <w:rsid w:val="000A174B"/>
    <w:rsid w:val="000A1E87"/>
    <w:rsid w:val="000A2197"/>
    <w:rsid w:val="000A275B"/>
    <w:rsid w:val="000A2DC4"/>
    <w:rsid w:val="000A2DE5"/>
    <w:rsid w:val="000A3CA6"/>
    <w:rsid w:val="000A4073"/>
    <w:rsid w:val="000A4744"/>
    <w:rsid w:val="000A5291"/>
    <w:rsid w:val="000A54D7"/>
    <w:rsid w:val="000A588A"/>
    <w:rsid w:val="000A58B0"/>
    <w:rsid w:val="000A5AC8"/>
    <w:rsid w:val="000A6715"/>
    <w:rsid w:val="000A6CA7"/>
    <w:rsid w:val="000A6D57"/>
    <w:rsid w:val="000A6DB9"/>
    <w:rsid w:val="000A6F8D"/>
    <w:rsid w:val="000A7153"/>
    <w:rsid w:val="000A7275"/>
    <w:rsid w:val="000A72B9"/>
    <w:rsid w:val="000A741D"/>
    <w:rsid w:val="000A7BE7"/>
    <w:rsid w:val="000A7F7B"/>
    <w:rsid w:val="000B010F"/>
    <w:rsid w:val="000B024E"/>
    <w:rsid w:val="000B08FD"/>
    <w:rsid w:val="000B0E27"/>
    <w:rsid w:val="000B1861"/>
    <w:rsid w:val="000B1D80"/>
    <w:rsid w:val="000B1F98"/>
    <w:rsid w:val="000B33C0"/>
    <w:rsid w:val="000B346D"/>
    <w:rsid w:val="000B3A05"/>
    <w:rsid w:val="000B3F9E"/>
    <w:rsid w:val="000B531F"/>
    <w:rsid w:val="000B5374"/>
    <w:rsid w:val="000B5B29"/>
    <w:rsid w:val="000B5B32"/>
    <w:rsid w:val="000B5C30"/>
    <w:rsid w:val="000B6045"/>
    <w:rsid w:val="000B6F8E"/>
    <w:rsid w:val="000B7052"/>
    <w:rsid w:val="000B70E7"/>
    <w:rsid w:val="000B756B"/>
    <w:rsid w:val="000C1030"/>
    <w:rsid w:val="000C134B"/>
    <w:rsid w:val="000C18A6"/>
    <w:rsid w:val="000C1922"/>
    <w:rsid w:val="000C1BF9"/>
    <w:rsid w:val="000C2197"/>
    <w:rsid w:val="000C2FE5"/>
    <w:rsid w:val="000C372C"/>
    <w:rsid w:val="000C3821"/>
    <w:rsid w:val="000C3B3B"/>
    <w:rsid w:val="000C4091"/>
    <w:rsid w:val="000C43C8"/>
    <w:rsid w:val="000C4AB5"/>
    <w:rsid w:val="000C5192"/>
    <w:rsid w:val="000C5484"/>
    <w:rsid w:val="000C5B88"/>
    <w:rsid w:val="000C5CFD"/>
    <w:rsid w:val="000C5EB3"/>
    <w:rsid w:val="000C5F5F"/>
    <w:rsid w:val="000C62DA"/>
    <w:rsid w:val="000C632D"/>
    <w:rsid w:val="000C69B7"/>
    <w:rsid w:val="000C6C6E"/>
    <w:rsid w:val="000C7655"/>
    <w:rsid w:val="000C7B2F"/>
    <w:rsid w:val="000D0259"/>
    <w:rsid w:val="000D045E"/>
    <w:rsid w:val="000D0545"/>
    <w:rsid w:val="000D0842"/>
    <w:rsid w:val="000D0A43"/>
    <w:rsid w:val="000D1690"/>
    <w:rsid w:val="000D1B71"/>
    <w:rsid w:val="000D2E66"/>
    <w:rsid w:val="000D3598"/>
    <w:rsid w:val="000D3DF6"/>
    <w:rsid w:val="000D3F2E"/>
    <w:rsid w:val="000D3FAE"/>
    <w:rsid w:val="000D4315"/>
    <w:rsid w:val="000D5BE4"/>
    <w:rsid w:val="000D69CB"/>
    <w:rsid w:val="000D71CA"/>
    <w:rsid w:val="000D736F"/>
    <w:rsid w:val="000D776A"/>
    <w:rsid w:val="000D7C38"/>
    <w:rsid w:val="000E02EC"/>
    <w:rsid w:val="000E1612"/>
    <w:rsid w:val="000E171B"/>
    <w:rsid w:val="000E1828"/>
    <w:rsid w:val="000E187D"/>
    <w:rsid w:val="000E1989"/>
    <w:rsid w:val="000E1D7D"/>
    <w:rsid w:val="000E247C"/>
    <w:rsid w:val="000E2659"/>
    <w:rsid w:val="000E2681"/>
    <w:rsid w:val="000E268F"/>
    <w:rsid w:val="000E2971"/>
    <w:rsid w:val="000E2E4D"/>
    <w:rsid w:val="000E2E8D"/>
    <w:rsid w:val="000E3086"/>
    <w:rsid w:val="000E3768"/>
    <w:rsid w:val="000E3925"/>
    <w:rsid w:val="000E39E1"/>
    <w:rsid w:val="000E40D6"/>
    <w:rsid w:val="000E4657"/>
    <w:rsid w:val="000E4A3F"/>
    <w:rsid w:val="000E4AE2"/>
    <w:rsid w:val="000E4D51"/>
    <w:rsid w:val="000E5604"/>
    <w:rsid w:val="000E574C"/>
    <w:rsid w:val="000E57ED"/>
    <w:rsid w:val="000E590F"/>
    <w:rsid w:val="000E65B3"/>
    <w:rsid w:val="000E69E5"/>
    <w:rsid w:val="000E7210"/>
    <w:rsid w:val="000E737C"/>
    <w:rsid w:val="000E73FF"/>
    <w:rsid w:val="000E7F10"/>
    <w:rsid w:val="000E7FB8"/>
    <w:rsid w:val="000F05A3"/>
    <w:rsid w:val="000F0CED"/>
    <w:rsid w:val="000F134A"/>
    <w:rsid w:val="000F14DE"/>
    <w:rsid w:val="000F1754"/>
    <w:rsid w:val="000F1780"/>
    <w:rsid w:val="000F1D2B"/>
    <w:rsid w:val="000F1F30"/>
    <w:rsid w:val="000F2218"/>
    <w:rsid w:val="000F254F"/>
    <w:rsid w:val="000F31C6"/>
    <w:rsid w:val="000F31F8"/>
    <w:rsid w:val="000F34AB"/>
    <w:rsid w:val="000F378C"/>
    <w:rsid w:val="000F3B08"/>
    <w:rsid w:val="000F3E98"/>
    <w:rsid w:val="000F3EC8"/>
    <w:rsid w:val="000F45EB"/>
    <w:rsid w:val="000F4734"/>
    <w:rsid w:val="000F4FB3"/>
    <w:rsid w:val="000F517A"/>
    <w:rsid w:val="000F51CC"/>
    <w:rsid w:val="000F55F5"/>
    <w:rsid w:val="000F5A32"/>
    <w:rsid w:val="000F5AC3"/>
    <w:rsid w:val="000F6055"/>
    <w:rsid w:val="000F651A"/>
    <w:rsid w:val="000F79F8"/>
    <w:rsid w:val="000F7C72"/>
    <w:rsid w:val="000F7FCD"/>
    <w:rsid w:val="0010016F"/>
    <w:rsid w:val="00100395"/>
    <w:rsid w:val="001006FF"/>
    <w:rsid w:val="00100B4E"/>
    <w:rsid w:val="001010E0"/>
    <w:rsid w:val="0010150D"/>
    <w:rsid w:val="0010153E"/>
    <w:rsid w:val="0010172D"/>
    <w:rsid w:val="00101891"/>
    <w:rsid w:val="001018A3"/>
    <w:rsid w:val="001018B8"/>
    <w:rsid w:val="00101EF7"/>
    <w:rsid w:val="001021B5"/>
    <w:rsid w:val="0010258E"/>
    <w:rsid w:val="001025F9"/>
    <w:rsid w:val="00102C73"/>
    <w:rsid w:val="00102DBB"/>
    <w:rsid w:val="00103228"/>
    <w:rsid w:val="001035E5"/>
    <w:rsid w:val="001037B2"/>
    <w:rsid w:val="00103F6F"/>
    <w:rsid w:val="001043D9"/>
    <w:rsid w:val="00104913"/>
    <w:rsid w:val="00105065"/>
    <w:rsid w:val="00105381"/>
    <w:rsid w:val="00105744"/>
    <w:rsid w:val="00105BA9"/>
    <w:rsid w:val="00105C1A"/>
    <w:rsid w:val="00105FA2"/>
    <w:rsid w:val="0010638C"/>
    <w:rsid w:val="0010653C"/>
    <w:rsid w:val="00106CDF"/>
    <w:rsid w:val="001072C1"/>
    <w:rsid w:val="001076DF"/>
    <w:rsid w:val="00107E5A"/>
    <w:rsid w:val="001103CC"/>
    <w:rsid w:val="001105B4"/>
    <w:rsid w:val="001105F9"/>
    <w:rsid w:val="00110BC2"/>
    <w:rsid w:val="0011110C"/>
    <w:rsid w:val="00111621"/>
    <w:rsid w:val="0011228C"/>
    <w:rsid w:val="001124AC"/>
    <w:rsid w:val="00112A87"/>
    <w:rsid w:val="00112BEF"/>
    <w:rsid w:val="00112D29"/>
    <w:rsid w:val="00112FE0"/>
    <w:rsid w:val="001133B8"/>
    <w:rsid w:val="00114541"/>
    <w:rsid w:val="00114DC4"/>
    <w:rsid w:val="00114DEB"/>
    <w:rsid w:val="00114F0F"/>
    <w:rsid w:val="001151EA"/>
    <w:rsid w:val="00115ABA"/>
    <w:rsid w:val="00115B3C"/>
    <w:rsid w:val="00115B40"/>
    <w:rsid w:val="00115E72"/>
    <w:rsid w:val="00115E9B"/>
    <w:rsid w:val="00115EF9"/>
    <w:rsid w:val="00115F12"/>
    <w:rsid w:val="00116237"/>
    <w:rsid w:val="001164B9"/>
    <w:rsid w:val="00116534"/>
    <w:rsid w:val="001165B0"/>
    <w:rsid w:val="001165C8"/>
    <w:rsid w:val="001167E1"/>
    <w:rsid w:val="00116881"/>
    <w:rsid w:val="00117530"/>
    <w:rsid w:val="001178E4"/>
    <w:rsid w:val="00117C2D"/>
    <w:rsid w:val="001202C4"/>
    <w:rsid w:val="00120470"/>
    <w:rsid w:val="001206F9"/>
    <w:rsid w:val="00120B1F"/>
    <w:rsid w:val="00120DEF"/>
    <w:rsid w:val="00120FD9"/>
    <w:rsid w:val="00121211"/>
    <w:rsid w:val="00121C57"/>
    <w:rsid w:val="00121D14"/>
    <w:rsid w:val="00121D67"/>
    <w:rsid w:val="00121F58"/>
    <w:rsid w:val="00122057"/>
    <w:rsid w:val="001220CE"/>
    <w:rsid w:val="00122360"/>
    <w:rsid w:val="00122372"/>
    <w:rsid w:val="001223A5"/>
    <w:rsid w:val="00122511"/>
    <w:rsid w:val="0012274A"/>
    <w:rsid w:val="001229C0"/>
    <w:rsid w:val="00123060"/>
    <w:rsid w:val="0012309B"/>
    <w:rsid w:val="0012343A"/>
    <w:rsid w:val="0012450F"/>
    <w:rsid w:val="001246A4"/>
    <w:rsid w:val="001249B4"/>
    <w:rsid w:val="001249D6"/>
    <w:rsid w:val="00125748"/>
    <w:rsid w:val="001265DC"/>
    <w:rsid w:val="001273A1"/>
    <w:rsid w:val="00127A40"/>
    <w:rsid w:val="0013077B"/>
    <w:rsid w:val="00130E8A"/>
    <w:rsid w:val="0013116E"/>
    <w:rsid w:val="00131235"/>
    <w:rsid w:val="00131763"/>
    <w:rsid w:val="0013198B"/>
    <w:rsid w:val="001320C2"/>
    <w:rsid w:val="001324BC"/>
    <w:rsid w:val="00132CE1"/>
    <w:rsid w:val="001332C9"/>
    <w:rsid w:val="0013385C"/>
    <w:rsid w:val="00133CA7"/>
    <w:rsid w:val="00133F3D"/>
    <w:rsid w:val="0013413D"/>
    <w:rsid w:val="001341E8"/>
    <w:rsid w:val="00134533"/>
    <w:rsid w:val="001347F3"/>
    <w:rsid w:val="00134AC8"/>
    <w:rsid w:val="00135214"/>
    <w:rsid w:val="00135241"/>
    <w:rsid w:val="001355B0"/>
    <w:rsid w:val="00135BD8"/>
    <w:rsid w:val="001360D7"/>
    <w:rsid w:val="001374A0"/>
    <w:rsid w:val="00137D8E"/>
    <w:rsid w:val="00140061"/>
    <w:rsid w:val="00140171"/>
    <w:rsid w:val="0014022E"/>
    <w:rsid w:val="0014029E"/>
    <w:rsid w:val="001408BF"/>
    <w:rsid w:val="00140E7D"/>
    <w:rsid w:val="00141417"/>
    <w:rsid w:val="00141786"/>
    <w:rsid w:val="00141B28"/>
    <w:rsid w:val="00141B7C"/>
    <w:rsid w:val="0014244F"/>
    <w:rsid w:val="0014279E"/>
    <w:rsid w:val="00142CE0"/>
    <w:rsid w:val="001435AE"/>
    <w:rsid w:val="001437BB"/>
    <w:rsid w:val="00143998"/>
    <w:rsid w:val="001439B8"/>
    <w:rsid w:val="00143B32"/>
    <w:rsid w:val="00143D1C"/>
    <w:rsid w:val="00143F43"/>
    <w:rsid w:val="00144529"/>
    <w:rsid w:val="00144A0A"/>
    <w:rsid w:val="001451B5"/>
    <w:rsid w:val="00145312"/>
    <w:rsid w:val="0014537C"/>
    <w:rsid w:val="00145DC7"/>
    <w:rsid w:val="00145F0E"/>
    <w:rsid w:val="001460EB"/>
    <w:rsid w:val="00146322"/>
    <w:rsid w:val="00146B42"/>
    <w:rsid w:val="00146B78"/>
    <w:rsid w:val="00146C16"/>
    <w:rsid w:val="00146CED"/>
    <w:rsid w:val="00146DCD"/>
    <w:rsid w:val="00146EB1"/>
    <w:rsid w:val="0014704A"/>
    <w:rsid w:val="0014714E"/>
    <w:rsid w:val="00147514"/>
    <w:rsid w:val="0014790C"/>
    <w:rsid w:val="0015040D"/>
    <w:rsid w:val="00150823"/>
    <w:rsid w:val="00150C77"/>
    <w:rsid w:val="0015121C"/>
    <w:rsid w:val="00151469"/>
    <w:rsid w:val="001514D4"/>
    <w:rsid w:val="00151879"/>
    <w:rsid w:val="00151933"/>
    <w:rsid w:val="00151CB4"/>
    <w:rsid w:val="00152058"/>
    <w:rsid w:val="00152156"/>
    <w:rsid w:val="00152F89"/>
    <w:rsid w:val="0015301C"/>
    <w:rsid w:val="001532D0"/>
    <w:rsid w:val="0015382D"/>
    <w:rsid w:val="001538B0"/>
    <w:rsid w:val="00153BD7"/>
    <w:rsid w:val="00153ED1"/>
    <w:rsid w:val="00154244"/>
    <w:rsid w:val="00154905"/>
    <w:rsid w:val="001550BC"/>
    <w:rsid w:val="00155B73"/>
    <w:rsid w:val="00155C27"/>
    <w:rsid w:val="00155CD0"/>
    <w:rsid w:val="00156481"/>
    <w:rsid w:val="00156567"/>
    <w:rsid w:val="0015658E"/>
    <w:rsid w:val="0015673B"/>
    <w:rsid w:val="00156905"/>
    <w:rsid w:val="00156C6A"/>
    <w:rsid w:val="00156E94"/>
    <w:rsid w:val="001578E4"/>
    <w:rsid w:val="00157CBF"/>
    <w:rsid w:val="00157FB8"/>
    <w:rsid w:val="00160BE3"/>
    <w:rsid w:val="00160BF5"/>
    <w:rsid w:val="00160C29"/>
    <w:rsid w:val="00160CB5"/>
    <w:rsid w:val="00160ED2"/>
    <w:rsid w:val="00161022"/>
    <w:rsid w:val="001612E6"/>
    <w:rsid w:val="001617B7"/>
    <w:rsid w:val="001617CA"/>
    <w:rsid w:val="001617DF"/>
    <w:rsid w:val="0016195C"/>
    <w:rsid w:val="001619E9"/>
    <w:rsid w:val="00162556"/>
    <w:rsid w:val="0016264D"/>
    <w:rsid w:val="00162687"/>
    <w:rsid w:val="001628F4"/>
    <w:rsid w:val="00162985"/>
    <w:rsid w:val="00163788"/>
    <w:rsid w:val="001640FA"/>
    <w:rsid w:val="00164187"/>
    <w:rsid w:val="0016485E"/>
    <w:rsid w:val="00164C5C"/>
    <w:rsid w:val="001651A1"/>
    <w:rsid w:val="00165286"/>
    <w:rsid w:val="00165512"/>
    <w:rsid w:val="00165CDF"/>
    <w:rsid w:val="00165D2E"/>
    <w:rsid w:val="00165E3B"/>
    <w:rsid w:val="0016675F"/>
    <w:rsid w:val="001669EB"/>
    <w:rsid w:val="00167139"/>
    <w:rsid w:val="001671D6"/>
    <w:rsid w:val="00167585"/>
    <w:rsid w:val="001677FB"/>
    <w:rsid w:val="00167C20"/>
    <w:rsid w:val="00167E33"/>
    <w:rsid w:val="001707A9"/>
    <w:rsid w:val="00170F09"/>
    <w:rsid w:val="00171135"/>
    <w:rsid w:val="00171152"/>
    <w:rsid w:val="001712D8"/>
    <w:rsid w:val="00171761"/>
    <w:rsid w:val="001717A1"/>
    <w:rsid w:val="001718EF"/>
    <w:rsid w:val="001719DF"/>
    <w:rsid w:val="00171CDE"/>
    <w:rsid w:val="00172A96"/>
    <w:rsid w:val="00172E29"/>
    <w:rsid w:val="001731CC"/>
    <w:rsid w:val="00173B5C"/>
    <w:rsid w:val="00173DD2"/>
    <w:rsid w:val="00173EB6"/>
    <w:rsid w:val="001744A8"/>
    <w:rsid w:val="001749A5"/>
    <w:rsid w:val="00174AA8"/>
    <w:rsid w:val="00174BCF"/>
    <w:rsid w:val="001751B2"/>
    <w:rsid w:val="0017540F"/>
    <w:rsid w:val="00175564"/>
    <w:rsid w:val="001762C2"/>
    <w:rsid w:val="00176A40"/>
    <w:rsid w:val="00176D0D"/>
    <w:rsid w:val="00176F2F"/>
    <w:rsid w:val="001778BA"/>
    <w:rsid w:val="00177951"/>
    <w:rsid w:val="00180316"/>
    <w:rsid w:val="0018053B"/>
    <w:rsid w:val="00180A12"/>
    <w:rsid w:val="00180E6B"/>
    <w:rsid w:val="0018104A"/>
    <w:rsid w:val="0018112B"/>
    <w:rsid w:val="00182623"/>
    <w:rsid w:val="00182E69"/>
    <w:rsid w:val="00182F19"/>
    <w:rsid w:val="0018303A"/>
    <w:rsid w:val="00183091"/>
    <w:rsid w:val="00183A5E"/>
    <w:rsid w:val="00183D8C"/>
    <w:rsid w:val="00183DB6"/>
    <w:rsid w:val="00183DF5"/>
    <w:rsid w:val="00184144"/>
    <w:rsid w:val="00184200"/>
    <w:rsid w:val="00184DC3"/>
    <w:rsid w:val="00185AD5"/>
    <w:rsid w:val="00185EC1"/>
    <w:rsid w:val="00186889"/>
    <w:rsid w:val="00186D5F"/>
    <w:rsid w:val="0018702C"/>
    <w:rsid w:val="00187CD2"/>
    <w:rsid w:val="00187CD4"/>
    <w:rsid w:val="00187E83"/>
    <w:rsid w:val="00187EAD"/>
    <w:rsid w:val="00187F70"/>
    <w:rsid w:val="00190210"/>
    <w:rsid w:val="00190368"/>
    <w:rsid w:val="001907FB"/>
    <w:rsid w:val="00190F76"/>
    <w:rsid w:val="00190FFE"/>
    <w:rsid w:val="001913C6"/>
    <w:rsid w:val="00191644"/>
    <w:rsid w:val="00191818"/>
    <w:rsid w:val="00192109"/>
    <w:rsid w:val="001928D4"/>
    <w:rsid w:val="00192901"/>
    <w:rsid w:val="00192F76"/>
    <w:rsid w:val="00193427"/>
    <w:rsid w:val="00193756"/>
    <w:rsid w:val="0019503D"/>
    <w:rsid w:val="001956DB"/>
    <w:rsid w:val="00195730"/>
    <w:rsid w:val="00195746"/>
    <w:rsid w:val="001957FA"/>
    <w:rsid w:val="00195A09"/>
    <w:rsid w:val="00195BED"/>
    <w:rsid w:val="00195D44"/>
    <w:rsid w:val="00195D85"/>
    <w:rsid w:val="0019656A"/>
    <w:rsid w:val="001968EB"/>
    <w:rsid w:val="00196C6A"/>
    <w:rsid w:val="00196EFE"/>
    <w:rsid w:val="00196FBB"/>
    <w:rsid w:val="00196FF9"/>
    <w:rsid w:val="00197A4A"/>
    <w:rsid w:val="00197F9C"/>
    <w:rsid w:val="001A01E9"/>
    <w:rsid w:val="001A03EE"/>
    <w:rsid w:val="001A03F2"/>
    <w:rsid w:val="001A04DC"/>
    <w:rsid w:val="001A06DF"/>
    <w:rsid w:val="001A0AAF"/>
    <w:rsid w:val="001A1C17"/>
    <w:rsid w:val="001A1F24"/>
    <w:rsid w:val="001A2846"/>
    <w:rsid w:val="001A2976"/>
    <w:rsid w:val="001A3031"/>
    <w:rsid w:val="001A3184"/>
    <w:rsid w:val="001A3D5D"/>
    <w:rsid w:val="001A3D9C"/>
    <w:rsid w:val="001A4342"/>
    <w:rsid w:val="001A4FBC"/>
    <w:rsid w:val="001A5745"/>
    <w:rsid w:val="001A5DA2"/>
    <w:rsid w:val="001A624E"/>
    <w:rsid w:val="001A6F4D"/>
    <w:rsid w:val="001A70B9"/>
    <w:rsid w:val="001A735F"/>
    <w:rsid w:val="001A7385"/>
    <w:rsid w:val="001A7506"/>
    <w:rsid w:val="001A7615"/>
    <w:rsid w:val="001A76E6"/>
    <w:rsid w:val="001A774C"/>
    <w:rsid w:val="001A7FFE"/>
    <w:rsid w:val="001B06DD"/>
    <w:rsid w:val="001B0BC3"/>
    <w:rsid w:val="001B0CAA"/>
    <w:rsid w:val="001B122B"/>
    <w:rsid w:val="001B123F"/>
    <w:rsid w:val="001B142D"/>
    <w:rsid w:val="001B185B"/>
    <w:rsid w:val="001B192B"/>
    <w:rsid w:val="001B235A"/>
    <w:rsid w:val="001B255F"/>
    <w:rsid w:val="001B293F"/>
    <w:rsid w:val="001B32F2"/>
    <w:rsid w:val="001B3313"/>
    <w:rsid w:val="001B33F9"/>
    <w:rsid w:val="001B3BE1"/>
    <w:rsid w:val="001B3DA7"/>
    <w:rsid w:val="001B4175"/>
    <w:rsid w:val="001B4557"/>
    <w:rsid w:val="001B4587"/>
    <w:rsid w:val="001B479B"/>
    <w:rsid w:val="001B481F"/>
    <w:rsid w:val="001B48A0"/>
    <w:rsid w:val="001B5144"/>
    <w:rsid w:val="001B52A3"/>
    <w:rsid w:val="001B52B7"/>
    <w:rsid w:val="001B5399"/>
    <w:rsid w:val="001B5651"/>
    <w:rsid w:val="001B5B8F"/>
    <w:rsid w:val="001B5F1A"/>
    <w:rsid w:val="001B601B"/>
    <w:rsid w:val="001B6641"/>
    <w:rsid w:val="001B686B"/>
    <w:rsid w:val="001B6A4B"/>
    <w:rsid w:val="001B70F2"/>
    <w:rsid w:val="001B74C7"/>
    <w:rsid w:val="001B7727"/>
    <w:rsid w:val="001B7CF1"/>
    <w:rsid w:val="001B7F9E"/>
    <w:rsid w:val="001C026B"/>
    <w:rsid w:val="001C0460"/>
    <w:rsid w:val="001C0662"/>
    <w:rsid w:val="001C097B"/>
    <w:rsid w:val="001C0DDE"/>
    <w:rsid w:val="001C0E6B"/>
    <w:rsid w:val="001C119C"/>
    <w:rsid w:val="001C1810"/>
    <w:rsid w:val="001C1925"/>
    <w:rsid w:val="001C3467"/>
    <w:rsid w:val="001C391C"/>
    <w:rsid w:val="001C431E"/>
    <w:rsid w:val="001C44A2"/>
    <w:rsid w:val="001C4A4C"/>
    <w:rsid w:val="001C4B4A"/>
    <w:rsid w:val="001C54DA"/>
    <w:rsid w:val="001C5B05"/>
    <w:rsid w:val="001C5F21"/>
    <w:rsid w:val="001C6884"/>
    <w:rsid w:val="001C6890"/>
    <w:rsid w:val="001C6AE5"/>
    <w:rsid w:val="001C6B03"/>
    <w:rsid w:val="001C73A0"/>
    <w:rsid w:val="001C74DE"/>
    <w:rsid w:val="001C75A1"/>
    <w:rsid w:val="001C7DC4"/>
    <w:rsid w:val="001C7F03"/>
    <w:rsid w:val="001C7FFE"/>
    <w:rsid w:val="001D03BE"/>
    <w:rsid w:val="001D0504"/>
    <w:rsid w:val="001D051A"/>
    <w:rsid w:val="001D073D"/>
    <w:rsid w:val="001D0A5B"/>
    <w:rsid w:val="001D0CF0"/>
    <w:rsid w:val="001D111A"/>
    <w:rsid w:val="001D11A2"/>
    <w:rsid w:val="001D1263"/>
    <w:rsid w:val="001D1950"/>
    <w:rsid w:val="001D1D77"/>
    <w:rsid w:val="001D1ED2"/>
    <w:rsid w:val="001D1F48"/>
    <w:rsid w:val="001D242A"/>
    <w:rsid w:val="001D2505"/>
    <w:rsid w:val="001D2915"/>
    <w:rsid w:val="001D2CA1"/>
    <w:rsid w:val="001D2CB8"/>
    <w:rsid w:val="001D2EBB"/>
    <w:rsid w:val="001D3747"/>
    <w:rsid w:val="001D3E49"/>
    <w:rsid w:val="001D4130"/>
    <w:rsid w:val="001D4495"/>
    <w:rsid w:val="001D46E1"/>
    <w:rsid w:val="001D4768"/>
    <w:rsid w:val="001D4BB8"/>
    <w:rsid w:val="001D50A5"/>
    <w:rsid w:val="001D5DB8"/>
    <w:rsid w:val="001D612F"/>
    <w:rsid w:val="001D670A"/>
    <w:rsid w:val="001D67A9"/>
    <w:rsid w:val="001D6A24"/>
    <w:rsid w:val="001D6B7B"/>
    <w:rsid w:val="001D725F"/>
    <w:rsid w:val="001D7496"/>
    <w:rsid w:val="001D7CE3"/>
    <w:rsid w:val="001E0341"/>
    <w:rsid w:val="001E1710"/>
    <w:rsid w:val="001E1C98"/>
    <w:rsid w:val="001E1EB8"/>
    <w:rsid w:val="001E2382"/>
    <w:rsid w:val="001E2687"/>
    <w:rsid w:val="001E298E"/>
    <w:rsid w:val="001E2B52"/>
    <w:rsid w:val="001E2E17"/>
    <w:rsid w:val="001E31AE"/>
    <w:rsid w:val="001E3C94"/>
    <w:rsid w:val="001E3E56"/>
    <w:rsid w:val="001E43BC"/>
    <w:rsid w:val="001E46DA"/>
    <w:rsid w:val="001E476C"/>
    <w:rsid w:val="001E4851"/>
    <w:rsid w:val="001E4936"/>
    <w:rsid w:val="001E4993"/>
    <w:rsid w:val="001E4F5B"/>
    <w:rsid w:val="001E56C7"/>
    <w:rsid w:val="001E6583"/>
    <w:rsid w:val="001E78E5"/>
    <w:rsid w:val="001E7A16"/>
    <w:rsid w:val="001F0324"/>
    <w:rsid w:val="001F0752"/>
    <w:rsid w:val="001F099B"/>
    <w:rsid w:val="001F0A5A"/>
    <w:rsid w:val="001F0C4D"/>
    <w:rsid w:val="001F0E56"/>
    <w:rsid w:val="001F1038"/>
    <w:rsid w:val="001F133C"/>
    <w:rsid w:val="001F13C3"/>
    <w:rsid w:val="001F13D0"/>
    <w:rsid w:val="001F140F"/>
    <w:rsid w:val="001F18B0"/>
    <w:rsid w:val="001F2411"/>
    <w:rsid w:val="001F2475"/>
    <w:rsid w:val="001F250F"/>
    <w:rsid w:val="001F26D3"/>
    <w:rsid w:val="001F327E"/>
    <w:rsid w:val="001F335B"/>
    <w:rsid w:val="001F38D8"/>
    <w:rsid w:val="001F3B7C"/>
    <w:rsid w:val="001F3BE8"/>
    <w:rsid w:val="001F47B5"/>
    <w:rsid w:val="001F4A80"/>
    <w:rsid w:val="001F4B33"/>
    <w:rsid w:val="001F4C34"/>
    <w:rsid w:val="001F4EF6"/>
    <w:rsid w:val="001F4FD2"/>
    <w:rsid w:val="001F5015"/>
    <w:rsid w:val="001F5217"/>
    <w:rsid w:val="001F62FB"/>
    <w:rsid w:val="001F653C"/>
    <w:rsid w:val="001F6A23"/>
    <w:rsid w:val="001F6B68"/>
    <w:rsid w:val="001F70AE"/>
    <w:rsid w:val="001F73AB"/>
    <w:rsid w:val="001F7436"/>
    <w:rsid w:val="001F7528"/>
    <w:rsid w:val="001F7E7E"/>
    <w:rsid w:val="001F7E8F"/>
    <w:rsid w:val="002000A1"/>
    <w:rsid w:val="0020067D"/>
    <w:rsid w:val="00200B83"/>
    <w:rsid w:val="00200CC7"/>
    <w:rsid w:val="00201904"/>
    <w:rsid w:val="00201BCD"/>
    <w:rsid w:val="00201D18"/>
    <w:rsid w:val="00201E49"/>
    <w:rsid w:val="00202045"/>
    <w:rsid w:val="00202A83"/>
    <w:rsid w:val="00202D12"/>
    <w:rsid w:val="00202EAC"/>
    <w:rsid w:val="002030B9"/>
    <w:rsid w:val="00203FBD"/>
    <w:rsid w:val="00204B20"/>
    <w:rsid w:val="00204B8E"/>
    <w:rsid w:val="00204F7F"/>
    <w:rsid w:val="00205100"/>
    <w:rsid w:val="00205603"/>
    <w:rsid w:val="00205873"/>
    <w:rsid w:val="002059A0"/>
    <w:rsid w:val="00206545"/>
    <w:rsid w:val="00206637"/>
    <w:rsid w:val="002068C3"/>
    <w:rsid w:val="00206B8B"/>
    <w:rsid w:val="0020742C"/>
    <w:rsid w:val="0020778F"/>
    <w:rsid w:val="0020796B"/>
    <w:rsid w:val="00207C12"/>
    <w:rsid w:val="00207C44"/>
    <w:rsid w:val="002100B5"/>
    <w:rsid w:val="00210FB9"/>
    <w:rsid w:val="00211085"/>
    <w:rsid w:val="00211523"/>
    <w:rsid w:val="00211638"/>
    <w:rsid w:val="002118A2"/>
    <w:rsid w:val="002118DA"/>
    <w:rsid w:val="00211B21"/>
    <w:rsid w:val="00211E08"/>
    <w:rsid w:val="00211E28"/>
    <w:rsid w:val="002125F1"/>
    <w:rsid w:val="0021270B"/>
    <w:rsid w:val="00212884"/>
    <w:rsid w:val="0021376F"/>
    <w:rsid w:val="0021385D"/>
    <w:rsid w:val="00213C98"/>
    <w:rsid w:val="002142EF"/>
    <w:rsid w:val="00214A2C"/>
    <w:rsid w:val="00215F89"/>
    <w:rsid w:val="002161B5"/>
    <w:rsid w:val="00216406"/>
    <w:rsid w:val="00216A58"/>
    <w:rsid w:val="00216D16"/>
    <w:rsid w:val="002171CC"/>
    <w:rsid w:val="00217431"/>
    <w:rsid w:val="002175E2"/>
    <w:rsid w:val="00217690"/>
    <w:rsid w:val="00217B50"/>
    <w:rsid w:val="00217BAB"/>
    <w:rsid w:val="002203A1"/>
    <w:rsid w:val="00220E00"/>
    <w:rsid w:val="00221500"/>
    <w:rsid w:val="00221764"/>
    <w:rsid w:val="00221CAB"/>
    <w:rsid w:val="00221D36"/>
    <w:rsid w:val="002221FA"/>
    <w:rsid w:val="002228EE"/>
    <w:rsid w:val="00223117"/>
    <w:rsid w:val="0022328B"/>
    <w:rsid w:val="00223333"/>
    <w:rsid w:val="00223552"/>
    <w:rsid w:val="0022370A"/>
    <w:rsid w:val="00223B12"/>
    <w:rsid w:val="00223DBD"/>
    <w:rsid w:val="002241D6"/>
    <w:rsid w:val="002245FF"/>
    <w:rsid w:val="002246D8"/>
    <w:rsid w:val="00224C19"/>
    <w:rsid w:val="002251FF"/>
    <w:rsid w:val="0022548E"/>
    <w:rsid w:val="00225878"/>
    <w:rsid w:val="00225CF1"/>
    <w:rsid w:val="00226251"/>
    <w:rsid w:val="002265AC"/>
    <w:rsid w:val="0022681A"/>
    <w:rsid w:val="00226D5F"/>
    <w:rsid w:val="00227EDE"/>
    <w:rsid w:val="002303F0"/>
    <w:rsid w:val="0023041C"/>
    <w:rsid w:val="00230478"/>
    <w:rsid w:val="00230AAC"/>
    <w:rsid w:val="00230C75"/>
    <w:rsid w:val="00230F47"/>
    <w:rsid w:val="002311A0"/>
    <w:rsid w:val="002313E7"/>
    <w:rsid w:val="0023181C"/>
    <w:rsid w:val="00231D41"/>
    <w:rsid w:val="00231E8C"/>
    <w:rsid w:val="00232D7D"/>
    <w:rsid w:val="002335C2"/>
    <w:rsid w:val="0023395F"/>
    <w:rsid w:val="002339B0"/>
    <w:rsid w:val="00234947"/>
    <w:rsid w:val="00235345"/>
    <w:rsid w:val="002359EA"/>
    <w:rsid w:val="00235B9E"/>
    <w:rsid w:val="00236C7E"/>
    <w:rsid w:val="00236CCC"/>
    <w:rsid w:val="00236F99"/>
    <w:rsid w:val="002375AF"/>
    <w:rsid w:val="002375CD"/>
    <w:rsid w:val="00237BBA"/>
    <w:rsid w:val="002408F1"/>
    <w:rsid w:val="002412D5"/>
    <w:rsid w:val="00241E83"/>
    <w:rsid w:val="00242106"/>
    <w:rsid w:val="00242268"/>
    <w:rsid w:val="00242498"/>
    <w:rsid w:val="002428B3"/>
    <w:rsid w:val="002437D1"/>
    <w:rsid w:val="00243DBF"/>
    <w:rsid w:val="00243E75"/>
    <w:rsid w:val="00244222"/>
    <w:rsid w:val="0024454A"/>
    <w:rsid w:val="0024462B"/>
    <w:rsid w:val="00244D8D"/>
    <w:rsid w:val="002451BE"/>
    <w:rsid w:val="002458FF"/>
    <w:rsid w:val="0024663A"/>
    <w:rsid w:val="00246A05"/>
    <w:rsid w:val="00246D61"/>
    <w:rsid w:val="00246EBB"/>
    <w:rsid w:val="002471C6"/>
    <w:rsid w:val="00247566"/>
    <w:rsid w:val="00250003"/>
    <w:rsid w:val="0025003D"/>
    <w:rsid w:val="0025056D"/>
    <w:rsid w:val="002506CF"/>
    <w:rsid w:val="002506F6"/>
    <w:rsid w:val="00250F40"/>
    <w:rsid w:val="00251513"/>
    <w:rsid w:val="0025171A"/>
    <w:rsid w:val="00251BBA"/>
    <w:rsid w:val="00251FCF"/>
    <w:rsid w:val="002521B0"/>
    <w:rsid w:val="00252623"/>
    <w:rsid w:val="002527E5"/>
    <w:rsid w:val="00252C84"/>
    <w:rsid w:val="0025338B"/>
    <w:rsid w:val="00253F29"/>
    <w:rsid w:val="0025463A"/>
    <w:rsid w:val="00254854"/>
    <w:rsid w:val="00254AA9"/>
    <w:rsid w:val="00254C5A"/>
    <w:rsid w:val="00254D4D"/>
    <w:rsid w:val="00255435"/>
    <w:rsid w:val="00255768"/>
    <w:rsid w:val="00256899"/>
    <w:rsid w:val="0025699D"/>
    <w:rsid w:val="00256B0B"/>
    <w:rsid w:val="00256C17"/>
    <w:rsid w:val="00256CCD"/>
    <w:rsid w:val="00257492"/>
    <w:rsid w:val="00257655"/>
    <w:rsid w:val="00257752"/>
    <w:rsid w:val="00257983"/>
    <w:rsid w:val="0026099B"/>
    <w:rsid w:val="00260A6A"/>
    <w:rsid w:val="0026197B"/>
    <w:rsid w:val="00261A67"/>
    <w:rsid w:val="002622C1"/>
    <w:rsid w:val="002622ED"/>
    <w:rsid w:val="002624E3"/>
    <w:rsid w:val="00262780"/>
    <w:rsid w:val="00263142"/>
    <w:rsid w:val="00263676"/>
    <w:rsid w:val="00264011"/>
    <w:rsid w:val="0026405D"/>
    <w:rsid w:val="00264324"/>
    <w:rsid w:val="00265003"/>
    <w:rsid w:val="002658BA"/>
    <w:rsid w:val="002658CD"/>
    <w:rsid w:val="0026593F"/>
    <w:rsid w:val="002659B2"/>
    <w:rsid w:val="00265A7A"/>
    <w:rsid w:val="00265ABD"/>
    <w:rsid w:val="00266210"/>
    <w:rsid w:val="0026650A"/>
    <w:rsid w:val="00266B93"/>
    <w:rsid w:val="002675DB"/>
    <w:rsid w:val="0026768B"/>
    <w:rsid w:val="002679F5"/>
    <w:rsid w:val="0027016A"/>
    <w:rsid w:val="002701E4"/>
    <w:rsid w:val="00270284"/>
    <w:rsid w:val="0027070C"/>
    <w:rsid w:val="00270C56"/>
    <w:rsid w:val="00270DE0"/>
    <w:rsid w:val="00270EC8"/>
    <w:rsid w:val="002713FD"/>
    <w:rsid w:val="002717D2"/>
    <w:rsid w:val="00271DEC"/>
    <w:rsid w:val="00271F64"/>
    <w:rsid w:val="00272148"/>
    <w:rsid w:val="0027221C"/>
    <w:rsid w:val="002723AF"/>
    <w:rsid w:val="002724E8"/>
    <w:rsid w:val="00272828"/>
    <w:rsid w:val="00272B13"/>
    <w:rsid w:val="0027351D"/>
    <w:rsid w:val="00273AD4"/>
    <w:rsid w:val="00273E2A"/>
    <w:rsid w:val="0027451B"/>
    <w:rsid w:val="00275D68"/>
    <w:rsid w:val="00275D6E"/>
    <w:rsid w:val="002763D6"/>
    <w:rsid w:val="0027664B"/>
    <w:rsid w:val="00276981"/>
    <w:rsid w:val="00276A49"/>
    <w:rsid w:val="00277184"/>
    <w:rsid w:val="00277390"/>
    <w:rsid w:val="00277ABE"/>
    <w:rsid w:val="00277F62"/>
    <w:rsid w:val="00280408"/>
    <w:rsid w:val="00280530"/>
    <w:rsid w:val="0028070F"/>
    <w:rsid w:val="002807A1"/>
    <w:rsid w:val="0028080F"/>
    <w:rsid w:val="00280B42"/>
    <w:rsid w:val="00280EA7"/>
    <w:rsid w:val="002814BB"/>
    <w:rsid w:val="002816AF"/>
    <w:rsid w:val="002821DF"/>
    <w:rsid w:val="00282BCD"/>
    <w:rsid w:val="00282BF5"/>
    <w:rsid w:val="00283531"/>
    <w:rsid w:val="00283584"/>
    <w:rsid w:val="002836C3"/>
    <w:rsid w:val="0028379C"/>
    <w:rsid w:val="002837A5"/>
    <w:rsid w:val="00283927"/>
    <w:rsid w:val="00283F1E"/>
    <w:rsid w:val="00284921"/>
    <w:rsid w:val="00284A3D"/>
    <w:rsid w:val="00284C63"/>
    <w:rsid w:val="00284E3C"/>
    <w:rsid w:val="002857A3"/>
    <w:rsid w:val="00285BF2"/>
    <w:rsid w:val="00286478"/>
    <w:rsid w:val="00286620"/>
    <w:rsid w:val="002867CD"/>
    <w:rsid w:val="00286E06"/>
    <w:rsid w:val="002908AD"/>
    <w:rsid w:val="00290B48"/>
    <w:rsid w:val="00290C92"/>
    <w:rsid w:val="00290E20"/>
    <w:rsid w:val="002910C9"/>
    <w:rsid w:val="002910FE"/>
    <w:rsid w:val="00291A1E"/>
    <w:rsid w:val="00291BF3"/>
    <w:rsid w:val="00291D33"/>
    <w:rsid w:val="00291E5F"/>
    <w:rsid w:val="002927D2"/>
    <w:rsid w:val="0029339F"/>
    <w:rsid w:val="00293649"/>
    <w:rsid w:val="00293C3A"/>
    <w:rsid w:val="002944A3"/>
    <w:rsid w:val="00294955"/>
    <w:rsid w:val="00294B1F"/>
    <w:rsid w:val="00296316"/>
    <w:rsid w:val="0029679C"/>
    <w:rsid w:val="00296934"/>
    <w:rsid w:val="00296A54"/>
    <w:rsid w:val="002970A3"/>
    <w:rsid w:val="00297208"/>
    <w:rsid w:val="002976EA"/>
    <w:rsid w:val="00297948"/>
    <w:rsid w:val="00297F5B"/>
    <w:rsid w:val="002A132B"/>
    <w:rsid w:val="002A15EC"/>
    <w:rsid w:val="002A1815"/>
    <w:rsid w:val="002A1B1E"/>
    <w:rsid w:val="002A23C2"/>
    <w:rsid w:val="002A25FE"/>
    <w:rsid w:val="002A276E"/>
    <w:rsid w:val="002A2887"/>
    <w:rsid w:val="002A2951"/>
    <w:rsid w:val="002A2A45"/>
    <w:rsid w:val="002A2F38"/>
    <w:rsid w:val="002A456A"/>
    <w:rsid w:val="002A45BC"/>
    <w:rsid w:val="002A4738"/>
    <w:rsid w:val="002A48DA"/>
    <w:rsid w:val="002A4977"/>
    <w:rsid w:val="002A4D75"/>
    <w:rsid w:val="002A519B"/>
    <w:rsid w:val="002A5611"/>
    <w:rsid w:val="002A588C"/>
    <w:rsid w:val="002A649B"/>
    <w:rsid w:val="002A6624"/>
    <w:rsid w:val="002A69A2"/>
    <w:rsid w:val="002A7154"/>
    <w:rsid w:val="002A7591"/>
    <w:rsid w:val="002A7A78"/>
    <w:rsid w:val="002A7D71"/>
    <w:rsid w:val="002A7ED9"/>
    <w:rsid w:val="002B0924"/>
    <w:rsid w:val="002B0BB1"/>
    <w:rsid w:val="002B0E7A"/>
    <w:rsid w:val="002B1071"/>
    <w:rsid w:val="002B1731"/>
    <w:rsid w:val="002B1C11"/>
    <w:rsid w:val="002B1CAE"/>
    <w:rsid w:val="002B2365"/>
    <w:rsid w:val="002B3170"/>
    <w:rsid w:val="002B31CD"/>
    <w:rsid w:val="002B3401"/>
    <w:rsid w:val="002B3F92"/>
    <w:rsid w:val="002B440F"/>
    <w:rsid w:val="002B44A0"/>
    <w:rsid w:val="002B451A"/>
    <w:rsid w:val="002B49AB"/>
    <w:rsid w:val="002B5151"/>
    <w:rsid w:val="002B518E"/>
    <w:rsid w:val="002B561B"/>
    <w:rsid w:val="002B5898"/>
    <w:rsid w:val="002B5F6B"/>
    <w:rsid w:val="002B69E5"/>
    <w:rsid w:val="002B6B1B"/>
    <w:rsid w:val="002B6B79"/>
    <w:rsid w:val="002B7296"/>
    <w:rsid w:val="002B7F10"/>
    <w:rsid w:val="002C0268"/>
    <w:rsid w:val="002C0541"/>
    <w:rsid w:val="002C06A7"/>
    <w:rsid w:val="002C12FD"/>
    <w:rsid w:val="002C18B2"/>
    <w:rsid w:val="002C1A28"/>
    <w:rsid w:val="002C1B4E"/>
    <w:rsid w:val="002C1C9E"/>
    <w:rsid w:val="002C3947"/>
    <w:rsid w:val="002C4117"/>
    <w:rsid w:val="002C4200"/>
    <w:rsid w:val="002C44A3"/>
    <w:rsid w:val="002C47CC"/>
    <w:rsid w:val="002C4815"/>
    <w:rsid w:val="002C5D7E"/>
    <w:rsid w:val="002C5F01"/>
    <w:rsid w:val="002C61C7"/>
    <w:rsid w:val="002C62D5"/>
    <w:rsid w:val="002C6513"/>
    <w:rsid w:val="002C6949"/>
    <w:rsid w:val="002C7238"/>
    <w:rsid w:val="002C7A09"/>
    <w:rsid w:val="002C7A78"/>
    <w:rsid w:val="002C7B2C"/>
    <w:rsid w:val="002C7BDE"/>
    <w:rsid w:val="002C7F31"/>
    <w:rsid w:val="002D0C57"/>
    <w:rsid w:val="002D17F3"/>
    <w:rsid w:val="002D18B2"/>
    <w:rsid w:val="002D1A3E"/>
    <w:rsid w:val="002D1E28"/>
    <w:rsid w:val="002D26D2"/>
    <w:rsid w:val="002D2C4E"/>
    <w:rsid w:val="002D3076"/>
    <w:rsid w:val="002D316F"/>
    <w:rsid w:val="002D31D0"/>
    <w:rsid w:val="002D3465"/>
    <w:rsid w:val="002D45D1"/>
    <w:rsid w:val="002D463C"/>
    <w:rsid w:val="002D4BC1"/>
    <w:rsid w:val="002D5494"/>
    <w:rsid w:val="002D5572"/>
    <w:rsid w:val="002D5877"/>
    <w:rsid w:val="002D5EF0"/>
    <w:rsid w:val="002D62B0"/>
    <w:rsid w:val="002D6631"/>
    <w:rsid w:val="002D6CBF"/>
    <w:rsid w:val="002D7297"/>
    <w:rsid w:val="002D7790"/>
    <w:rsid w:val="002D796F"/>
    <w:rsid w:val="002E020C"/>
    <w:rsid w:val="002E04EB"/>
    <w:rsid w:val="002E08B7"/>
    <w:rsid w:val="002E0CFC"/>
    <w:rsid w:val="002E0FE8"/>
    <w:rsid w:val="002E1388"/>
    <w:rsid w:val="002E1F6D"/>
    <w:rsid w:val="002E2586"/>
    <w:rsid w:val="002E25D0"/>
    <w:rsid w:val="002E29DB"/>
    <w:rsid w:val="002E2A20"/>
    <w:rsid w:val="002E2A39"/>
    <w:rsid w:val="002E2DC2"/>
    <w:rsid w:val="002E2FE2"/>
    <w:rsid w:val="002E30EC"/>
    <w:rsid w:val="002E37C7"/>
    <w:rsid w:val="002E4597"/>
    <w:rsid w:val="002E4D46"/>
    <w:rsid w:val="002E4FF2"/>
    <w:rsid w:val="002E5764"/>
    <w:rsid w:val="002E5A28"/>
    <w:rsid w:val="002E5BB1"/>
    <w:rsid w:val="002E5E0C"/>
    <w:rsid w:val="002E6442"/>
    <w:rsid w:val="002E69A7"/>
    <w:rsid w:val="002E6B1E"/>
    <w:rsid w:val="002E6B8C"/>
    <w:rsid w:val="002E7356"/>
    <w:rsid w:val="002E738E"/>
    <w:rsid w:val="002E7462"/>
    <w:rsid w:val="002E77F3"/>
    <w:rsid w:val="002E7AB8"/>
    <w:rsid w:val="002E7F89"/>
    <w:rsid w:val="002F005A"/>
    <w:rsid w:val="002F034E"/>
    <w:rsid w:val="002F0FC3"/>
    <w:rsid w:val="002F20BE"/>
    <w:rsid w:val="002F2394"/>
    <w:rsid w:val="002F2416"/>
    <w:rsid w:val="002F26D9"/>
    <w:rsid w:val="002F2F5F"/>
    <w:rsid w:val="002F31C2"/>
    <w:rsid w:val="002F346A"/>
    <w:rsid w:val="002F3FA0"/>
    <w:rsid w:val="002F531C"/>
    <w:rsid w:val="002F5BC9"/>
    <w:rsid w:val="002F64B9"/>
    <w:rsid w:val="002F6AAF"/>
    <w:rsid w:val="002F6BA7"/>
    <w:rsid w:val="002F6C5F"/>
    <w:rsid w:val="002F7290"/>
    <w:rsid w:val="002F7520"/>
    <w:rsid w:val="002F75A9"/>
    <w:rsid w:val="002F7659"/>
    <w:rsid w:val="002F7872"/>
    <w:rsid w:val="00300059"/>
    <w:rsid w:val="00300BE5"/>
    <w:rsid w:val="00300E0E"/>
    <w:rsid w:val="00300E26"/>
    <w:rsid w:val="00300F6F"/>
    <w:rsid w:val="00301144"/>
    <w:rsid w:val="00301196"/>
    <w:rsid w:val="00301B18"/>
    <w:rsid w:val="00301BDF"/>
    <w:rsid w:val="00302509"/>
    <w:rsid w:val="00302B9C"/>
    <w:rsid w:val="00302EE3"/>
    <w:rsid w:val="00303198"/>
    <w:rsid w:val="0030356A"/>
    <w:rsid w:val="00304043"/>
    <w:rsid w:val="00304408"/>
    <w:rsid w:val="003046C6"/>
    <w:rsid w:val="00304CD1"/>
    <w:rsid w:val="003050D8"/>
    <w:rsid w:val="00305172"/>
    <w:rsid w:val="003052D6"/>
    <w:rsid w:val="00305583"/>
    <w:rsid w:val="00305B7C"/>
    <w:rsid w:val="0030640D"/>
    <w:rsid w:val="0030658C"/>
    <w:rsid w:val="003065BB"/>
    <w:rsid w:val="003067E1"/>
    <w:rsid w:val="003069D0"/>
    <w:rsid w:val="00306E55"/>
    <w:rsid w:val="00307190"/>
    <w:rsid w:val="0030727F"/>
    <w:rsid w:val="0030742C"/>
    <w:rsid w:val="00310029"/>
    <w:rsid w:val="00310056"/>
    <w:rsid w:val="00310640"/>
    <w:rsid w:val="003107B9"/>
    <w:rsid w:val="0031080C"/>
    <w:rsid w:val="003121CF"/>
    <w:rsid w:val="00312326"/>
    <w:rsid w:val="003124D1"/>
    <w:rsid w:val="003128E1"/>
    <w:rsid w:val="00313097"/>
    <w:rsid w:val="0031309A"/>
    <w:rsid w:val="0031328A"/>
    <w:rsid w:val="0031330F"/>
    <w:rsid w:val="003144B1"/>
    <w:rsid w:val="00314C03"/>
    <w:rsid w:val="00314CAE"/>
    <w:rsid w:val="00315199"/>
    <w:rsid w:val="003151FC"/>
    <w:rsid w:val="00315482"/>
    <w:rsid w:val="003155D5"/>
    <w:rsid w:val="00315BCF"/>
    <w:rsid w:val="00316064"/>
    <w:rsid w:val="003162A9"/>
    <w:rsid w:val="00316956"/>
    <w:rsid w:val="00316ABE"/>
    <w:rsid w:val="00316FE9"/>
    <w:rsid w:val="0031726C"/>
    <w:rsid w:val="00317415"/>
    <w:rsid w:val="00317535"/>
    <w:rsid w:val="00317694"/>
    <w:rsid w:val="00320073"/>
    <w:rsid w:val="003200BD"/>
    <w:rsid w:val="00320259"/>
    <w:rsid w:val="0032054B"/>
    <w:rsid w:val="00320EA8"/>
    <w:rsid w:val="003210CF"/>
    <w:rsid w:val="00321582"/>
    <w:rsid w:val="00321F41"/>
    <w:rsid w:val="00322423"/>
    <w:rsid w:val="003228AA"/>
    <w:rsid w:val="00322951"/>
    <w:rsid w:val="00322F3A"/>
    <w:rsid w:val="00323220"/>
    <w:rsid w:val="00323344"/>
    <w:rsid w:val="00323C57"/>
    <w:rsid w:val="00323C5E"/>
    <w:rsid w:val="00323CEE"/>
    <w:rsid w:val="003241D3"/>
    <w:rsid w:val="003244CB"/>
    <w:rsid w:val="00325329"/>
    <w:rsid w:val="0032544A"/>
    <w:rsid w:val="003259EA"/>
    <w:rsid w:val="00325ABD"/>
    <w:rsid w:val="00325E03"/>
    <w:rsid w:val="003262D5"/>
    <w:rsid w:val="0032692F"/>
    <w:rsid w:val="00326B05"/>
    <w:rsid w:val="00326BE2"/>
    <w:rsid w:val="00326DC2"/>
    <w:rsid w:val="00326FC7"/>
    <w:rsid w:val="003270E6"/>
    <w:rsid w:val="0032728E"/>
    <w:rsid w:val="00327663"/>
    <w:rsid w:val="00327A55"/>
    <w:rsid w:val="00330698"/>
    <w:rsid w:val="0033082F"/>
    <w:rsid w:val="00330D79"/>
    <w:rsid w:val="00331322"/>
    <w:rsid w:val="0033180D"/>
    <w:rsid w:val="00331BDA"/>
    <w:rsid w:val="003321AA"/>
    <w:rsid w:val="003329F9"/>
    <w:rsid w:val="003330AB"/>
    <w:rsid w:val="003331AF"/>
    <w:rsid w:val="003335D1"/>
    <w:rsid w:val="003338E4"/>
    <w:rsid w:val="00333C46"/>
    <w:rsid w:val="00333DC3"/>
    <w:rsid w:val="0033400A"/>
    <w:rsid w:val="00334408"/>
    <w:rsid w:val="00334A47"/>
    <w:rsid w:val="003353C8"/>
    <w:rsid w:val="003356E5"/>
    <w:rsid w:val="00336044"/>
    <w:rsid w:val="003360A0"/>
    <w:rsid w:val="003364EE"/>
    <w:rsid w:val="00336923"/>
    <w:rsid w:val="00336965"/>
    <w:rsid w:val="00336D3D"/>
    <w:rsid w:val="00337724"/>
    <w:rsid w:val="00337ACA"/>
    <w:rsid w:val="00337B4A"/>
    <w:rsid w:val="00340401"/>
    <w:rsid w:val="003404D1"/>
    <w:rsid w:val="00340B22"/>
    <w:rsid w:val="00340E46"/>
    <w:rsid w:val="00341251"/>
    <w:rsid w:val="003412EE"/>
    <w:rsid w:val="00341AE6"/>
    <w:rsid w:val="00342042"/>
    <w:rsid w:val="00342145"/>
    <w:rsid w:val="00342AD6"/>
    <w:rsid w:val="00342DDD"/>
    <w:rsid w:val="00343090"/>
    <w:rsid w:val="003432D8"/>
    <w:rsid w:val="003433E5"/>
    <w:rsid w:val="00343761"/>
    <w:rsid w:val="003438F9"/>
    <w:rsid w:val="00343A6E"/>
    <w:rsid w:val="00343C1A"/>
    <w:rsid w:val="0034444C"/>
    <w:rsid w:val="00344C60"/>
    <w:rsid w:val="00344DCA"/>
    <w:rsid w:val="00344FB4"/>
    <w:rsid w:val="00345457"/>
    <w:rsid w:val="00345512"/>
    <w:rsid w:val="00345674"/>
    <w:rsid w:val="00345843"/>
    <w:rsid w:val="003468DF"/>
    <w:rsid w:val="00346B73"/>
    <w:rsid w:val="00347010"/>
    <w:rsid w:val="0034721E"/>
    <w:rsid w:val="00350602"/>
    <w:rsid w:val="00350C00"/>
    <w:rsid w:val="00350C2B"/>
    <w:rsid w:val="00351023"/>
    <w:rsid w:val="00351BDB"/>
    <w:rsid w:val="00351DD4"/>
    <w:rsid w:val="00352224"/>
    <w:rsid w:val="003525CB"/>
    <w:rsid w:val="0035261F"/>
    <w:rsid w:val="00352B96"/>
    <w:rsid w:val="003532A0"/>
    <w:rsid w:val="00353685"/>
    <w:rsid w:val="00353A8B"/>
    <w:rsid w:val="00353B27"/>
    <w:rsid w:val="00353D7D"/>
    <w:rsid w:val="00353F7B"/>
    <w:rsid w:val="00354399"/>
    <w:rsid w:val="003544E9"/>
    <w:rsid w:val="00354672"/>
    <w:rsid w:val="00354970"/>
    <w:rsid w:val="00354B21"/>
    <w:rsid w:val="0035523A"/>
    <w:rsid w:val="00355397"/>
    <w:rsid w:val="0035560A"/>
    <w:rsid w:val="00355A19"/>
    <w:rsid w:val="00355DAF"/>
    <w:rsid w:val="00355E93"/>
    <w:rsid w:val="00355FF7"/>
    <w:rsid w:val="00356665"/>
    <w:rsid w:val="00356998"/>
    <w:rsid w:val="00356D9B"/>
    <w:rsid w:val="00357019"/>
    <w:rsid w:val="0035711B"/>
    <w:rsid w:val="003575A2"/>
    <w:rsid w:val="003578F7"/>
    <w:rsid w:val="0035795F"/>
    <w:rsid w:val="00357E57"/>
    <w:rsid w:val="00360815"/>
    <w:rsid w:val="00360DFD"/>
    <w:rsid w:val="00360EC0"/>
    <w:rsid w:val="00360ECB"/>
    <w:rsid w:val="00361552"/>
    <w:rsid w:val="00361867"/>
    <w:rsid w:val="00361B08"/>
    <w:rsid w:val="00361BDA"/>
    <w:rsid w:val="003620C7"/>
    <w:rsid w:val="003623DA"/>
    <w:rsid w:val="0036241A"/>
    <w:rsid w:val="0036254F"/>
    <w:rsid w:val="00362B0F"/>
    <w:rsid w:val="00362BA0"/>
    <w:rsid w:val="00362DB1"/>
    <w:rsid w:val="00363508"/>
    <w:rsid w:val="00363839"/>
    <w:rsid w:val="0036391C"/>
    <w:rsid w:val="00363DAB"/>
    <w:rsid w:val="003641F5"/>
    <w:rsid w:val="00364479"/>
    <w:rsid w:val="0036464E"/>
    <w:rsid w:val="0036490A"/>
    <w:rsid w:val="00364A30"/>
    <w:rsid w:val="00364A66"/>
    <w:rsid w:val="00364D4C"/>
    <w:rsid w:val="003657E7"/>
    <w:rsid w:val="00365983"/>
    <w:rsid w:val="00366111"/>
    <w:rsid w:val="003661B1"/>
    <w:rsid w:val="003665B6"/>
    <w:rsid w:val="0036687D"/>
    <w:rsid w:val="003669C6"/>
    <w:rsid w:val="003671D3"/>
    <w:rsid w:val="003679CE"/>
    <w:rsid w:val="00370112"/>
    <w:rsid w:val="00370794"/>
    <w:rsid w:val="00370A69"/>
    <w:rsid w:val="00370CC5"/>
    <w:rsid w:val="00371284"/>
    <w:rsid w:val="0037149D"/>
    <w:rsid w:val="003714B6"/>
    <w:rsid w:val="003719A5"/>
    <w:rsid w:val="00371B4C"/>
    <w:rsid w:val="00371E92"/>
    <w:rsid w:val="0037214D"/>
    <w:rsid w:val="0037229C"/>
    <w:rsid w:val="0037237B"/>
    <w:rsid w:val="003726E6"/>
    <w:rsid w:val="00372B21"/>
    <w:rsid w:val="00372FF1"/>
    <w:rsid w:val="00373136"/>
    <w:rsid w:val="0037333C"/>
    <w:rsid w:val="0037397B"/>
    <w:rsid w:val="00373AEA"/>
    <w:rsid w:val="00373FC7"/>
    <w:rsid w:val="00374034"/>
    <w:rsid w:val="00374BAB"/>
    <w:rsid w:val="00374D24"/>
    <w:rsid w:val="0037562F"/>
    <w:rsid w:val="00375C36"/>
    <w:rsid w:val="00375C41"/>
    <w:rsid w:val="00375D64"/>
    <w:rsid w:val="00375F0E"/>
    <w:rsid w:val="00376064"/>
    <w:rsid w:val="00376476"/>
    <w:rsid w:val="0037683F"/>
    <w:rsid w:val="00376C86"/>
    <w:rsid w:val="00376C9D"/>
    <w:rsid w:val="00376D7B"/>
    <w:rsid w:val="00376F42"/>
    <w:rsid w:val="00377653"/>
    <w:rsid w:val="00377935"/>
    <w:rsid w:val="003779DC"/>
    <w:rsid w:val="00377A31"/>
    <w:rsid w:val="00380004"/>
    <w:rsid w:val="00380B7A"/>
    <w:rsid w:val="00380CC4"/>
    <w:rsid w:val="0038224D"/>
    <w:rsid w:val="00382C07"/>
    <w:rsid w:val="00382E37"/>
    <w:rsid w:val="003830A1"/>
    <w:rsid w:val="0038379C"/>
    <w:rsid w:val="003837A1"/>
    <w:rsid w:val="003843CB"/>
    <w:rsid w:val="003847F2"/>
    <w:rsid w:val="003848E7"/>
    <w:rsid w:val="00384F3E"/>
    <w:rsid w:val="003854E0"/>
    <w:rsid w:val="003856B5"/>
    <w:rsid w:val="00385C7B"/>
    <w:rsid w:val="00385C82"/>
    <w:rsid w:val="00385F2F"/>
    <w:rsid w:val="00386078"/>
    <w:rsid w:val="00386107"/>
    <w:rsid w:val="00386285"/>
    <w:rsid w:val="003865DF"/>
    <w:rsid w:val="00386934"/>
    <w:rsid w:val="00386C1A"/>
    <w:rsid w:val="00386C54"/>
    <w:rsid w:val="00386E63"/>
    <w:rsid w:val="00390164"/>
    <w:rsid w:val="003901A3"/>
    <w:rsid w:val="00390344"/>
    <w:rsid w:val="00390C2A"/>
    <w:rsid w:val="00390C43"/>
    <w:rsid w:val="00390E6E"/>
    <w:rsid w:val="003917B1"/>
    <w:rsid w:val="00391AA2"/>
    <w:rsid w:val="00391E7A"/>
    <w:rsid w:val="003922D4"/>
    <w:rsid w:val="00392800"/>
    <w:rsid w:val="0039323D"/>
    <w:rsid w:val="00393479"/>
    <w:rsid w:val="003935C7"/>
    <w:rsid w:val="00393AAE"/>
    <w:rsid w:val="003941A3"/>
    <w:rsid w:val="00394351"/>
    <w:rsid w:val="00394417"/>
    <w:rsid w:val="00394F7B"/>
    <w:rsid w:val="0039565B"/>
    <w:rsid w:val="00395D6C"/>
    <w:rsid w:val="00395E89"/>
    <w:rsid w:val="00396273"/>
    <w:rsid w:val="003967D2"/>
    <w:rsid w:val="003968FB"/>
    <w:rsid w:val="003973E1"/>
    <w:rsid w:val="0039758C"/>
    <w:rsid w:val="0039761B"/>
    <w:rsid w:val="00397F80"/>
    <w:rsid w:val="003A00D0"/>
    <w:rsid w:val="003A02BA"/>
    <w:rsid w:val="003A0960"/>
    <w:rsid w:val="003A0D62"/>
    <w:rsid w:val="003A0DFD"/>
    <w:rsid w:val="003A1D25"/>
    <w:rsid w:val="003A1FAF"/>
    <w:rsid w:val="003A2151"/>
    <w:rsid w:val="003A2242"/>
    <w:rsid w:val="003A346A"/>
    <w:rsid w:val="003A3CEF"/>
    <w:rsid w:val="003A4216"/>
    <w:rsid w:val="003A442A"/>
    <w:rsid w:val="003A4F0D"/>
    <w:rsid w:val="003A5025"/>
    <w:rsid w:val="003A5457"/>
    <w:rsid w:val="003A56DD"/>
    <w:rsid w:val="003A58C9"/>
    <w:rsid w:val="003A5BC4"/>
    <w:rsid w:val="003A5EAE"/>
    <w:rsid w:val="003A603C"/>
    <w:rsid w:val="003A621D"/>
    <w:rsid w:val="003A62D9"/>
    <w:rsid w:val="003A6CB6"/>
    <w:rsid w:val="003A70A8"/>
    <w:rsid w:val="003A741B"/>
    <w:rsid w:val="003A7EE5"/>
    <w:rsid w:val="003B0197"/>
    <w:rsid w:val="003B06BE"/>
    <w:rsid w:val="003B1F91"/>
    <w:rsid w:val="003B214F"/>
    <w:rsid w:val="003B2689"/>
    <w:rsid w:val="003B277C"/>
    <w:rsid w:val="003B29FE"/>
    <w:rsid w:val="003B2C24"/>
    <w:rsid w:val="003B308D"/>
    <w:rsid w:val="003B3273"/>
    <w:rsid w:val="003B4884"/>
    <w:rsid w:val="003B5566"/>
    <w:rsid w:val="003B5873"/>
    <w:rsid w:val="003B5A4D"/>
    <w:rsid w:val="003B5AE7"/>
    <w:rsid w:val="003B5B8B"/>
    <w:rsid w:val="003B5CCF"/>
    <w:rsid w:val="003B5CDD"/>
    <w:rsid w:val="003B5DFC"/>
    <w:rsid w:val="003B5FB2"/>
    <w:rsid w:val="003B617E"/>
    <w:rsid w:val="003B6321"/>
    <w:rsid w:val="003B7704"/>
    <w:rsid w:val="003B7814"/>
    <w:rsid w:val="003B7B60"/>
    <w:rsid w:val="003C0B92"/>
    <w:rsid w:val="003C0F07"/>
    <w:rsid w:val="003C1516"/>
    <w:rsid w:val="003C1A77"/>
    <w:rsid w:val="003C1B36"/>
    <w:rsid w:val="003C1BF9"/>
    <w:rsid w:val="003C21D7"/>
    <w:rsid w:val="003C21D9"/>
    <w:rsid w:val="003C222D"/>
    <w:rsid w:val="003C2948"/>
    <w:rsid w:val="003C299D"/>
    <w:rsid w:val="003C2B93"/>
    <w:rsid w:val="003C34B1"/>
    <w:rsid w:val="003C3D36"/>
    <w:rsid w:val="003C41C2"/>
    <w:rsid w:val="003C42D0"/>
    <w:rsid w:val="003C4355"/>
    <w:rsid w:val="003C478F"/>
    <w:rsid w:val="003C4D25"/>
    <w:rsid w:val="003C4EB3"/>
    <w:rsid w:val="003C505A"/>
    <w:rsid w:val="003C51CB"/>
    <w:rsid w:val="003C545E"/>
    <w:rsid w:val="003C57D4"/>
    <w:rsid w:val="003C59E3"/>
    <w:rsid w:val="003C632E"/>
    <w:rsid w:val="003C63CD"/>
    <w:rsid w:val="003C653D"/>
    <w:rsid w:val="003C6587"/>
    <w:rsid w:val="003C6851"/>
    <w:rsid w:val="003C6AA0"/>
    <w:rsid w:val="003C6AB5"/>
    <w:rsid w:val="003C77D9"/>
    <w:rsid w:val="003C7865"/>
    <w:rsid w:val="003C7F22"/>
    <w:rsid w:val="003D0249"/>
    <w:rsid w:val="003D04DE"/>
    <w:rsid w:val="003D0A7E"/>
    <w:rsid w:val="003D0E67"/>
    <w:rsid w:val="003D1901"/>
    <w:rsid w:val="003D1A2C"/>
    <w:rsid w:val="003D240C"/>
    <w:rsid w:val="003D2AAF"/>
    <w:rsid w:val="003D2DFC"/>
    <w:rsid w:val="003D3209"/>
    <w:rsid w:val="003D3287"/>
    <w:rsid w:val="003D34AF"/>
    <w:rsid w:val="003D35A1"/>
    <w:rsid w:val="003D38B7"/>
    <w:rsid w:val="003D39DE"/>
    <w:rsid w:val="003D39FD"/>
    <w:rsid w:val="003D3B33"/>
    <w:rsid w:val="003D3D58"/>
    <w:rsid w:val="003D3E43"/>
    <w:rsid w:val="003D3F05"/>
    <w:rsid w:val="003D439A"/>
    <w:rsid w:val="003D46CA"/>
    <w:rsid w:val="003D4FD6"/>
    <w:rsid w:val="003D514D"/>
    <w:rsid w:val="003D5405"/>
    <w:rsid w:val="003D543B"/>
    <w:rsid w:val="003D5571"/>
    <w:rsid w:val="003D5707"/>
    <w:rsid w:val="003D593B"/>
    <w:rsid w:val="003D598E"/>
    <w:rsid w:val="003D5D9F"/>
    <w:rsid w:val="003D5F04"/>
    <w:rsid w:val="003D60EA"/>
    <w:rsid w:val="003D6526"/>
    <w:rsid w:val="003D665B"/>
    <w:rsid w:val="003D6D99"/>
    <w:rsid w:val="003D7481"/>
    <w:rsid w:val="003D7A98"/>
    <w:rsid w:val="003E0589"/>
    <w:rsid w:val="003E0CCD"/>
    <w:rsid w:val="003E0EAE"/>
    <w:rsid w:val="003E1229"/>
    <w:rsid w:val="003E14A6"/>
    <w:rsid w:val="003E14C2"/>
    <w:rsid w:val="003E1805"/>
    <w:rsid w:val="003E186F"/>
    <w:rsid w:val="003E1962"/>
    <w:rsid w:val="003E1C24"/>
    <w:rsid w:val="003E24E4"/>
    <w:rsid w:val="003E2976"/>
    <w:rsid w:val="003E2C8C"/>
    <w:rsid w:val="003E3825"/>
    <w:rsid w:val="003E3C03"/>
    <w:rsid w:val="003E4480"/>
    <w:rsid w:val="003E4926"/>
    <w:rsid w:val="003E4C39"/>
    <w:rsid w:val="003E4C9F"/>
    <w:rsid w:val="003E52AA"/>
    <w:rsid w:val="003E54DD"/>
    <w:rsid w:val="003E5C7B"/>
    <w:rsid w:val="003E5EA3"/>
    <w:rsid w:val="003E634E"/>
    <w:rsid w:val="003E65C4"/>
    <w:rsid w:val="003E6BAC"/>
    <w:rsid w:val="003E6EC0"/>
    <w:rsid w:val="003E6FDE"/>
    <w:rsid w:val="003E70BD"/>
    <w:rsid w:val="003E7413"/>
    <w:rsid w:val="003E769B"/>
    <w:rsid w:val="003E78AF"/>
    <w:rsid w:val="003F0224"/>
    <w:rsid w:val="003F0314"/>
    <w:rsid w:val="003F05CC"/>
    <w:rsid w:val="003F0752"/>
    <w:rsid w:val="003F07A0"/>
    <w:rsid w:val="003F0857"/>
    <w:rsid w:val="003F0898"/>
    <w:rsid w:val="003F1366"/>
    <w:rsid w:val="003F13FF"/>
    <w:rsid w:val="003F1500"/>
    <w:rsid w:val="003F185A"/>
    <w:rsid w:val="003F18F2"/>
    <w:rsid w:val="003F2904"/>
    <w:rsid w:val="003F2ACD"/>
    <w:rsid w:val="003F2CFB"/>
    <w:rsid w:val="003F33A1"/>
    <w:rsid w:val="003F37FA"/>
    <w:rsid w:val="003F3CA2"/>
    <w:rsid w:val="003F4307"/>
    <w:rsid w:val="003F4317"/>
    <w:rsid w:val="003F47F7"/>
    <w:rsid w:val="003F53D3"/>
    <w:rsid w:val="003F583E"/>
    <w:rsid w:val="003F5A22"/>
    <w:rsid w:val="003F5C93"/>
    <w:rsid w:val="003F5C9D"/>
    <w:rsid w:val="003F5E45"/>
    <w:rsid w:val="003F65EF"/>
    <w:rsid w:val="003F6AA9"/>
    <w:rsid w:val="003F782A"/>
    <w:rsid w:val="003F7E21"/>
    <w:rsid w:val="003F7F09"/>
    <w:rsid w:val="004004F1"/>
    <w:rsid w:val="004005D6"/>
    <w:rsid w:val="0040062F"/>
    <w:rsid w:val="00400A80"/>
    <w:rsid w:val="00400D4C"/>
    <w:rsid w:val="00400E31"/>
    <w:rsid w:val="00401F08"/>
    <w:rsid w:val="00402089"/>
    <w:rsid w:val="0040272E"/>
    <w:rsid w:val="00402CD2"/>
    <w:rsid w:val="00402DD1"/>
    <w:rsid w:val="00403485"/>
    <w:rsid w:val="004034FD"/>
    <w:rsid w:val="00403D93"/>
    <w:rsid w:val="0040544E"/>
    <w:rsid w:val="004059B1"/>
    <w:rsid w:val="00405D24"/>
    <w:rsid w:val="00405EAD"/>
    <w:rsid w:val="00406630"/>
    <w:rsid w:val="00406F27"/>
    <w:rsid w:val="00406FCE"/>
    <w:rsid w:val="00407078"/>
    <w:rsid w:val="00410528"/>
    <w:rsid w:val="00411BFD"/>
    <w:rsid w:val="00411D4D"/>
    <w:rsid w:val="00411FDC"/>
    <w:rsid w:val="004128AA"/>
    <w:rsid w:val="00412E52"/>
    <w:rsid w:val="004133E5"/>
    <w:rsid w:val="00413478"/>
    <w:rsid w:val="00413499"/>
    <w:rsid w:val="004139D1"/>
    <w:rsid w:val="00413AE4"/>
    <w:rsid w:val="00413DB4"/>
    <w:rsid w:val="00413FF7"/>
    <w:rsid w:val="0041402A"/>
    <w:rsid w:val="00414398"/>
    <w:rsid w:val="004143D8"/>
    <w:rsid w:val="00414DD9"/>
    <w:rsid w:val="004153C3"/>
    <w:rsid w:val="00415859"/>
    <w:rsid w:val="00415D1E"/>
    <w:rsid w:val="00415F67"/>
    <w:rsid w:val="004170A3"/>
    <w:rsid w:val="0041783D"/>
    <w:rsid w:val="004202C2"/>
    <w:rsid w:val="00420542"/>
    <w:rsid w:val="00420C80"/>
    <w:rsid w:val="00420FE7"/>
    <w:rsid w:val="0042136A"/>
    <w:rsid w:val="0042175A"/>
    <w:rsid w:val="00421E2F"/>
    <w:rsid w:val="004222D8"/>
    <w:rsid w:val="00422909"/>
    <w:rsid w:val="00422942"/>
    <w:rsid w:val="00422CE6"/>
    <w:rsid w:val="00423643"/>
    <w:rsid w:val="00423700"/>
    <w:rsid w:val="0042380F"/>
    <w:rsid w:val="00423D10"/>
    <w:rsid w:val="00423E86"/>
    <w:rsid w:val="004249F4"/>
    <w:rsid w:val="00424A52"/>
    <w:rsid w:val="004250B9"/>
    <w:rsid w:val="004253FF"/>
    <w:rsid w:val="00425D43"/>
    <w:rsid w:val="00426290"/>
    <w:rsid w:val="0042629C"/>
    <w:rsid w:val="0042693B"/>
    <w:rsid w:val="004270E1"/>
    <w:rsid w:val="0042732E"/>
    <w:rsid w:val="00427585"/>
    <w:rsid w:val="004278C0"/>
    <w:rsid w:val="00427944"/>
    <w:rsid w:val="004301FE"/>
    <w:rsid w:val="0043034C"/>
    <w:rsid w:val="004308C8"/>
    <w:rsid w:val="00430D22"/>
    <w:rsid w:val="00430EEE"/>
    <w:rsid w:val="004311D0"/>
    <w:rsid w:val="00431618"/>
    <w:rsid w:val="00432004"/>
    <w:rsid w:val="0043286E"/>
    <w:rsid w:val="00433167"/>
    <w:rsid w:val="0043316C"/>
    <w:rsid w:val="0043333F"/>
    <w:rsid w:val="00433AA8"/>
    <w:rsid w:val="00433C35"/>
    <w:rsid w:val="004341B1"/>
    <w:rsid w:val="00434742"/>
    <w:rsid w:val="00434AA4"/>
    <w:rsid w:val="00434F59"/>
    <w:rsid w:val="00435124"/>
    <w:rsid w:val="0043530E"/>
    <w:rsid w:val="0043549F"/>
    <w:rsid w:val="00435B82"/>
    <w:rsid w:val="00435C82"/>
    <w:rsid w:val="00435C8E"/>
    <w:rsid w:val="00436039"/>
    <w:rsid w:val="004361EF"/>
    <w:rsid w:val="00436325"/>
    <w:rsid w:val="0043633D"/>
    <w:rsid w:val="00436486"/>
    <w:rsid w:val="00437AA6"/>
    <w:rsid w:val="0044035B"/>
    <w:rsid w:val="004404FD"/>
    <w:rsid w:val="00440C71"/>
    <w:rsid w:val="00440F4D"/>
    <w:rsid w:val="00441CE3"/>
    <w:rsid w:val="00441F2E"/>
    <w:rsid w:val="00441F37"/>
    <w:rsid w:val="0044206E"/>
    <w:rsid w:val="004421F3"/>
    <w:rsid w:val="00442541"/>
    <w:rsid w:val="004441D7"/>
    <w:rsid w:val="0044439F"/>
    <w:rsid w:val="0044487E"/>
    <w:rsid w:val="00444D65"/>
    <w:rsid w:val="00445502"/>
    <w:rsid w:val="00445D76"/>
    <w:rsid w:val="00445F0C"/>
    <w:rsid w:val="00450CD5"/>
    <w:rsid w:val="00451200"/>
    <w:rsid w:val="00451A3E"/>
    <w:rsid w:val="00451C37"/>
    <w:rsid w:val="004525C0"/>
    <w:rsid w:val="0045290F"/>
    <w:rsid w:val="00452931"/>
    <w:rsid w:val="00452BC4"/>
    <w:rsid w:val="00452F26"/>
    <w:rsid w:val="004530D1"/>
    <w:rsid w:val="00453110"/>
    <w:rsid w:val="00453621"/>
    <w:rsid w:val="00453750"/>
    <w:rsid w:val="00454467"/>
    <w:rsid w:val="004548D0"/>
    <w:rsid w:val="00454BC5"/>
    <w:rsid w:val="00454D09"/>
    <w:rsid w:val="00454E6C"/>
    <w:rsid w:val="004552C6"/>
    <w:rsid w:val="0045543C"/>
    <w:rsid w:val="004558B1"/>
    <w:rsid w:val="00455A88"/>
    <w:rsid w:val="00455AF2"/>
    <w:rsid w:val="00455B22"/>
    <w:rsid w:val="00455B5D"/>
    <w:rsid w:val="004569E6"/>
    <w:rsid w:val="00456CDA"/>
    <w:rsid w:val="00456E24"/>
    <w:rsid w:val="00456F14"/>
    <w:rsid w:val="004570F6"/>
    <w:rsid w:val="0045770F"/>
    <w:rsid w:val="0045784E"/>
    <w:rsid w:val="00457EA6"/>
    <w:rsid w:val="0046019F"/>
    <w:rsid w:val="004602D6"/>
    <w:rsid w:val="0046040F"/>
    <w:rsid w:val="00460697"/>
    <w:rsid w:val="004609F1"/>
    <w:rsid w:val="00460E0B"/>
    <w:rsid w:val="0046127B"/>
    <w:rsid w:val="00461545"/>
    <w:rsid w:val="00461853"/>
    <w:rsid w:val="004625FE"/>
    <w:rsid w:val="00462D4B"/>
    <w:rsid w:val="00462FC6"/>
    <w:rsid w:val="00463192"/>
    <w:rsid w:val="004634DC"/>
    <w:rsid w:val="00463544"/>
    <w:rsid w:val="0046393E"/>
    <w:rsid w:val="004639AE"/>
    <w:rsid w:val="0046419A"/>
    <w:rsid w:val="0046480B"/>
    <w:rsid w:val="00465601"/>
    <w:rsid w:val="004656C6"/>
    <w:rsid w:val="00465AAB"/>
    <w:rsid w:val="00466003"/>
    <w:rsid w:val="00466D5D"/>
    <w:rsid w:val="00466D99"/>
    <w:rsid w:val="004670AD"/>
    <w:rsid w:val="004671E5"/>
    <w:rsid w:val="00467215"/>
    <w:rsid w:val="0046739F"/>
    <w:rsid w:val="004673AD"/>
    <w:rsid w:val="0046755E"/>
    <w:rsid w:val="004677B1"/>
    <w:rsid w:val="00467978"/>
    <w:rsid w:val="00467AA7"/>
    <w:rsid w:val="00467DE6"/>
    <w:rsid w:val="00467F91"/>
    <w:rsid w:val="00470385"/>
    <w:rsid w:val="00470597"/>
    <w:rsid w:val="004708C1"/>
    <w:rsid w:val="00470FC5"/>
    <w:rsid w:val="004711D1"/>
    <w:rsid w:val="00471FF9"/>
    <w:rsid w:val="00472878"/>
    <w:rsid w:val="004728B2"/>
    <w:rsid w:val="00472BCE"/>
    <w:rsid w:val="00472DCC"/>
    <w:rsid w:val="00473434"/>
    <w:rsid w:val="00473E34"/>
    <w:rsid w:val="00473FCC"/>
    <w:rsid w:val="004744A6"/>
    <w:rsid w:val="00474A3F"/>
    <w:rsid w:val="0047513B"/>
    <w:rsid w:val="00475251"/>
    <w:rsid w:val="0047547C"/>
    <w:rsid w:val="004756FE"/>
    <w:rsid w:val="004757E1"/>
    <w:rsid w:val="00475CD9"/>
    <w:rsid w:val="004762EB"/>
    <w:rsid w:val="00476F56"/>
    <w:rsid w:val="00477144"/>
    <w:rsid w:val="004778DC"/>
    <w:rsid w:val="00477C8E"/>
    <w:rsid w:val="00477EC1"/>
    <w:rsid w:val="00477FDB"/>
    <w:rsid w:val="00477FFE"/>
    <w:rsid w:val="0048010D"/>
    <w:rsid w:val="004808F1"/>
    <w:rsid w:val="00480E76"/>
    <w:rsid w:val="00481757"/>
    <w:rsid w:val="00481BBE"/>
    <w:rsid w:val="00481D42"/>
    <w:rsid w:val="0048204B"/>
    <w:rsid w:val="00482576"/>
    <w:rsid w:val="00482619"/>
    <w:rsid w:val="004831F3"/>
    <w:rsid w:val="004835E4"/>
    <w:rsid w:val="00483C99"/>
    <w:rsid w:val="00483F20"/>
    <w:rsid w:val="00484ED1"/>
    <w:rsid w:val="00485377"/>
    <w:rsid w:val="00485738"/>
    <w:rsid w:val="00485999"/>
    <w:rsid w:val="00485D46"/>
    <w:rsid w:val="00485E1C"/>
    <w:rsid w:val="0048613B"/>
    <w:rsid w:val="004864A9"/>
    <w:rsid w:val="004864B6"/>
    <w:rsid w:val="00486853"/>
    <w:rsid w:val="004874FF"/>
    <w:rsid w:val="00487FA8"/>
    <w:rsid w:val="00490107"/>
    <w:rsid w:val="0049036D"/>
    <w:rsid w:val="0049080C"/>
    <w:rsid w:val="00490B09"/>
    <w:rsid w:val="00490DD6"/>
    <w:rsid w:val="00491341"/>
    <w:rsid w:val="00491A22"/>
    <w:rsid w:val="00491A51"/>
    <w:rsid w:val="00492202"/>
    <w:rsid w:val="0049239C"/>
    <w:rsid w:val="00492570"/>
    <w:rsid w:val="00492CDD"/>
    <w:rsid w:val="00492DC5"/>
    <w:rsid w:val="00493C20"/>
    <w:rsid w:val="00494009"/>
    <w:rsid w:val="0049438B"/>
    <w:rsid w:val="00494EFF"/>
    <w:rsid w:val="004957E3"/>
    <w:rsid w:val="0049673D"/>
    <w:rsid w:val="0049675E"/>
    <w:rsid w:val="0049684F"/>
    <w:rsid w:val="0049755A"/>
    <w:rsid w:val="0049775B"/>
    <w:rsid w:val="00497870"/>
    <w:rsid w:val="004978E9"/>
    <w:rsid w:val="00497BB8"/>
    <w:rsid w:val="00497DDF"/>
    <w:rsid w:val="00497EC4"/>
    <w:rsid w:val="00497F52"/>
    <w:rsid w:val="004A02AF"/>
    <w:rsid w:val="004A05BA"/>
    <w:rsid w:val="004A0850"/>
    <w:rsid w:val="004A0EE4"/>
    <w:rsid w:val="004A1897"/>
    <w:rsid w:val="004A1E6B"/>
    <w:rsid w:val="004A207F"/>
    <w:rsid w:val="004A2230"/>
    <w:rsid w:val="004A2A3B"/>
    <w:rsid w:val="004A2AD8"/>
    <w:rsid w:val="004A2E9B"/>
    <w:rsid w:val="004A30CE"/>
    <w:rsid w:val="004A32F1"/>
    <w:rsid w:val="004A3ACB"/>
    <w:rsid w:val="004A3D5C"/>
    <w:rsid w:val="004A4351"/>
    <w:rsid w:val="004A4900"/>
    <w:rsid w:val="004A594B"/>
    <w:rsid w:val="004A59F8"/>
    <w:rsid w:val="004A632B"/>
    <w:rsid w:val="004A6637"/>
    <w:rsid w:val="004A6699"/>
    <w:rsid w:val="004A7BAC"/>
    <w:rsid w:val="004B02F6"/>
    <w:rsid w:val="004B03A0"/>
    <w:rsid w:val="004B0753"/>
    <w:rsid w:val="004B0777"/>
    <w:rsid w:val="004B0BA2"/>
    <w:rsid w:val="004B0E75"/>
    <w:rsid w:val="004B1166"/>
    <w:rsid w:val="004B1E60"/>
    <w:rsid w:val="004B289B"/>
    <w:rsid w:val="004B2E92"/>
    <w:rsid w:val="004B3098"/>
    <w:rsid w:val="004B37CE"/>
    <w:rsid w:val="004B3BB2"/>
    <w:rsid w:val="004B4001"/>
    <w:rsid w:val="004B4182"/>
    <w:rsid w:val="004B4929"/>
    <w:rsid w:val="004B4AA9"/>
    <w:rsid w:val="004B4C3F"/>
    <w:rsid w:val="004B4C9B"/>
    <w:rsid w:val="004B4CE9"/>
    <w:rsid w:val="004B599F"/>
    <w:rsid w:val="004B6C66"/>
    <w:rsid w:val="004B7367"/>
    <w:rsid w:val="004B7834"/>
    <w:rsid w:val="004B7E08"/>
    <w:rsid w:val="004C06DC"/>
    <w:rsid w:val="004C0EE6"/>
    <w:rsid w:val="004C1174"/>
    <w:rsid w:val="004C13D9"/>
    <w:rsid w:val="004C1472"/>
    <w:rsid w:val="004C1C20"/>
    <w:rsid w:val="004C1D86"/>
    <w:rsid w:val="004C2A1F"/>
    <w:rsid w:val="004C3163"/>
    <w:rsid w:val="004C3EE0"/>
    <w:rsid w:val="004C45DF"/>
    <w:rsid w:val="004C48A0"/>
    <w:rsid w:val="004C4F8E"/>
    <w:rsid w:val="004C50E5"/>
    <w:rsid w:val="004C5491"/>
    <w:rsid w:val="004C5906"/>
    <w:rsid w:val="004C5A21"/>
    <w:rsid w:val="004C6A93"/>
    <w:rsid w:val="004C6F93"/>
    <w:rsid w:val="004C722A"/>
    <w:rsid w:val="004C72E4"/>
    <w:rsid w:val="004C7B0B"/>
    <w:rsid w:val="004C7F60"/>
    <w:rsid w:val="004D01E8"/>
    <w:rsid w:val="004D0438"/>
    <w:rsid w:val="004D05F2"/>
    <w:rsid w:val="004D07D6"/>
    <w:rsid w:val="004D09BD"/>
    <w:rsid w:val="004D0A26"/>
    <w:rsid w:val="004D2FB5"/>
    <w:rsid w:val="004D3A5D"/>
    <w:rsid w:val="004D4A59"/>
    <w:rsid w:val="004D58FE"/>
    <w:rsid w:val="004D5A82"/>
    <w:rsid w:val="004D5AC8"/>
    <w:rsid w:val="004D5BBA"/>
    <w:rsid w:val="004D5C0B"/>
    <w:rsid w:val="004D6256"/>
    <w:rsid w:val="004D64BE"/>
    <w:rsid w:val="004D64DD"/>
    <w:rsid w:val="004D67D9"/>
    <w:rsid w:val="004D693A"/>
    <w:rsid w:val="004D6CDE"/>
    <w:rsid w:val="004D7030"/>
    <w:rsid w:val="004D73AB"/>
    <w:rsid w:val="004D7797"/>
    <w:rsid w:val="004D7DFF"/>
    <w:rsid w:val="004E079A"/>
    <w:rsid w:val="004E0F8C"/>
    <w:rsid w:val="004E119D"/>
    <w:rsid w:val="004E1419"/>
    <w:rsid w:val="004E195A"/>
    <w:rsid w:val="004E1C1A"/>
    <w:rsid w:val="004E2234"/>
    <w:rsid w:val="004E2358"/>
    <w:rsid w:val="004E23E0"/>
    <w:rsid w:val="004E35E1"/>
    <w:rsid w:val="004E385B"/>
    <w:rsid w:val="004E39A4"/>
    <w:rsid w:val="004E39EA"/>
    <w:rsid w:val="004E46C8"/>
    <w:rsid w:val="004E478B"/>
    <w:rsid w:val="004E47F6"/>
    <w:rsid w:val="004E4D33"/>
    <w:rsid w:val="004E5120"/>
    <w:rsid w:val="004E536A"/>
    <w:rsid w:val="004E5BF3"/>
    <w:rsid w:val="004E5F1C"/>
    <w:rsid w:val="004E5FAE"/>
    <w:rsid w:val="004E61EC"/>
    <w:rsid w:val="004E6358"/>
    <w:rsid w:val="004E6379"/>
    <w:rsid w:val="004E6A94"/>
    <w:rsid w:val="004E6BC1"/>
    <w:rsid w:val="004E6CF8"/>
    <w:rsid w:val="004E6EDF"/>
    <w:rsid w:val="004E6F9B"/>
    <w:rsid w:val="004E727D"/>
    <w:rsid w:val="004E7C6C"/>
    <w:rsid w:val="004E7EB8"/>
    <w:rsid w:val="004F0437"/>
    <w:rsid w:val="004F0731"/>
    <w:rsid w:val="004F0C22"/>
    <w:rsid w:val="004F0CFF"/>
    <w:rsid w:val="004F115D"/>
    <w:rsid w:val="004F1640"/>
    <w:rsid w:val="004F17AE"/>
    <w:rsid w:val="004F1B5E"/>
    <w:rsid w:val="004F22D1"/>
    <w:rsid w:val="004F24AF"/>
    <w:rsid w:val="004F2543"/>
    <w:rsid w:val="004F2B74"/>
    <w:rsid w:val="004F300D"/>
    <w:rsid w:val="004F330D"/>
    <w:rsid w:val="004F3511"/>
    <w:rsid w:val="004F3A79"/>
    <w:rsid w:val="004F4F21"/>
    <w:rsid w:val="004F559B"/>
    <w:rsid w:val="004F55ED"/>
    <w:rsid w:val="004F57AD"/>
    <w:rsid w:val="004F58D7"/>
    <w:rsid w:val="004F5FBE"/>
    <w:rsid w:val="004F6420"/>
    <w:rsid w:val="004F66A2"/>
    <w:rsid w:val="004F6A0B"/>
    <w:rsid w:val="004F6AA6"/>
    <w:rsid w:val="004F6C07"/>
    <w:rsid w:val="004F6DCC"/>
    <w:rsid w:val="004F7129"/>
    <w:rsid w:val="004F7472"/>
    <w:rsid w:val="004F7CA3"/>
    <w:rsid w:val="004F7E77"/>
    <w:rsid w:val="004F7ED8"/>
    <w:rsid w:val="00500066"/>
    <w:rsid w:val="00500503"/>
    <w:rsid w:val="00500588"/>
    <w:rsid w:val="00500789"/>
    <w:rsid w:val="005012F0"/>
    <w:rsid w:val="0050134E"/>
    <w:rsid w:val="00501843"/>
    <w:rsid w:val="00502E0A"/>
    <w:rsid w:val="005043BA"/>
    <w:rsid w:val="00504452"/>
    <w:rsid w:val="005047C2"/>
    <w:rsid w:val="00504A68"/>
    <w:rsid w:val="005052B7"/>
    <w:rsid w:val="0050541D"/>
    <w:rsid w:val="00505580"/>
    <w:rsid w:val="0050597B"/>
    <w:rsid w:val="00505A54"/>
    <w:rsid w:val="00505F9F"/>
    <w:rsid w:val="00505FA0"/>
    <w:rsid w:val="00505FF8"/>
    <w:rsid w:val="005064BC"/>
    <w:rsid w:val="00506A05"/>
    <w:rsid w:val="00506DCF"/>
    <w:rsid w:val="00506EDA"/>
    <w:rsid w:val="00506FBD"/>
    <w:rsid w:val="005073AC"/>
    <w:rsid w:val="0050744C"/>
    <w:rsid w:val="005079F0"/>
    <w:rsid w:val="005104D6"/>
    <w:rsid w:val="00510555"/>
    <w:rsid w:val="00510EFA"/>
    <w:rsid w:val="00511583"/>
    <w:rsid w:val="005115A3"/>
    <w:rsid w:val="00511D7F"/>
    <w:rsid w:val="00511E8C"/>
    <w:rsid w:val="00512092"/>
    <w:rsid w:val="0051241C"/>
    <w:rsid w:val="005125E6"/>
    <w:rsid w:val="00512605"/>
    <w:rsid w:val="00512AB4"/>
    <w:rsid w:val="00512CFA"/>
    <w:rsid w:val="00512D85"/>
    <w:rsid w:val="00512F69"/>
    <w:rsid w:val="00513A22"/>
    <w:rsid w:val="00514630"/>
    <w:rsid w:val="00514666"/>
    <w:rsid w:val="00514740"/>
    <w:rsid w:val="0051479F"/>
    <w:rsid w:val="00514BC6"/>
    <w:rsid w:val="005155BC"/>
    <w:rsid w:val="0051587D"/>
    <w:rsid w:val="0051602E"/>
    <w:rsid w:val="0051612C"/>
    <w:rsid w:val="005163FD"/>
    <w:rsid w:val="00516B29"/>
    <w:rsid w:val="00516D87"/>
    <w:rsid w:val="00517B4E"/>
    <w:rsid w:val="00517F0D"/>
    <w:rsid w:val="005201D0"/>
    <w:rsid w:val="0052168F"/>
    <w:rsid w:val="005219D8"/>
    <w:rsid w:val="005221A0"/>
    <w:rsid w:val="005226D5"/>
    <w:rsid w:val="00523060"/>
    <w:rsid w:val="005234D9"/>
    <w:rsid w:val="00523568"/>
    <w:rsid w:val="0052357B"/>
    <w:rsid w:val="0052380A"/>
    <w:rsid w:val="00523E89"/>
    <w:rsid w:val="0052414F"/>
    <w:rsid w:val="005241CA"/>
    <w:rsid w:val="005243E2"/>
    <w:rsid w:val="005245D3"/>
    <w:rsid w:val="00524D2E"/>
    <w:rsid w:val="00524DD5"/>
    <w:rsid w:val="005250D3"/>
    <w:rsid w:val="0052545A"/>
    <w:rsid w:val="00525AAB"/>
    <w:rsid w:val="00525AE4"/>
    <w:rsid w:val="00525FF4"/>
    <w:rsid w:val="0052635D"/>
    <w:rsid w:val="0052644A"/>
    <w:rsid w:val="00526E6B"/>
    <w:rsid w:val="0052726D"/>
    <w:rsid w:val="0052768D"/>
    <w:rsid w:val="00527835"/>
    <w:rsid w:val="0052793F"/>
    <w:rsid w:val="00527B23"/>
    <w:rsid w:val="00527C80"/>
    <w:rsid w:val="00527F27"/>
    <w:rsid w:val="005301D8"/>
    <w:rsid w:val="00530698"/>
    <w:rsid w:val="00530A79"/>
    <w:rsid w:val="00530FCA"/>
    <w:rsid w:val="00531174"/>
    <w:rsid w:val="00531452"/>
    <w:rsid w:val="005315B6"/>
    <w:rsid w:val="005327EE"/>
    <w:rsid w:val="005328C0"/>
    <w:rsid w:val="00532C04"/>
    <w:rsid w:val="00532C1F"/>
    <w:rsid w:val="00532C94"/>
    <w:rsid w:val="00532D74"/>
    <w:rsid w:val="00532D89"/>
    <w:rsid w:val="0053365E"/>
    <w:rsid w:val="005338CD"/>
    <w:rsid w:val="00533B0B"/>
    <w:rsid w:val="00533C16"/>
    <w:rsid w:val="00533CD8"/>
    <w:rsid w:val="00533D3B"/>
    <w:rsid w:val="00533F29"/>
    <w:rsid w:val="0053447B"/>
    <w:rsid w:val="00534604"/>
    <w:rsid w:val="00534CC6"/>
    <w:rsid w:val="00535373"/>
    <w:rsid w:val="00535585"/>
    <w:rsid w:val="00535C34"/>
    <w:rsid w:val="005370A2"/>
    <w:rsid w:val="00537293"/>
    <w:rsid w:val="005378B6"/>
    <w:rsid w:val="00537AC6"/>
    <w:rsid w:val="00537D7A"/>
    <w:rsid w:val="00540048"/>
    <w:rsid w:val="005403DE"/>
    <w:rsid w:val="005407EE"/>
    <w:rsid w:val="00540A2C"/>
    <w:rsid w:val="00540C52"/>
    <w:rsid w:val="00541256"/>
    <w:rsid w:val="0054135B"/>
    <w:rsid w:val="00541E8D"/>
    <w:rsid w:val="00541FC6"/>
    <w:rsid w:val="005420E5"/>
    <w:rsid w:val="005424A8"/>
    <w:rsid w:val="0054350B"/>
    <w:rsid w:val="00543608"/>
    <w:rsid w:val="0054383E"/>
    <w:rsid w:val="00543E72"/>
    <w:rsid w:val="00543EE6"/>
    <w:rsid w:val="0054427C"/>
    <w:rsid w:val="00544B4A"/>
    <w:rsid w:val="00544E92"/>
    <w:rsid w:val="0054527D"/>
    <w:rsid w:val="00545BB4"/>
    <w:rsid w:val="00545CE9"/>
    <w:rsid w:val="00545D9F"/>
    <w:rsid w:val="00545ECA"/>
    <w:rsid w:val="005462A1"/>
    <w:rsid w:val="0054673A"/>
    <w:rsid w:val="00546B95"/>
    <w:rsid w:val="00547511"/>
    <w:rsid w:val="0054756F"/>
    <w:rsid w:val="0054789D"/>
    <w:rsid w:val="00547C05"/>
    <w:rsid w:val="00547C24"/>
    <w:rsid w:val="00547ED1"/>
    <w:rsid w:val="00547F00"/>
    <w:rsid w:val="00547FA9"/>
    <w:rsid w:val="0055047A"/>
    <w:rsid w:val="00550605"/>
    <w:rsid w:val="00550752"/>
    <w:rsid w:val="00551F94"/>
    <w:rsid w:val="00552457"/>
    <w:rsid w:val="00553431"/>
    <w:rsid w:val="0055345F"/>
    <w:rsid w:val="005534C9"/>
    <w:rsid w:val="0055376E"/>
    <w:rsid w:val="00553B6B"/>
    <w:rsid w:val="0055451B"/>
    <w:rsid w:val="0055588A"/>
    <w:rsid w:val="00555B6D"/>
    <w:rsid w:val="00555E0B"/>
    <w:rsid w:val="00555EFC"/>
    <w:rsid w:val="00556425"/>
    <w:rsid w:val="00556476"/>
    <w:rsid w:val="00556497"/>
    <w:rsid w:val="00556893"/>
    <w:rsid w:val="00556DA9"/>
    <w:rsid w:val="00556DCC"/>
    <w:rsid w:val="00556ED8"/>
    <w:rsid w:val="00557394"/>
    <w:rsid w:val="00557D4E"/>
    <w:rsid w:val="005607AA"/>
    <w:rsid w:val="005609A4"/>
    <w:rsid w:val="00560D46"/>
    <w:rsid w:val="00560D58"/>
    <w:rsid w:val="00560D78"/>
    <w:rsid w:val="00561982"/>
    <w:rsid w:val="00561AFB"/>
    <w:rsid w:val="005623A0"/>
    <w:rsid w:val="00562648"/>
    <w:rsid w:val="00562C56"/>
    <w:rsid w:val="0056323F"/>
    <w:rsid w:val="00563F9F"/>
    <w:rsid w:val="005651C6"/>
    <w:rsid w:val="00565212"/>
    <w:rsid w:val="005660E3"/>
    <w:rsid w:val="00566BA3"/>
    <w:rsid w:val="00566D0D"/>
    <w:rsid w:val="005671F7"/>
    <w:rsid w:val="0056720C"/>
    <w:rsid w:val="005676D5"/>
    <w:rsid w:val="00567943"/>
    <w:rsid w:val="00570579"/>
    <w:rsid w:val="00570886"/>
    <w:rsid w:val="0057142F"/>
    <w:rsid w:val="00571575"/>
    <w:rsid w:val="005718DE"/>
    <w:rsid w:val="00572775"/>
    <w:rsid w:val="00572C7F"/>
    <w:rsid w:val="00573165"/>
    <w:rsid w:val="005731BA"/>
    <w:rsid w:val="00573735"/>
    <w:rsid w:val="00573906"/>
    <w:rsid w:val="0057395B"/>
    <w:rsid w:val="0057398B"/>
    <w:rsid w:val="00573D0C"/>
    <w:rsid w:val="00574081"/>
    <w:rsid w:val="00574205"/>
    <w:rsid w:val="00574C9A"/>
    <w:rsid w:val="00574D7C"/>
    <w:rsid w:val="00575115"/>
    <w:rsid w:val="0057586F"/>
    <w:rsid w:val="00575CBC"/>
    <w:rsid w:val="00575F2F"/>
    <w:rsid w:val="00576115"/>
    <w:rsid w:val="00576B3E"/>
    <w:rsid w:val="00577139"/>
    <w:rsid w:val="0057713E"/>
    <w:rsid w:val="005772AE"/>
    <w:rsid w:val="00577D97"/>
    <w:rsid w:val="00577EBE"/>
    <w:rsid w:val="005800E9"/>
    <w:rsid w:val="00580AAA"/>
    <w:rsid w:val="0058107C"/>
    <w:rsid w:val="00581408"/>
    <w:rsid w:val="00581831"/>
    <w:rsid w:val="005818B2"/>
    <w:rsid w:val="00581965"/>
    <w:rsid w:val="00581F62"/>
    <w:rsid w:val="005822EE"/>
    <w:rsid w:val="005824BA"/>
    <w:rsid w:val="00582518"/>
    <w:rsid w:val="00582B95"/>
    <w:rsid w:val="00583008"/>
    <w:rsid w:val="00583526"/>
    <w:rsid w:val="00583B0D"/>
    <w:rsid w:val="00583BB9"/>
    <w:rsid w:val="00583C11"/>
    <w:rsid w:val="00583F15"/>
    <w:rsid w:val="00583F46"/>
    <w:rsid w:val="005845A3"/>
    <w:rsid w:val="00584623"/>
    <w:rsid w:val="00584821"/>
    <w:rsid w:val="00584911"/>
    <w:rsid w:val="00584E5C"/>
    <w:rsid w:val="0058527C"/>
    <w:rsid w:val="0058570C"/>
    <w:rsid w:val="00585A37"/>
    <w:rsid w:val="00585BD5"/>
    <w:rsid w:val="0058671A"/>
    <w:rsid w:val="00587500"/>
    <w:rsid w:val="00587D59"/>
    <w:rsid w:val="005903B7"/>
    <w:rsid w:val="005907FE"/>
    <w:rsid w:val="00590BD9"/>
    <w:rsid w:val="0059132E"/>
    <w:rsid w:val="00591603"/>
    <w:rsid w:val="00591A6B"/>
    <w:rsid w:val="00591EF7"/>
    <w:rsid w:val="005922D4"/>
    <w:rsid w:val="00592376"/>
    <w:rsid w:val="005926CD"/>
    <w:rsid w:val="00592B76"/>
    <w:rsid w:val="00592FB6"/>
    <w:rsid w:val="00593673"/>
    <w:rsid w:val="00593805"/>
    <w:rsid w:val="0059382A"/>
    <w:rsid w:val="005939FE"/>
    <w:rsid w:val="00593A69"/>
    <w:rsid w:val="00593FD2"/>
    <w:rsid w:val="005941E5"/>
    <w:rsid w:val="00594296"/>
    <w:rsid w:val="00594498"/>
    <w:rsid w:val="00594FCD"/>
    <w:rsid w:val="0059543F"/>
    <w:rsid w:val="005955D7"/>
    <w:rsid w:val="00595AFF"/>
    <w:rsid w:val="005963E8"/>
    <w:rsid w:val="0059657F"/>
    <w:rsid w:val="00597DC0"/>
    <w:rsid w:val="005A0532"/>
    <w:rsid w:val="005A0DE6"/>
    <w:rsid w:val="005A1ABA"/>
    <w:rsid w:val="005A1F03"/>
    <w:rsid w:val="005A24B2"/>
    <w:rsid w:val="005A2758"/>
    <w:rsid w:val="005A280F"/>
    <w:rsid w:val="005A3694"/>
    <w:rsid w:val="005A37D2"/>
    <w:rsid w:val="005A3F3C"/>
    <w:rsid w:val="005A3FE8"/>
    <w:rsid w:val="005A4C4B"/>
    <w:rsid w:val="005A525E"/>
    <w:rsid w:val="005A553B"/>
    <w:rsid w:val="005A5A38"/>
    <w:rsid w:val="005A5C72"/>
    <w:rsid w:val="005A5D39"/>
    <w:rsid w:val="005A5E3E"/>
    <w:rsid w:val="005A7274"/>
    <w:rsid w:val="005A7446"/>
    <w:rsid w:val="005A7459"/>
    <w:rsid w:val="005A77CE"/>
    <w:rsid w:val="005B04EA"/>
    <w:rsid w:val="005B0CD7"/>
    <w:rsid w:val="005B186C"/>
    <w:rsid w:val="005B24A9"/>
    <w:rsid w:val="005B27C4"/>
    <w:rsid w:val="005B3F93"/>
    <w:rsid w:val="005B4701"/>
    <w:rsid w:val="005B533C"/>
    <w:rsid w:val="005B5387"/>
    <w:rsid w:val="005B538E"/>
    <w:rsid w:val="005B5556"/>
    <w:rsid w:val="005B56B2"/>
    <w:rsid w:val="005B5A42"/>
    <w:rsid w:val="005B60BA"/>
    <w:rsid w:val="005B6741"/>
    <w:rsid w:val="005B689A"/>
    <w:rsid w:val="005B6D25"/>
    <w:rsid w:val="005B705E"/>
    <w:rsid w:val="005B71EC"/>
    <w:rsid w:val="005B7F8D"/>
    <w:rsid w:val="005C007C"/>
    <w:rsid w:val="005C0281"/>
    <w:rsid w:val="005C02B0"/>
    <w:rsid w:val="005C0377"/>
    <w:rsid w:val="005C0B9F"/>
    <w:rsid w:val="005C0EFA"/>
    <w:rsid w:val="005C10FC"/>
    <w:rsid w:val="005C12BB"/>
    <w:rsid w:val="005C17D9"/>
    <w:rsid w:val="005C2288"/>
    <w:rsid w:val="005C240B"/>
    <w:rsid w:val="005C24C6"/>
    <w:rsid w:val="005C25EF"/>
    <w:rsid w:val="005C299F"/>
    <w:rsid w:val="005C2CC9"/>
    <w:rsid w:val="005C340D"/>
    <w:rsid w:val="005C35F8"/>
    <w:rsid w:val="005C3E78"/>
    <w:rsid w:val="005C3EB8"/>
    <w:rsid w:val="005C4803"/>
    <w:rsid w:val="005C4D78"/>
    <w:rsid w:val="005C509B"/>
    <w:rsid w:val="005C5125"/>
    <w:rsid w:val="005C5412"/>
    <w:rsid w:val="005C54F6"/>
    <w:rsid w:val="005C572C"/>
    <w:rsid w:val="005C59A3"/>
    <w:rsid w:val="005C5D8E"/>
    <w:rsid w:val="005C5EE6"/>
    <w:rsid w:val="005C6131"/>
    <w:rsid w:val="005C6A18"/>
    <w:rsid w:val="005C6A84"/>
    <w:rsid w:val="005C72BC"/>
    <w:rsid w:val="005C72DC"/>
    <w:rsid w:val="005C737E"/>
    <w:rsid w:val="005C75A4"/>
    <w:rsid w:val="005C765C"/>
    <w:rsid w:val="005C7877"/>
    <w:rsid w:val="005C7CDB"/>
    <w:rsid w:val="005D01D5"/>
    <w:rsid w:val="005D0289"/>
    <w:rsid w:val="005D0491"/>
    <w:rsid w:val="005D04D6"/>
    <w:rsid w:val="005D06C0"/>
    <w:rsid w:val="005D0E3E"/>
    <w:rsid w:val="005D1326"/>
    <w:rsid w:val="005D14C2"/>
    <w:rsid w:val="005D157C"/>
    <w:rsid w:val="005D1646"/>
    <w:rsid w:val="005D176E"/>
    <w:rsid w:val="005D2168"/>
    <w:rsid w:val="005D387D"/>
    <w:rsid w:val="005D4715"/>
    <w:rsid w:val="005D489C"/>
    <w:rsid w:val="005D49EE"/>
    <w:rsid w:val="005D4E29"/>
    <w:rsid w:val="005D4EE7"/>
    <w:rsid w:val="005D5328"/>
    <w:rsid w:val="005D54E2"/>
    <w:rsid w:val="005D601F"/>
    <w:rsid w:val="005D615C"/>
    <w:rsid w:val="005D6526"/>
    <w:rsid w:val="005D656A"/>
    <w:rsid w:val="005D67CD"/>
    <w:rsid w:val="005D690E"/>
    <w:rsid w:val="005D6EC6"/>
    <w:rsid w:val="005D74D1"/>
    <w:rsid w:val="005D79BE"/>
    <w:rsid w:val="005D7ADB"/>
    <w:rsid w:val="005D7F2C"/>
    <w:rsid w:val="005E02AF"/>
    <w:rsid w:val="005E089C"/>
    <w:rsid w:val="005E0B83"/>
    <w:rsid w:val="005E0C31"/>
    <w:rsid w:val="005E0C3D"/>
    <w:rsid w:val="005E0EB8"/>
    <w:rsid w:val="005E0F80"/>
    <w:rsid w:val="005E0FBB"/>
    <w:rsid w:val="005E22DB"/>
    <w:rsid w:val="005E23EA"/>
    <w:rsid w:val="005E30C1"/>
    <w:rsid w:val="005E33EF"/>
    <w:rsid w:val="005E34DA"/>
    <w:rsid w:val="005E4609"/>
    <w:rsid w:val="005E510B"/>
    <w:rsid w:val="005E5CC3"/>
    <w:rsid w:val="005E5DA6"/>
    <w:rsid w:val="005E657C"/>
    <w:rsid w:val="005E665A"/>
    <w:rsid w:val="005E6845"/>
    <w:rsid w:val="005E6887"/>
    <w:rsid w:val="005E6EE2"/>
    <w:rsid w:val="005E70A6"/>
    <w:rsid w:val="005E7192"/>
    <w:rsid w:val="005E71DF"/>
    <w:rsid w:val="005E7E5D"/>
    <w:rsid w:val="005E7EB4"/>
    <w:rsid w:val="005E7F84"/>
    <w:rsid w:val="005F03EA"/>
    <w:rsid w:val="005F0510"/>
    <w:rsid w:val="005F0A2B"/>
    <w:rsid w:val="005F0B12"/>
    <w:rsid w:val="005F13DE"/>
    <w:rsid w:val="005F1F6C"/>
    <w:rsid w:val="005F2026"/>
    <w:rsid w:val="005F2614"/>
    <w:rsid w:val="005F261C"/>
    <w:rsid w:val="005F2629"/>
    <w:rsid w:val="005F26DB"/>
    <w:rsid w:val="005F29F5"/>
    <w:rsid w:val="005F2B99"/>
    <w:rsid w:val="005F2C24"/>
    <w:rsid w:val="005F2C9D"/>
    <w:rsid w:val="005F372C"/>
    <w:rsid w:val="005F3E89"/>
    <w:rsid w:val="005F5B29"/>
    <w:rsid w:val="005F65DE"/>
    <w:rsid w:val="005F6B50"/>
    <w:rsid w:val="005F6C45"/>
    <w:rsid w:val="005F6D08"/>
    <w:rsid w:val="005F6F70"/>
    <w:rsid w:val="005F756A"/>
    <w:rsid w:val="005F77AC"/>
    <w:rsid w:val="0060017F"/>
    <w:rsid w:val="006001C6"/>
    <w:rsid w:val="006006BC"/>
    <w:rsid w:val="0060087F"/>
    <w:rsid w:val="00600CEB"/>
    <w:rsid w:val="00601177"/>
    <w:rsid w:val="00601AEC"/>
    <w:rsid w:val="00601F31"/>
    <w:rsid w:val="0060224C"/>
    <w:rsid w:val="006024CC"/>
    <w:rsid w:val="00602860"/>
    <w:rsid w:val="00602A02"/>
    <w:rsid w:val="00602BC0"/>
    <w:rsid w:val="00603000"/>
    <w:rsid w:val="0060300D"/>
    <w:rsid w:val="00603277"/>
    <w:rsid w:val="0060333F"/>
    <w:rsid w:val="00603526"/>
    <w:rsid w:val="00603E8A"/>
    <w:rsid w:val="006040CF"/>
    <w:rsid w:val="00604577"/>
    <w:rsid w:val="00604C45"/>
    <w:rsid w:val="00605AE9"/>
    <w:rsid w:val="00605F75"/>
    <w:rsid w:val="00606520"/>
    <w:rsid w:val="00606974"/>
    <w:rsid w:val="00606BF1"/>
    <w:rsid w:val="00606CF8"/>
    <w:rsid w:val="00606EC5"/>
    <w:rsid w:val="00606FD5"/>
    <w:rsid w:val="0060727F"/>
    <w:rsid w:val="006073DB"/>
    <w:rsid w:val="006074A3"/>
    <w:rsid w:val="00607D03"/>
    <w:rsid w:val="00607E34"/>
    <w:rsid w:val="00607FAE"/>
    <w:rsid w:val="0061048F"/>
    <w:rsid w:val="006105C0"/>
    <w:rsid w:val="00610633"/>
    <w:rsid w:val="00610A05"/>
    <w:rsid w:val="00610F04"/>
    <w:rsid w:val="00611083"/>
    <w:rsid w:val="00611C14"/>
    <w:rsid w:val="006133E6"/>
    <w:rsid w:val="00614124"/>
    <w:rsid w:val="00614143"/>
    <w:rsid w:val="006144AF"/>
    <w:rsid w:val="006148DA"/>
    <w:rsid w:val="00614969"/>
    <w:rsid w:val="00614A5B"/>
    <w:rsid w:val="006151C8"/>
    <w:rsid w:val="00615662"/>
    <w:rsid w:val="006159A0"/>
    <w:rsid w:val="00615DEB"/>
    <w:rsid w:val="00615FEC"/>
    <w:rsid w:val="006168CB"/>
    <w:rsid w:val="00616975"/>
    <w:rsid w:val="006173C2"/>
    <w:rsid w:val="006175D4"/>
    <w:rsid w:val="006176CC"/>
    <w:rsid w:val="00617E0A"/>
    <w:rsid w:val="00617E24"/>
    <w:rsid w:val="00620081"/>
    <w:rsid w:val="00620150"/>
    <w:rsid w:val="00620596"/>
    <w:rsid w:val="0062078E"/>
    <w:rsid w:val="00620D13"/>
    <w:rsid w:val="00621027"/>
    <w:rsid w:val="006213EF"/>
    <w:rsid w:val="00621450"/>
    <w:rsid w:val="00621E71"/>
    <w:rsid w:val="0062263A"/>
    <w:rsid w:val="00622731"/>
    <w:rsid w:val="0062287A"/>
    <w:rsid w:val="0062293E"/>
    <w:rsid w:val="00622B8B"/>
    <w:rsid w:val="00622F32"/>
    <w:rsid w:val="00623760"/>
    <w:rsid w:val="00624096"/>
    <w:rsid w:val="006242E4"/>
    <w:rsid w:val="00625708"/>
    <w:rsid w:val="0062582B"/>
    <w:rsid w:val="0062582D"/>
    <w:rsid w:val="006259DF"/>
    <w:rsid w:val="00625C8E"/>
    <w:rsid w:val="00625FA6"/>
    <w:rsid w:val="006261E6"/>
    <w:rsid w:val="0062643B"/>
    <w:rsid w:val="00626997"/>
    <w:rsid w:val="00626AA5"/>
    <w:rsid w:val="00626D7A"/>
    <w:rsid w:val="00626E35"/>
    <w:rsid w:val="00626E59"/>
    <w:rsid w:val="00626F74"/>
    <w:rsid w:val="006272E9"/>
    <w:rsid w:val="0062782B"/>
    <w:rsid w:val="00627995"/>
    <w:rsid w:val="00630031"/>
    <w:rsid w:val="006300AC"/>
    <w:rsid w:val="006301B9"/>
    <w:rsid w:val="00630531"/>
    <w:rsid w:val="00630620"/>
    <w:rsid w:val="00630783"/>
    <w:rsid w:val="006312E8"/>
    <w:rsid w:val="00631564"/>
    <w:rsid w:val="00632217"/>
    <w:rsid w:val="0063235F"/>
    <w:rsid w:val="00633035"/>
    <w:rsid w:val="006333AD"/>
    <w:rsid w:val="00633512"/>
    <w:rsid w:val="00634148"/>
    <w:rsid w:val="006346E0"/>
    <w:rsid w:val="00634F54"/>
    <w:rsid w:val="006356BD"/>
    <w:rsid w:val="00635A4F"/>
    <w:rsid w:val="00636339"/>
    <w:rsid w:val="006364F8"/>
    <w:rsid w:val="0063689A"/>
    <w:rsid w:val="006370E9"/>
    <w:rsid w:val="00637252"/>
    <w:rsid w:val="00637AD5"/>
    <w:rsid w:val="00637B9F"/>
    <w:rsid w:val="006400F5"/>
    <w:rsid w:val="006402D8"/>
    <w:rsid w:val="00640918"/>
    <w:rsid w:val="00640A4B"/>
    <w:rsid w:val="0064111A"/>
    <w:rsid w:val="006412B0"/>
    <w:rsid w:val="00641676"/>
    <w:rsid w:val="00641E07"/>
    <w:rsid w:val="00641FB1"/>
    <w:rsid w:val="00642166"/>
    <w:rsid w:val="00642CEB"/>
    <w:rsid w:val="00644449"/>
    <w:rsid w:val="00644473"/>
    <w:rsid w:val="006449CB"/>
    <w:rsid w:val="00644CB8"/>
    <w:rsid w:val="00644E16"/>
    <w:rsid w:val="00644F21"/>
    <w:rsid w:val="00645599"/>
    <w:rsid w:val="00645617"/>
    <w:rsid w:val="00645923"/>
    <w:rsid w:val="00645E0F"/>
    <w:rsid w:val="0064602B"/>
    <w:rsid w:val="0064638F"/>
    <w:rsid w:val="006466C8"/>
    <w:rsid w:val="00646BCB"/>
    <w:rsid w:val="00646D57"/>
    <w:rsid w:val="00646F22"/>
    <w:rsid w:val="006473AB"/>
    <w:rsid w:val="006474D9"/>
    <w:rsid w:val="00647A18"/>
    <w:rsid w:val="00647D69"/>
    <w:rsid w:val="00650189"/>
    <w:rsid w:val="00650321"/>
    <w:rsid w:val="006503CD"/>
    <w:rsid w:val="0065042E"/>
    <w:rsid w:val="006504D1"/>
    <w:rsid w:val="00650EF6"/>
    <w:rsid w:val="0065133E"/>
    <w:rsid w:val="006513D9"/>
    <w:rsid w:val="00651AA8"/>
    <w:rsid w:val="00651D05"/>
    <w:rsid w:val="00651DC5"/>
    <w:rsid w:val="00651F3A"/>
    <w:rsid w:val="0065205C"/>
    <w:rsid w:val="00652380"/>
    <w:rsid w:val="0065274F"/>
    <w:rsid w:val="00652D89"/>
    <w:rsid w:val="00652FD6"/>
    <w:rsid w:val="00652FEB"/>
    <w:rsid w:val="0065320E"/>
    <w:rsid w:val="00653824"/>
    <w:rsid w:val="00653944"/>
    <w:rsid w:val="00653A93"/>
    <w:rsid w:val="00654032"/>
    <w:rsid w:val="006540D2"/>
    <w:rsid w:val="006542FA"/>
    <w:rsid w:val="00654AA8"/>
    <w:rsid w:val="00654C88"/>
    <w:rsid w:val="00655546"/>
    <w:rsid w:val="006556C5"/>
    <w:rsid w:val="006559AB"/>
    <w:rsid w:val="00655A11"/>
    <w:rsid w:val="00655F55"/>
    <w:rsid w:val="006564CF"/>
    <w:rsid w:val="00656855"/>
    <w:rsid w:val="0065716C"/>
    <w:rsid w:val="00657632"/>
    <w:rsid w:val="0065773E"/>
    <w:rsid w:val="00657BFD"/>
    <w:rsid w:val="00657DFA"/>
    <w:rsid w:val="006606F4"/>
    <w:rsid w:val="006607F9"/>
    <w:rsid w:val="00660A49"/>
    <w:rsid w:val="00660A9A"/>
    <w:rsid w:val="00661250"/>
    <w:rsid w:val="0066142C"/>
    <w:rsid w:val="00661490"/>
    <w:rsid w:val="0066181C"/>
    <w:rsid w:val="00661ABD"/>
    <w:rsid w:val="00661C6E"/>
    <w:rsid w:val="00661E69"/>
    <w:rsid w:val="00661ED7"/>
    <w:rsid w:val="00661EE0"/>
    <w:rsid w:val="00662160"/>
    <w:rsid w:val="0066296B"/>
    <w:rsid w:val="00662A49"/>
    <w:rsid w:val="00663288"/>
    <w:rsid w:val="006633DB"/>
    <w:rsid w:val="00663786"/>
    <w:rsid w:val="006645EB"/>
    <w:rsid w:val="00664804"/>
    <w:rsid w:val="00665700"/>
    <w:rsid w:val="00665854"/>
    <w:rsid w:val="0066598B"/>
    <w:rsid w:val="00665BEE"/>
    <w:rsid w:val="0066673C"/>
    <w:rsid w:val="00666CCF"/>
    <w:rsid w:val="00666DA5"/>
    <w:rsid w:val="00667BAA"/>
    <w:rsid w:val="00667F72"/>
    <w:rsid w:val="006705C6"/>
    <w:rsid w:val="00670A64"/>
    <w:rsid w:val="00670F26"/>
    <w:rsid w:val="00671A61"/>
    <w:rsid w:val="00671A91"/>
    <w:rsid w:val="00672E53"/>
    <w:rsid w:val="006732EC"/>
    <w:rsid w:val="006737BD"/>
    <w:rsid w:val="006738E5"/>
    <w:rsid w:val="006741AC"/>
    <w:rsid w:val="0067451D"/>
    <w:rsid w:val="006750B0"/>
    <w:rsid w:val="00675442"/>
    <w:rsid w:val="006754B5"/>
    <w:rsid w:val="00675898"/>
    <w:rsid w:val="0067591E"/>
    <w:rsid w:val="0067594E"/>
    <w:rsid w:val="00675C76"/>
    <w:rsid w:val="0067657B"/>
    <w:rsid w:val="0067667E"/>
    <w:rsid w:val="00676E9A"/>
    <w:rsid w:val="006778F9"/>
    <w:rsid w:val="00677E19"/>
    <w:rsid w:val="00677F20"/>
    <w:rsid w:val="006802F2"/>
    <w:rsid w:val="006803DA"/>
    <w:rsid w:val="00680E73"/>
    <w:rsid w:val="006810BD"/>
    <w:rsid w:val="006814B0"/>
    <w:rsid w:val="00681AC6"/>
    <w:rsid w:val="006824AB"/>
    <w:rsid w:val="006828CB"/>
    <w:rsid w:val="00682DD8"/>
    <w:rsid w:val="00682F01"/>
    <w:rsid w:val="006831FA"/>
    <w:rsid w:val="006832DC"/>
    <w:rsid w:val="006833F9"/>
    <w:rsid w:val="006837D6"/>
    <w:rsid w:val="00683862"/>
    <w:rsid w:val="00683903"/>
    <w:rsid w:val="00684507"/>
    <w:rsid w:val="00684790"/>
    <w:rsid w:val="00684906"/>
    <w:rsid w:val="00685313"/>
    <w:rsid w:val="00685357"/>
    <w:rsid w:val="006853CA"/>
    <w:rsid w:val="00685761"/>
    <w:rsid w:val="0068597C"/>
    <w:rsid w:val="00686136"/>
    <w:rsid w:val="006868E6"/>
    <w:rsid w:val="006868F1"/>
    <w:rsid w:val="00687299"/>
    <w:rsid w:val="00687546"/>
    <w:rsid w:val="006879F9"/>
    <w:rsid w:val="00687AB1"/>
    <w:rsid w:val="00687E8E"/>
    <w:rsid w:val="00687F34"/>
    <w:rsid w:val="00690AE3"/>
    <w:rsid w:val="0069129C"/>
    <w:rsid w:val="00691343"/>
    <w:rsid w:val="00691573"/>
    <w:rsid w:val="00691607"/>
    <w:rsid w:val="00691D5A"/>
    <w:rsid w:val="00692106"/>
    <w:rsid w:val="00692542"/>
    <w:rsid w:val="00693073"/>
    <w:rsid w:val="00693127"/>
    <w:rsid w:val="0069319C"/>
    <w:rsid w:val="00693D5C"/>
    <w:rsid w:val="00693D5D"/>
    <w:rsid w:val="00693E9F"/>
    <w:rsid w:val="00693F5C"/>
    <w:rsid w:val="00693FA2"/>
    <w:rsid w:val="006946E2"/>
    <w:rsid w:val="00694710"/>
    <w:rsid w:val="00694B9B"/>
    <w:rsid w:val="0069507F"/>
    <w:rsid w:val="00695459"/>
    <w:rsid w:val="006955F4"/>
    <w:rsid w:val="00696666"/>
    <w:rsid w:val="006971FA"/>
    <w:rsid w:val="00697374"/>
    <w:rsid w:val="006976EB"/>
    <w:rsid w:val="006A038E"/>
    <w:rsid w:val="006A048A"/>
    <w:rsid w:val="006A112B"/>
    <w:rsid w:val="006A1143"/>
    <w:rsid w:val="006A124E"/>
    <w:rsid w:val="006A1889"/>
    <w:rsid w:val="006A2CB6"/>
    <w:rsid w:val="006A2FEA"/>
    <w:rsid w:val="006A35B2"/>
    <w:rsid w:val="006A36E8"/>
    <w:rsid w:val="006A3F01"/>
    <w:rsid w:val="006A49A5"/>
    <w:rsid w:val="006A50BE"/>
    <w:rsid w:val="006A58C2"/>
    <w:rsid w:val="006A59E5"/>
    <w:rsid w:val="006A5EDB"/>
    <w:rsid w:val="006A61BB"/>
    <w:rsid w:val="006A67EE"/>
    <w:rsid w:val="006A6BFA"/>
    <w:rsid w:val="006A6CB4"/>
    <w:rsid w:val="006A6F9B"/>
    <w:rsid w:val="006A6FB2"/>
    <w:rsid w:val="006A704D"/>
    <w:rsid w:val="006A723E"/>
    <w:rsid w:val="006A79C6"/>
    <w:rsid w:val="006A7AF2"/>
    <w:rsid w:val="006B0158"/>
    <w:rsid w:val="006B0472"/>
    <w:rsid w:val="006B053A"/>
    <w:rsid w:val="006B0635"/>
    <w:rsid w:val="006B072E"/>
    <w:rsid w:val="006B07AA"/>
    <w:rsid w:val="006B0AF5"/>
    <w:rsid w:val="006B0B8B"/>
    <w:rsid w:val="006B1933"/>
    <w:rsid w:val="006B1C37"/>
    <w:rsid w:val="006B1CF2"/>
    <w:rsid w:val="006B1F9D"/>
    <w:rsid w:val="006B2174"/>
    <w:rsid w:val="006B22A2"/>
    <w:rsid w:val="006B23F5"/>
    <w:rsid w:val="006B2404"/>
    <w:rsid w:val="006B25A2"/>
    <w:rsid w:val="006B28DD"/>
    <w:rsid w:val="006B2B24"/>
    <w:rsid w:val="006B2B3B"/>
    <w:rsid w:val="006B2C07"/>
    <w:rsid w:val="006B2DFA"/>
    <w:rsid w:val="006B2ED2"/>
    <w:rsid w:val="006B40B2"/>
    <w:rsid w:val="006B45F8"/>
    <w:rsid w:val="006B56C5"/>
    <w:rsid w:val="006B5A29"/>
    <w:rsid w:val="006B5AA2"/>
    <w:rsid w:val="006B6E06"/>
    <w:rsid w:val="006B7737"/>
    <w:rsid w:val="006B777E"/>
    <w:rsid w:val="006B78D2"/>
    <w:rsid w:val="006B798A"/>
    <w:rsid w:val="006B7B83"/>
    <w:rsid w:val="006B7FD1"/>
    <w:rsid w:val="006C0F9A"/>
    <w:rsid w:val="006C1278"/>
    <w:rsid w:val="006C12FA"/>
    <w:rsid w:val="006C13A5"/>
    <w:rsid w:val="006C1626"/>
    <w:rsid w:val="006C1DC6"/>
    <w:rsid w:val="006C21F9"/>
    <w:rsid w:val="006C2AA3"/>
    <w:rsid w:val="006C2BDC"/>
    <w:rsid w:val="006C2C5A"/>
    <w:rsid w:val="006C2EFA"/>
    <w:rsid w:val="006C3154"/>
    <w:rsid w:val="006C32AA"/>
    <w:rsid w:val="006C340D"/>
    <w:rsid w:val="006C3C72"/>
    <w:rsid w:val="006C449D"/>
    <w:rsid w:val="006C4BB7"/>
    <w:rsid w:val="006C5D38"/>
    <w:rsid w:val="006C6000"/>
    <w:rsid w:val="006C602C"/>
    <w:rsid w:val="006C648A"/>
    <w:rsid w:val="006C67E1"/>
    <w:rsid w:val="006C6C16"/>
    <w:rsid w:val="006C71B7"/>
    <w:rsid w:val="006C745E"/>
    <w:rsid w:val="006D022C"/>
    <w:rsid w:val="006D0389"/>
    <w:rsid w:val="006D09B6"/>
    <w:rsid w:val="006D0AB1"/>
    <w:rsid w:val="006D0C50"/>
    <w:rsid w:val="006D10AC"/>
    <w:rsid w:val="006D1EDC"/>
    <w:rsid w:val="006D221E"/>
    <w:rsid w:val="006D2434"/>
    <w:rsid w:val="006D29AA"/>
    <w:rsid w:val="006D2CEF"/>
    <w:rsid w:val="006D327F"/>
    <w:rsid w:val="006D36D3"/>
    <w:rsid w:val="006D3CCE"/>
    <w:rsid w:val="006D3F0F"/>
    <w:rsid w:val="006D4178"/>
    <w:rsid w:val="006D46D2"/>
    <w:rsid w:val="006D47A3"/>
    <w:rsid w:val="006D486C"/>
    <w:rsid w:val="006D4CF6"/>
    <w:rsid w:val="006D4FD5"/>
    <w:rsid w:val="006D539B"/>
    <w:rsid w:val="006D56FA"/>
    <w:rsid w:val="006D5847"/>
    <w:rsid w:val="006D5BD8"/>
    <w:rsid w:val="006D60ED"/>
    <w:rsid w:val="006D6229"/>
    <w:rsid w:val="006D6645"/>
    <w:rsid w:val="006D6E55"/>
    <w:rsid w:val="006D6EA4"/>
    <w:rsid w:val="006D71BD"/>
    <w:rsid w:val="006D739A"/>
    <w:rsid w:val="006D7B28"/>
    <w:rsid w:val="006E0FEA"/>
    <w:rsid w:val="006E1086"/>
    <w:rsid w:val="006E12C4"/>
    <w:rsid w:val="006E20BD"/>
    <w:rsid w:val="006E26BC"/>
    <w:rsid w:val="006E274E"/>
    <w:rsid w:val="006E303B"/>
    <w:rsid w:val="006E3203"/>
    <w:rsid w:val="006E3CDC"/>
    <w:rsid w:val="006E3FD8"/>
    <w:rsid w:val="006E4006"/>
    <w:rsid w:val="006E446D"/>
    <w:rsid w:val="006E4F18"/>
    <w:rsid w:val="006E4F72"/>
    <w:rsid w:val="006E537B"/>
    <w:rsid w:val="006E5BCD"/>
    <w:rsid w:val="006E5EB9"/>
    <w:rsid w:val="006E5F23"/>
    <w:rsid w:val="006E5F62"/>
    <w:rsid w:val="006E60A3"/>
    <w:rsid w:val="006E615B"/>
    <w:rsid w:val="006E6975"/>
    <w:rsid w:val="006E7285"/>
    <w:rsid w:val="006E72F6"/>
    <w:rsid w:val="006E7654"/>
    <w:rsid w:val="006E791A"/>
    <w:rsid w:val="006E7B08"/>
    <w:rsid w:val="006E7BE5"/>
    <w:rsid w:val="006F01FB"/>
    <w:rsid w:val="006F0973"/>
    <w:rsid w:val="006F0EEC"/>
    <w:rsid w:val="006F16E9"/>
    <w:rsid w:val="006F1731"/>
    <w:rsid w:val="006F1A6F"/>
    <w:rsid w:val="006F1B11"/>
    <w:rsid w:val="006F2216"/>
    <w:rsid w:val="006F261D"/>
    <w:rsid w:val="006F33F4"/>
    <w:rsid w:val="006F394E"/>
    <w:rsid w:val="006F3C45"/>
    <w:rsid w:val="006F4455"/>
    <w:rsid w:val="006F4965"/>
    <w:rsid w:val="006F4972"/>
    <w:rsid w:val="006F52B0"/>
    <w:rsid w:val="006F58DA"/>
    <w:rsid w:val="006F5D8E"/>
    <w:rsid w:val="006F6799"/>
    <w:rsid w:val="006F6A2E"/>
    <w:rsid w:val="006F6B09"/>
    <w:rsid w:val="006F6C25"/>
    <w:rsid w:val="006F713D"/>
    <w:rsid w:val="006F79F5"/>
    <w:rsid w:val="006F7D39"/>
    <w:rsid w:val="007000AC"/>
    <w:rsid w:val="007004AF"/>
    <w:rsid w:val="00700703"/>
    <w:rsid w:val="00700A12"/>
    <w:rsid w:val="00700A82"/>
    <w:rsid w:val="00700BF9"/>
    <w:rsid w:val="00700EC8"/>
    <w:rsid w:val="00701182"/>
    <w:rsid w:val="007013A0"/>
    <w:rsid w:val="00701ECB"/>
    <w:rsid w:val="0070222B"/>
    <w:rsid w:val="007024AF"/>
    <w:rsid w:val="007024B0"/>
    <w:rsid w:val="00702933"/>
    <w:rsid w:val="00702CB5"/>
    <w:rsid w:val="00702D3D"/>
    <w:rsid w:val="00702EDA"/>
    <w:rsid w:val="007033EB"/>
    <w:rsid w:val="007037BF"/>
    <w:rsid w:val="00703C52"/>
    <w:rsid w:val="007043AA"/>
    <w:rsid w:val="0070449F"/>
    <w:rsid w:val="00704577"/>
    <w:rsid w:val="00704584"/>
    <w:rsid w:val="007046D3"/>
    <w:rsid w:val="007046DB"/>
    <w:rsid w:val="0070486A"/>
    <w:rsid w:val="00704962"/>
    <w:rsid w:val="00704ACC"/>
    <w:rsid w:val="00704F27"/>
    <w:rsid w:val="007051B9"/>
    <w:rsid w:val="007052CA"/>
    <w:rsid w:val="00705363"/>
    <w:rsid w:val="0070545D"/>
    <w:rsid w:val="0070592F"/>
    <w:rsid w:val="007059D1"/>
    <w:rsid w:val="00705BB5"/>
    <w:rsid w:val="007063BE"/>
    <w:rsid w:val="00706425"/>
    <w:rsid w:val="0070651E"/>
    <w:rsid w:val="00706E73"/>
    <w:rsid w:val="00706E88"/>
    <w:rsid w:val="00707020"/>
    <w:rsid w:val="00707094"/>
    <w:rsid w:val="007070D4"/>
    <w:rsid w:val="007072BC"/>
    <w:rsid w:val="007074DC"/>
    <w:rsid w:val="007075EB"/>
    <w:rsid w:val="00707821"/>
    <w:rsid w:val="007101A0"/>
    <w:rsid w:val="0071073F"/>
    <w:rsid w:val="0071084E"/>
    <w:rsid w:val="007108F9"/>
    <w:rsid w:val="00710D2C"/>
    <w:rsid w:val="00710DA8"/>
    <w:rsid w:val="00710E8F"/>
    <w:rsid w:val="007111BC"/>
    <w:rsid w:val="00711513"/>
    <w:rsid w:val="00712466"/>
    <w:rsid w:val="00712F3A"/>
    <w:rsid w:val="00713B6F"/>
    <w:rsid w:val="00713CC7"/>
    <w:rsid w:val="007141F5"/>
    <w:rsid w:val="00714BDD"/>
    <w:rsid w:val="00714C97"/>
    <w:rsid w:val="007153C5"/>
    <w:rsid w:val="007154FC"/>
    <w:rsid w:val="007157D6"/>
    <w:rsid w:val="00715914"/>
    <w:rsid w:val="00715DA4"/>
    <w:rsid w:val="00716ECD"/>
    <w:rsid w:val="0071724F"/>
    <w:rsid w:val="00717510"/>
    <w:rsid w:val="00717DD9"/>
    <w:rsid w:val="00717DE9"/>
    <w:rsid w:val="00717E69"/>
    <w:rsid w:val="00720181"/>
    <w:rsid w:val="007202B8"/>
    <w:rsid w:val="007207D1"/>
    <w:rsid w:val="00720A11"/>
    <w:rsid w:val="00721160"/>
    <w:rsid w:val="0072128E"/>
    <w:rsid w:val="007214E9"/>
    <w:rsid w:val="00721F38"/>
    <w:rsid w:val="007231CE"/>
    <w:rsid w:val="007232AD"/>
    <w:rsid w:val="0072368B"/>
    <w:rsid w:val="007237A7"/>
    <w:rsid w:val="00723854"/>
    <w:rsid w:val="0072385A"/>
    <w:rsid w:val="00723D88"/>
    <w:rsid w:val="00723F10"/>
    <w:rsid w:val="007245FD"/>
    <w:rsid w:val="0072486E"/>
    <w:rsid w:val="00724D4C"/>
    <w:rsid w:val="00725027"/>
    <w:rsid w:val="00725117"/>
    <w:rsid w:val="0072516F"/>
    <w:rsid w:val="00725949"/>
    <w:rsid w:val="007259E2"/>
    <w:rsid w:val="007265E8"/>
    <w:rsid w:val="007270CF"/>
    <w:rsid w:val="0073032A"/>
    <w:rsid w:val="00730431"/>
    <w:rsid w:val="00730864"/>
    <w:rsid w:val="00730E15"/>
    <w:rsid w:val="0073148C"/>
    <w:rsid w:val="0073186B"/>
    <w:rsid w:val="0073197E"/>
    <w:rsid w:val="00731FC8"/>
    <w:rsid w:val="00732677"/>
    <w:rsid w:val="0073292B"/>
    <w:rsid w:val="0073292E"/>
    <w:rsid w:val="00732A32"/>
    <w:rsid w:val="00732B35"/>
    <w:rsid w:val="007332FF"/>
    <w:rsid w:val="007333B4"/>
    <w:rsid w:val="00733450"/>
    <w:rsid w:val="007334FB"/>
    <w:rsid w:val="007344B5"/>
    <w:rsid w:val="00734813"/>
    <w:rsid w:val="007348C2"/>
    <w:rsid w:val="00735152"/>
    <w:rsid w:val="00735BB6"/>
    <w:rsid w:val="0073601B"/>
    <w:rsid w:val="00736182"/>
    <w:rsid w:val="00736205"/>
    <w:rsid w:val="00736304"/>
    <w:rsid w:val="00736AA4"/>
    <w:rsid w:val="00740525"/>
    <w:rsid w:val="007407C4"/>
    <w:rsid w:val="00740FE6"/>
    <w:rsid w:val="00742056"/>
    <w:rsid w:val="00742537"/>
    <w:rsid w:val="00742C6E"/>
    <w:rsid w:val="0074303E"/>
    <w:rsid w:val="0074311A"/>
    <w:rsid w:val="007435A6"/>
    <w:rsid w:val="0074389C"/>
    <w:rsid w:val="00743CA3"/>
    <w:rsid w:val="00744089"/>
    <w:rsid w:val="00744967"/>
    <w:rsid w:val="0074502C"/>
    <w:rsid w:val="00745227"/>
    <w:rsid w:val="0074531C"/>
    <w:rsid w:val="0074533E"/>
    <w:rsid w:val="007457C7"/>
    <w:rsid w:val="007459DD"/>
    <w:rsid w:val="00745E47"/>
    <w:rsid w:val="007460AF"/>
    <w:rsid w:val="0074624A"/>
    <w:rsid w:val="00746C81"/>
    <w:rsid w:val="007477D4"/>
    <w:rsid w:val="00747868"/>
    <w:rsid w:val="007502F8"/>
    <w:rsid w:val="0075044D"/>
    <w:rsid w:val="00750686"/>
    <w:rsid w:val="00750822"/>
    <w:rsid w:val="00750FBE"/>
    <w:rsid w:val="00752249"/>
    <w:rsid w:val="00752FD2"/>
    <w:rsid w:val="0075303B"/>
    <w:rsid w:val="007532B3"/>
    <w:rsid w:val="00753319"/>
    <w:rsid w:val="007538F1"/>
    <w:rsid w:val="00753F62"/>
    <w:rsid w:val="00754829"/>
    <w:rsid w:val="00754E08"/>
    <w:rsid w:val="00754E68"/>
    <w:rsid w:val="00754EA5"/>
    <w:rsid w:val="00754EE8"/>
    <w:rsid w:val="00754FA6"/>
    <w:rsid w:val="007550F6"/>
    <w:rsid w:val="00755870"/>
    <w:rsid w:val="00755D6A"/>
    <w:rsid w:val="00756031"/>
    <w:rsid w:val="00756235"/>
    <w:rsid w:val="0075672A"/>
    <w:rsid w:val="00756F2E"/>
    <w:rsid w:val="00756FD7"/>
    <w:rsid w:val="0075703A"/>
    <w:rsid w:val="007570B1"/>
    <w:rsid w:val="00757179"/>
    <w:rsid w:val="0075733F"/>
    <w:rsid w:val="00757C3F"/>
    <w:rsid w:val="00757DC3"/>
    <w:rsid w:val="0076047F"/>
    <w:rsid w:val="0076068E"/>
    <w:rsid w:val="00760BF9"/>
    <w:rsid w:val="00761349"/>
    <w:rsid w:val="00762724"/>
    <w:rsid w:val="0076292D"/>
    <w:rsid w:val="00763281"/>
    <w:rsid w:val="00763396"/>
    <w:rsid w:val="00763777"/>
    <w:rsid w:val="00763C43"/>
    <w:rsid w:val="00763C63"/>
    <w:rsid w:val="00763D52"/>
    <w:rsid w:val="007640D4"/>
    <w:rsid w:val="007641AE"/>
    <w:rsid w:val="007654FD"/>
    <w:rsid w:val="007655A3"/>
    <w:rsid w:val="007657BF"/>
    <w:rsid w:val="007658E3"/>
    <w:rsid w:val="007666FA"/>
    <w:rsid w:val="00766D5A"/>
    <w:rsid w:val="00766EAF"/>
    <w:rsid w:val="00767555"/>
    <w:rsid w:val="00767E1C"/>
    <w:rsid w:val="0077083C"/>
    <w:rsid w:val="00770C07"/>
    <w:rsid w:val="00770EC4"/>
    <w:rsid w:val="00771999"/>
    <w:rsid w:val="0077213A"/>
    <w:rsid w:val="007724EC"/>
    <w:rsid w:val="00772565"/>
    <w:rsid w:val="00772BD6"/>
    <w:rsid w:val="0077346D"/>
    <w:rsid w:val="0077347C"/>
    <w:rsid w:val="007737C3"/>
    <w:rsid w:val="0077396A"/>
    <w:rsid w:val="00773CD9"/>
    <w:rsid w:val="00774975"/>
    <w:rsid w:val="007749A5"/>
    <w:rsid w:val="00775977"/>
    <w:rsid w:val="00775BF6"/>
    <w:rsid w:val="00775C26"/>
    <w:rsid w:val="00775F22"/>
    <w:rsid w:val="0077601A"/>
    <w:rsid w:val="00776203"/>
    <w:rsid w:val="007762D5"/>
    <w:rsid w:val="00776342"/>
    <w:rsid w:val="007766BC"/>
    <w:rsid w:val="00776CBD"/>
    <w:rsid w:val="00777075"/>
    <w:rsid w:val="00777480"/>
    <w:rsid w:val="00777AC4"/>
    <w:rsid w:val="00777F9F"/>
    <w:rsid w:val="00780297"/>
    <w:rsid w:val="00780609"/>
    <w:rsid w:val="00780777"/>
    <w:rsid w:val="00780D82"/>
    <w:rsid w:val="00780DC8"/>
    <w:rsid w:val="0078123B"/>
    <w:rsid w:val="007817E7"/>
    <w:rsid w:val="00781A98"/>
    <w:rsid w:val="007822CC"/>
    <w:rsid w:val="00782859"/>
    <w:rsid w:val="00782C66"/>
    <w:rsid w:val="00782E6C"/>
    <w:rsid w:val="00783059"/>
    <w:rsid w:val="00783257"/>
    <w:rsid w:val="007835B5"/>
    <w:rsid w:val="007835FE"/>
    <w:rsid w:val="007838FE"/>
    <w:rsid w:val="00783B56"/>
    <w:rsid w:val="00783D0E"/>
    <w:rsid w:val="00783EC4"/>
    <w:rsid w:val="00784163"/>
    <w:rsid w:val="007842B7"/>
    <w:rsid w:val="00784768"/>
    <w:rsid w:val="0078492F"/>
    <w:rsid w:val="00784A59"/>
    <w:rsid w:val="00784FED"/>
    <w:rsid w:val="00785527"/>
    <w:rsid w:val="007855D9"/>
    <w:rsid w:val="007859C1"/>
    <w:rsid w:val="007863B7"/>
    <w:rsid w:val="00786534"/>
    <w:rsid w:val="00786F41"/>
    <w:rsid w:val="00787869"/>
    <w:rsid w:val="00787AC6"/>
    <w:rsid w:val="00787B52"/>
    <w:rsid w:val="007900BC"/>
    <w:rsid w:val="00790428"/>
    <w:rsid w:val="007907C4"/>
    <w:rsid w:val="00790DFF"/>
    <w:rsid w:val="00790F21"/>
    <w:rsid w:val="007919C3"/>
    <w:rsid w:val="00792020"/>
    <w:rsid w:val="00792D34"/>
    <w:rsid w:val="00792D38"/>
    <w:rsid w:val="0079306B"/>
    <w:rsid w:val="00793160"/>
    <w:rsid w:val="007936CB"/>
    <w:rsid w:val="00793A37"/>
    <w:rsid w:val="00793D70"/>
    <w:rsid w:val="00793E43"/>
    <w:rsid w:val="007941EA"/>
    <w:rsid w:val="0079421F"/>
    <w:rsid w:val="007942B6"/>
    <w:rsid w:val="00794CCD"/>
    <w:rsid w:val="00794DDC"/>
    <w:rsid w:val="00795929"/>
    <w:rsid w:val="00795BB0"/>
    <w:rsid w:val="00795E34"/>
    <w:rsid w:val="007960D1"/>
    <w:rsid w:val="00796134"/>
    <w:rsid w:val="00796231"/>
    <w:rsid w:val="0079634D"/>
    <w:rsid w:val="0079655C"/>
    <w:rsid w:val="007965AD"/>
    <w:rsid w:val="007966D9"/>
    <w:rsid w:val="00796F48"/>
    <w:rsid w:val="00796FA2"/>
    <w:rsid w:val="00797476"/>
    <w:rsid w:val="00797790"/>
    <w:rsid w:val="00797DBC"/>
    <w:rsid w:val="00797DC3"/>
    <w:rsid w:val="007A0269"/>
    <w:rsid w:val="007A03CF"/>
    <w:rsid w:val="007A06D7"/>
    <w:rsid w:val="007A08D7"/>
    <w:rsid w:val="007A095E"/>
    <w:rsid w:val="007A09F7"/>
    <w:rsid w:val="007A0A94"/>
    <w:rsid w:val="007A1357"/>
    <w:rsid w:val="007A1418"/>
    <w:rsid w:val="007A2014"/>
    <w:rsid w:val="007A2C4F"/>
    <w:rsid w:val="007A2D08"/>
    <w:rsid w:val="007A3549"/>
    <w:rsid w:val="007A3729"/>
    <w:rsid w:val="007A3977"/>
    <w:rsid w:val="007A3C38"/>
    <w:rsid w:val="007A3DF1"/>
    <w:rsid w:val="007A5B5B"/>
    <w:rsid w:val="007A5BB2"/>
    <w:rsid w:val="007A5BC6"/>
    <w:rsid w:val="007A5C77"/>
    <w:rsid w:val="007A5ED9"/>
    <w:rsid w:val="007A5F11"/>
    <w:rsid w:val="007A5FF8"/>
    <w:rsid w:val="007A6907"/>
    <w:rsid w:val="007A69EC"/>
    <w:rsid w:val="007A6BE8"/>
    <w:rsid w:val="007A6EF4"/>
    <w:rsid w:val="007A769F"/>
    <w:rsid w:val="007A77AD"/>
    <w:rsid w:val="007A7865"/>
    <w:rsid w:val="007A7EA7"/>
    <w:rsid w:val="007B013B"/>
    <w:rsid w:val="007B0511"/>
    <w:rsid w:val="007B09AE"/>
    <w:rsid w:val="007B12DD"/>
    <w:rsid w:val="007B1616"/>
    <w:rsid w:val="007B2221"/>
    <w:rsid w:val="007B25B0"/>
    <w:rsid w:val="007B2EEB"/>
    <w:rsid w:val="007B2F02"/>
    <w:rsid w:val="007B3378"/>
    <w:rsid w:val="007B37A4"/>
    <w:rsid w:val="007B3C53"/>
    <w:rsid w:val="007B3DB3"/>
    <w:rsid w:val="007B3E29"/>
    <w:rsid w:val="007B4BE9"/>
    <w:rsid w:val="007B4C4E"/>
    <w:rsid w:val="007B4E27"/>
    <w:rsid w:val="007B4E89"/>
    <w:rsid w:val="007B505D"/>
    <w:rsid w:val="007B5113"/>
    <w:rsid w:val="007B58E7"/>
    <w:rsid w:val="007B5ED3"/>
    <w:rsid w:val="007B6AA3"/>
    <w:rsid w:val="007B6C25"/>
    <w:rsid w:val="007B6C7E"/>
    <w:rsid w:val="007B79A8"/>
    <w:rsid w:val="007C0832"/>
    <w:rsid w:val="007C0921"/>
    <w:rsid w:val="007C0C01"/>
    <w:rsid w:val="007C0C20"/>
    <w:rsid w:val="007C0D70"/>
    <w:rsid w:val="007C113F"/>
    <w:rsid w:val="007C126A"/>
    <w:rsid w:val="007C12CC"/>
    <w:rsid w:val="007C1A28"/>
    <w:rsid w:val="007C1C32"/>
    <w:rsid w:val="007C2154"/>
    <w:rsid w:val="007C252C"/>
    <w:rsid w:val="007C2736"/>
    <w:rsid w:val="007C281F"/>
    <w:rsid w:val="007C39E5"/>
    <w:rsid w:val="007C3AE2"/>
    <w:rsid w:val="007C3F21"/>
    <w:rsid w:val="007C3FB2"/>
    <w:rsid w:val="007C4632"/>
    <w:rsid w:val="007C4B23"/>
    <w:rsid w:val="007C4CFE"/>
    <w:rsid w:val="007C5218"/>
    <w:rsid w:val="007C563D"/>
    <w:rsid w:val="007C5661"/>
    <w:rsid w:val="007C57E7"/>
    <w:rsid w:val="007C5CBF"/>
    <w:rsid w:val="007C64E1"/>
    <w:rsid w:val="007C666F"/>
    <w:rsid w:val="007C6E32"/>
    <w:rsid w:val="007C70E3"/>
    <w:rsid w:val="007C7800"/>
    <w:rsid w:val="007C7849"/>
    <w:rsid w:val="007C7BED"/>
    <w:rsid w:val="007C7E72"/>
    <w:rsid w:val="007D015B"/>
    <w:rsid w:val="007D0393"/>
    <w:rsid w:val="007D101E"/>
    <w:rsid w:val="007D114B"/>
    <w:rsid w:val="007D11ED"/>
    <w:rsid w:val="007D1313"/>
    <w:rsid w:val="007D1723"/>
    <w:rsid w:val="007D2833"/>
    <w:rsid w:val="007D32BC"/>
    <w:rsid w:val="007D4473"/>
    <w:rsid w:val="007D4917"/>
    <w:rsid w:val="007D4A56"/>
    <w:rsid w:val="007D4C03"/>
    <w:rsid w:val="007D5025"/>
    <w:rsid w:val="007D5626"/>
    <w:rsid w:val="007D63E4"/>
    <w:rsid w:val="007D64A9"/>
    <w:rsid w:val="007D6FCD"/>
    <w:rsid w:val="007D70A5"/>
    <w:rsid w:val="007D7106"/>
    <w:rsid w:val="007D7178"/>
    <w:rsid w:val="007D7926"/>
    <w:rsid w:val="007D7CB4"/>
    <w:rsid w:val="007D7FC2"/>
    <w:rsid w:val="007E0606"/>
    <w:rsid w:val="007E0ABA"/>
    <w:rsid w:val="007E0C77"/>
    <w:rsid w:val="007E0D5E"/>
    <w:rsid w:val="007E1137"/>
    <w:rsid w:val="007E17E4"/>
    <w:rsid w:val="007E1A0C"/>
    <w:rsid w:val="007E1AFB"/>
    <w:rsid w:val="007E1EEB"/>
    <w:rsid w:val="007E24DC"/>
    <w:rsid w:val="007E2BDF"/>
    <w:rsid w:val="007E2DFA"/>
    <w:rsid w:val="007E30D4"/>
    <w:rsid w:val="007E34B5"/>
    <w:rsid w:val="007E3875"/>
    <w:rsid w:val="007E3B7B"/>
    <w:rsid w:val="007E3E2C"/>
    <w:rsid w:val="007E4100"/>
    <w:rsid w:val="007E426D"/>
    <w:rsid w:val="007E4696"/>
    <w:rsid w:val="007E53A0"/>
    <w:rsid w:val="007E59A0"/>
    <w:rsid w:val="007E60EA"/>
    <w:rsid w:val="007E64C1"/>
    <w:rsid w:val="007E664F"/>
    <w:rsid w:val="007E6677"/>
    <w:rsid w:val="007E6B0D"/>
    <w:rsid w:val="007E6DC6"/>
    <w:rsid w:val="007E6FDC"/>
    <w:rsid w:val="007E7607"/>
    <w:rsid w:val="007E7AE9"/>
    <w:rsid w:val="007E7B2A"/>
    <w:rsid w:val="007E7FB7"/>
    <w:rsid w:val="007E7FD0"/>
    <w:rsid w:val="007F0253"/>
    <w:rsid w:val="007F0328"/>
    <w:rsid w:val="007F0BBF"/>
    <w:rsid w:val="007F1072"/>
    <w:rsid w:val="007F10C8"/>
    <w:rsid w:val="007F131E"/>
    <w:rsid w:val="007F19EC"/>
    <w:rsid w:val="007F255A"/>
    <w:rsid w:val="007F2E4D"/>
    <w:rsid w:val="007F3198"/>
    <w:rsid w:val="007F3513"/>
    <w:rsid w:val="007F3F62"/>
    <w:rsid w:val="007F3FBD"/>
    <w:rsid w:val="007F456C"/>
    <w:rsid w:val="007F45BA"/>
    <w:rsid w:val="007F4920"/>
    <w:rsid w:val="007F4930"/>
    <w:rsid w:val="007F59A5"/>
    <w:rsid w:val="007F5A18"/>
    <w:rsid w:val="007F5A48"/>
    <w:rsid w:val="007F5C4D"/>
    <w:rsid w:val="007F5CA7"/>
    <w:rsid w:val="007F5E77"/>
    <w:rsid w:val="007F701C"/>
    <w:rsid w:val="007F744C"/>
    <w:rsid w:val="007F7C52"/>
    <w:rsid w:val="007F7E2A"/>
    <w:rsid w:val="00800668"/>
    <w:rsid w:val="0080110A"/>
    <w:rsid w:val="008017B1"/>
    <w:rsid w:val="00801930"/>
    <w:rsid w:val="008020C5"/>
    <w:rsid w:val="008025CC"/>
    <w:rsid w:val="008026CF"/>
    <w:rsid w:val="00802AB7"/>
    <w:rsid w:val="008030CD"/>
    <w:rsid w:val="008033CD"/>
    <w:rsid w:val="0080351B"/>
    <w:rsid w:val="0080367D"/>
    <w:rsid w:val="008038DB"/>
    <w:rsid w:val="0080471C"/>
    <w:rsid w:val="0080490C"/>
    <w:rsid w:val="00805108"/>
    <w:rsid w:val="008051AB"/>
    <w:rsid w:val="0080524B"/>
    <w:rsid w:val="008055AF"/>
    <w:rsid w:val="008066D3"/>
    <w:rsid w:val="0080670C"/>
    <w:rsid w:val="00806B88"/>
    <w:rsid w:val="00806F45"/>
    <w:rsid w:val="00807FDA"/>
    <w:rsid w:val="00810350"/>
    <w:rsid w:val="00810820"/>
    <w:rsid w:val="0081089C"/>
    <w:rsid w:val="00810D6F"/>
    <w:rsid w:val="008111EF"/>
    <w:rsid w:val="008121AE"/>
    <w:rsid w:val="008121C3"/>
    <w:rsid w:val="008125B5"/>
    <w:rsid w:val="008129AC"/>
    <w:rsid w:val="008129D6"/>
    <w:rsid w:val="00812D05"/>
    <w:rsid w:val="00812DC6"/>
    <w:rsid w:val="00812FF1"/>
    <w:rsid w:val="0081343E"/>
    <w:rsid w:val="00813A62"/>
    <w:rsid w:val="00813D8A"/>
    <w:rsid w:val="00814380"/>
    <w:rsid w:val="00814417"/>
    <w:rsid w:val="00814562"/>
    <w:rsid w:val="008145CB"/>
    <w:rsid w:val="0081509B"/>
    <w:rsid w:val="0081518C"/>
    <w:rsid w:val="008154F5"/>
    <w:rsid w:val="00815549"/>
    <w:rsid w:val="0081564C"/>
    <w:rsid w:val="00815893"/>
    <w:rsid w:val="00815AD9"/>
    <w:rsid w:val="00815CF8"/>
    <w:rsid w:val="008160AC"/>
    <w:rsid w:val="00816232"/>
    <w:rsid w:val="008164C0"/>
    <w:rsid w:val="00816870"/>
    <w:rsid w:val="0081691D"/>
    <w:rsid w:val="00816ED1"/>
    <w:rsid w:val="0081791B"/>
    <w:rsid w:val="00817A6F"/>
    <w:rsid w:val="00817FE1"/>
    <w:rsid w:val="00820540"/>
    <w:rsid w:val="00820974"/>
    <w:rsid w:val="0082097D"/>
    <w:rsid w:val="008209C7"/>
    <w:rsid w:val="008209D7"/>
    <w:rsid w:val="00820CAB"/>
    <w:rsid w:val="00820F37"/>
    <w:rsid w:val="00821299"/>
    <w:rsid w:val="00821E21"/>
    <w:rsid w:val="008222ED"/>
    <w:rsid w:val="008225DB"/>
    <w:rsid w:val="00823325"/>
    <w:rsid w:val="00823454"/>
    <w:rsid w:val="00823C51"/>
    <w:rsid w:val="00823F98"/>
    <w:rsid w:val="008248B7"/>
    <w:rsid w:val="008248F1"/>
    <w:rsid w:val="00824AE9"/>
    <w:rsid w:val="00824B29"/>
    <w:rsid w:val="0082539A"/>
    <w:rsid w:val="00825F97"/>
    <w:rsid w:val="00826243"/>
    <w:rsid w:val="0082666B"/>
    <w:rsid w:val="00827524"/>
    <w:rsid w:val="008277DA"/>
    <w:rsid w:val="00827F5C"/>
    <w:rsid w:val="00830105"/>
    <w:rsid w:val="0083088A"/>
    <w:rsid w:val="00831163"/>
    <w:rsid w:val="008311BA"/>
    <w:rsid w:val="0083137B"/>
    <w:rsid w:val="00831E7B"/>
    <w:rsid w:val="00832BB6"/>
    <w:rsid w:val="008331EF"/>
    <w:rsid w:val="00833895"/>
    <w:rsid w:val="00833945"/>
    <w:rsid w:val="0083395F"/>
    <w:rsid w:val="00833E09"/>
    <w:rsid w:val="008341A7"/>
    <w:rsid w:val="008343F8"/>
    <w:rsid w:val="00834E35"/>
    <w:rsid w:val="008355E3"/>
    <w:rsid w:val="00835A41"/>
    <w:rsid w:val="00835D20"/>
    <w:rsid w:val="00835E7A"/>
    <w:rsid w:val="0083651F"/>
    <w:rsid w:val="00836CEE"/>
    <w:rsid w:val="00837D84"/>
    <w:rsid w:val="0084049B"/>
    <w:rsid w:val="0084078A"/>
    <w:rsid w:val="00840B3B"/>
    <w:rsid w:val="00840EE1"/>
    <w:rsid w:val="00840FEF"/>
    <w:rsid w:val="00841EA5"/>
    <w:rsid w:val="00842941"/>
    <w:rsid w:val="00842E53"/>
    <w:rsid w:val="008437A0"/>
    <w:rsid w:val="00843A2F"/>
    <w:rsid w:val="00843AE0"/>
    <w:rsid w:val="00843C25"/>
    <w:rsid w:val="00843D32"/>
    <w:rsid w:val="008440B8"/>
    <w:rsid w:val="008443A6"/>
    <w:rsid w:val="00844950"/>
    <w:rsid w:val="008449DA"/>
    <w:rsid w:val="00844A3B"/>
    <w:rsid w:val="00844C3E"/>
    <w:rsid w:val="00845074"/>
    <w:rsid w:val="00845141"/>
    <w:rsid w:val="008457FE"/>
    <w:rsid w:val="00845D21"/>
    <w:rsid w:val="00845E26"/>
    <w:rsid w:val="00846CFD"/>
    <w:rsid w:val="00846EDC"/>
    <w:rsid w:val="00846FC9"/>
    <w:rsid w:val="00847416"/>
    <w:rsid w:val="00847481"/>
    <w:rsid w:val="00847898"/>
    <w:rsid w:val="00847921"/>
    <w:rsid w:val="00847929"/>
    <w:rsid w:val="008479CC"/>
    <w:rsid w:val="00847E63"/>
    <w:rsid w:val="00847FAD"/>
    <w:rsid w:val="008505B0"/>
    <w:rsid w:val="00850621"/>
    <w:rsid w:val="008508DD"/>
    <w:rsid w:val="008509C1"/>
    <w:rsid w:val="00850AC4"/>
    <w:rsid w:val="008516A7"/>
    <w:rsid w:val="00851790"/>
    <w:rsid w:val="00852304"/>
    <w:rsid w:val="00852964"/>
    <w:rsid w:val="00852CB0"/>
    <w:rsid w:val="00854E8E"/>
    <w:rsid w:val="00854EE7"/>
    <w:rsid w:val="00854F67"/>
    <w:rsid w:val="00855ACB"/>
    <w:rsid w:val="00855FB1"/>
    <w:rsid w:val="0085705F"/>
    <w:rsid w:val="008574B9"/>
    <w:rsid w:val="008575AC"/>
    <w:rsid w:val="008578FB"/>
    <w:rsid w:val="00857BDA"/>
    <w:rsid w:val="00857E09"/>
    <w:rsid w:val="00857F98"/>
    <w:rsid w:val="008601EE"/>
    <w:rsid w:val="00861484"/>
    <w:rsid w:val="0086163F"/>
    <w:rsid w:val="00861A15"/>
    <w:rsid w:val="00861C49"/>
    <w:rsid w:val="00861D41"/>
    <w:rsid w:val="00861EF8"/>
    <w:rsid w:val="0086226D"/>
    <w:rsid w:val="0086277F"/>
    <w:rsid w:val="008627BD"/>
    <w:rsid w:val="008628DB"/>
    <w:rsid w:val="00863438"/>
    <w:rsid w:val="0086372D"/>
    <w:rsid w:val="008637D2"/>
    <w:rsid w:val="00863848"/>
    <w:rsid w:val="00864604"/>
    <w:rsid w:val="00864752"/>
    <w:rsid w:val="0086485C"/>
    <w:rsid w:val="00864953"/>
    <w:rsid w:val="00865465"/>
    <w:rsid w:val="0086556A"/>
    <w:rsid w:val="008657BB"/>
    <w:rsid w:val="00865872"/>
    <w:rsid w:val="00865B50"/>
    <w:rsid w:val="00865DFC"/>
    <w:rsid w:val="00865E89"/>
    <w:rsid w:val="00866370"/>
    <w:rsid w:val="0086645D"/>
    <w:rsid w:val="00866784"/>
    <w:rsid w:val="00866A1D"/>
    <w:rsid w:val="00866CBE"/>
    <w:rsid w:val="00866CEB"/>
    <w:rsid w:val="00866E3F"/>
    <w:rsid w:val="008675DA"/>
    <w:rsid w:val="00867D1A"/>
    <w:rsid w:val="00870220"/>
    <w:rsid w:val="00870411"/>
    <w:rsid w:val="008705D1"/>
    <w:rsid w:val="008711F9"/>
    <w:rsid w:val="008715CD"/>
    <w:rsid w:val="00871914"/>
    <w:rsid w:val="008725DB"/>
    <w:rsid w:val="00874575"/>
    <w:rsid w:val="00874B35"/>
    <w:rsid w:val="00874D54"/>
    <w:rsid w:val="00874E77"/>
    <w:rsid w:val="0087546A"/>
    <w:rsid w:val="00875484"/>
    <w:rsid w:val="0087554D"/>
    <w:rsid w:val="00875CBE"/>
    <w:rsid w:val="00876155"/>
    <w:rsid w:val="00876450"/>
    <w:rsid w:val="008766D2"/>
    <w:rsid w:val="0087671D"/>
    <w:rsid w:val="00876DC6"/>
    <w:rsid w:val="00876EB0"/>
    <w:rsid w:val="00876F30"/>
    <w:rsid w:val="00877129"/>
    <w:rsid w:val="0087741D"/>
    <w:rsid w:val="00877423"/>
    <w:rsid w:val="008809AE"/>
    <w:rsid w:val="00881007"/>
    <w:rsid w:val="0088103E"/>
    <w:rsid w:val="0088169E"/>
    <w:rsid w:val="00881A4A"/>
    <w:rsid w:val="008822A5"/>
    <w:rsid w:val="00882385"/>
    <w:rsid w:val="0088241D"/>
    <w:rsid w:val="00882649"/>
    <w:rsid w:val="00882C7D"/>
    <w:rsid w:val="00882CB0"/>
    <w:rsid w:val="00882D19"/>
    <w:rsid w:val="00882DD1"/>
    <w:rsid w:val="00883855"/>
    <w:rsid w:val="00883D01"/>
    <w:rsid w:val="00884248"/>
    <w:rsid w:val="00884310"/>
    <w:rsid w:val="0088451E"/>
    <w:rsid w:val="00884660"/>
    <w:rsid w:val="00884EB9"/>
    <w:rsid w:val="0088537A"/>
    <w:rsid w:val="0088564E"/>
    <w:rsid w:val="00885A15"/>
    <w:rsid w:val="00885E44"/>
    <w:rsid w:val="008865B0"/>
    <w:rsid w:val="00886A3D"/>
    <w:rsid w:val="00886A7C"/>
    <w:rsid w:val="00886F5C"/>
    <w:rsid w:val="0088715F"/>
    <w:rsid w:val="00887341"/>
    <w:rsid w:val="00887CF4"/>
    <w:rsid w:val="00887FD3"/>
    <w:rsid w:val="008904B8"/>
    <w:rsid w:val="00890C6A"/>
    <w:rsid w:val="0089151B"/>
    <w:rsid w:val="00891655"/>
    <w:rsid w:val="00891BDB"/>
    <w:rsid w:val="00891CAE"/>
    <w:rsid w:val="00891F4E"/>
    <w:rsid w:val="008922B0"/>
    <w:rsid w:val="0089230B"/>
    <w:rsid w:val="008925D0"/>
    <w:rsid w:val="0089283F"/>
    <w:rsid w:val="00892A69"/>
    <w:rsid w:val="00892ADD"/>
    <w:rsid w:val="0089340D"/>
    <w:rsid w:val="0089364A"/>
    <w:rsid w:val="00893B7C"/>
    <w:rsid w:val="008942FD"/>
    <w:rsid w:val="00894530"/>
    <w:rsid w:val="00894CB3"/>
    <w:rsid w:val="0089541F"/>
    <w:rsid w:val="00895709"/>
    <w:rsid w:val="00896477"/>
    <w:rsid w:val="00896A79"/>
    <w:rsid w:val="0089720B"/>
    <w:rsid w:val="008975A8"/>
    <w:rsid w:val="00897A36"/>
    <w:rsid w:val="00897B70"/>
    <w:rsid w:val="00897D7E"/>
    <w:rsid w:val="008A0889"/>
    <w:rsid w:val="008A0CAA"/>
    <w:rsid w:val="008A149B"/>
    <w:rsid w:val="008A1979"/>
    <w:rsid w:val="008A1B90"/>
    <w:rsid w:val="008A2180"/>
    <w:rsid w:val="008A2760"/>
    <w:rsid w:val="008A2894"/>
    <w:rsid w:val="008A2E27"/>
    <w:rsid w:val="008A2FFA"/>
    <w:rsid w:val="008A339D"/>
    <w:rsid w:val="008A3A8E"/>
    <w:rsid w:val="008A46FE"/>
    <w:rsid w:val="008A4C84"/>
    <w:rsid w:val="008A5287"/>
    <w:rsid w:val="008A56E5"/>
    <w:rsid w:val="008A576E"/>
    <w:rsid w:val="008A5E8D"/>
    <w:rsid w:val="008A608B"/>
    <w:rsid w:val="008A61C2"/>
    <w:rsid w:val="008A63DB"/>
    <w:rsid w:val="008A6B49"/>
    <w:rsid w:val="008A76D9"/>
    <w:rsid w:val="008A7C8D"/>
    <w:rsid w:val="008A7DE3"/>
    <w:rsid w:val="008A7E91"/>
    <w:rsid w:val="008A7F6C"/>
    <w:rsid w:val="008B00A3"/>
    <w:rsid w:val="008B019E"/>
    <w:rsid w:val="008B04F4"/>
    <w:rsid w:val="008B0D90"/>
    <w:rsid w:val="008B13FF"/>
    <w:rsid w:val="008B1D4F"/>
    <w:rsid w:val="008B216D"/>
    <w:rsid w:val="008B2398"/>
    <w:rsid w:val="008B23B4"/>
    <w:rsid w:val="008B2CAE"/>
    <w:rsid w:val="008B3223"/>
    <w:rsid w:val="008B331A"/>
    <w:rsid w:val="008B350B"/>
    <w:rsid w:val="008B35CE"/>
    <w:rsid w:val="008B388C"/>
    <w:rsid w:val="008B38F9"/>
    <w:rsid w:val="008B3A93"/>
    <w:rsid w:val="008B3BF1"/>
    <w:rsid w:val="008B3D27"/>
    <w:rsid w:val="008B3D57"/>
    <w:rsid w:val="008B4D88"/>
    <w:rsid w:val="008B54DA"/>
    <w:rsid w:val="008B5A62"/>
    <w:rsid w:val="008B63CA"/>
    <w:rsid w:val="008B6586"/>
    <w:rsid w:val="008B659B"/>
    <w:rsid w:val="008B66E7"/>
    <w:rsid w:val="008B6BB9"/>
    <w:rsid w:val="008B6DB0"/>
    <w:rsid w:val="008B75BF"/>
    <w:rsid w:val="008B763D"/>
    <w:rsid w:val="008B779B"/>
    <w:rsid w:val="008B7C05"/>
    <w:rsid w:val="008C0603"/>
    <w:rsid w:val="008C0C16"/>
    <w:rsid w:val="008C116B"/>
    <w:rsid w:val="008C16CA"/>
    <w:rsid w:val="008C1E1E"/>
    <w:rsid w:val="008C1F76"/>
    <w:rsid w:val="008C2DA4"/>
    <w:rsid w:val="008C317A"/>
    <w:rsid w:val="008C34A1"/>
    <w:rsid w:val="008C3AE6"/>
    <w:rsid w:val="008C432C"/>
    <w:rsid w:val="008C44BB"/>
    <w:rsid w:val="008C477E"/>
    <w:rsid w:val="008C4981"/>
    <w:rsid w:val="008C501E"/>
    <w:rsid w:val="008C5650"/>
    <w:rsid w:val="008C59B7"/>
    <w:rsid w:val="008C5DB5"/>
    <w:rsid w:val="008C6172"/>
    <w:rsid w:val="008C687E"/>
    <w:rsid w:val="008C712C"/>
    <w:rsid w:val="008C738F"/>
    <w:rsid w:val="008C777F"/>
    <w:rsid w:val="008C7C57"/>
    <w:rsid w:val="008C7ECF"/>
    <w:rsid w:val="008D0E6C"/>
    <w:rsid w:val="008D1BCF"/>
    <w:rsid w:val="008D1E0F"/>
    <w:rsid w:val="008D1F68"/>
    <w:rsid w:val="008D1F79"/>
    <w:rsid w:val="008D2125"/>
    <w:rsid w:val="008D246D"/>
    <w:rsid w:val="008D24CD"/>
    <w:rsid w:val="008D2B38"/>
    <w:rsid w:val="008D2C17"/>
    <w:rsid w:val="008D2F31"/>
    <w:rsid w:val="008D35D1"/>
    <w:rsid w:val="008D42B7"/>
    <w:rsid w:val="008D4583"/>
    <w:rsid w:val="008D4646"/>
    <w:rsid w:val="008D4651"/>
    <w:rsid w:val="008D4683"/>
    <w:rsid w:val="008D4801"/>
    <w:rsid w:val="008D48CC"/>
    <w:rsid w:val="008D493F"/>
    <w:rsid w:val="008D4A02"/>
    <w:rsid w:val="008D4B30"/>
    <w:rsid w:val="008D4C16"/>
    <w:rsid w:val="008D4F7A"/>
    <w:rsid w:val="008D6279"/>
    <w:rsid w:val="008D6543"/>
    <w:rsid w:val="008D6A02"/>
    <w:rsid w:val="008D6A1B"/>
    <w:rsid w:val="008D720B"/>
    <w:rsid w:val="008D78AF"/>
    <w:rsid w:val="008E0184"/>
    <w:rsid w:val="008E042B"/>
    <w:rsid w:val="008E0612"/>
    <w:rsid w:val="008E0787"/>
    <w:rsid w:val="008E09DB"/>
    <w:rsid w:val="008E1C40"/>
    <w:rsid w:val="008E2004"/>
    <w:rsid w:val="008E2388"/>
    <w:rsid w:val="008E2389"/>
    <w:rsid w:val="008E276E"/>
    <w:rsid w:val="008E27B7"/>
    <w:rsid w:val="008E2829"/>
    <w:rsid w:val="008E2C28"/>
    <w:rsid w:val="008E2F12"/>
    <w:rsid w:val="008E3869"/>
    <w:rsid w:val="008E393D"/>
    <w:rsid w:val="008E3975"/>
    <w:rsid w:val="008E3B3B"/>
    <w:rsid w:val="008E43AD"/>
    <w:rsid w:val="008E45EA"/>
    <w:rsid w:val="008E46EF"/>
    <w:rsid w:val="008E4900"/>
    <w:rsid w:val="008E4A79"/>
    <w:rsid w:val="008E4F90"/>
    <w:rsid w:val="008E53D2"/>
    <w:rsid w:val="008E57FB"/>
    <w:rsid w:val="008E6338"/>
    <w:rsid w:val="008E6468"/>
    <w:rsid w:val="008E6A08"/>
    <w:rsid w:val="008E6A65"/>
    <w:rsid w:val="008E6ABD"/>
    <w:rsid w:val="008E6EB2"/>
    <w:rsid w:val="008E7346"/>
    <w:rsid w:val="008E74C8"/>
    <w:rsid w:val="008E792B"/>
    <w:rsid w:val="008E7967"/>
    <w:rsid w:val="008E7A87"/>
    <w:rsid w:val="008F09FA"/>
    <w:rsid w:val="008F0B5E"/>
    <w:rsid w:val="008F0D62"/>
    <w:rsid w:val="008F0ED0"/>
    <w:rsid w:val="008F106E"/>
    <w:rsid w:val="008F16A4"/>
    <w:rsid w:val="008F1D58"/>
    <w:rsid w:val="008F283E"/>
    <w:rsid w:val="008F2913"/>
    <w:rsid w:val="008F2B0C"/>
    <w:rsid w:val="008F2D5C"/>
    <w:rsid w:val="008F357D"/>
    <w:rsid w:val="008F35FC"/>
    <w:rsid w:val="008F3693"/>
    <w:rsid w:val="008F36D6"/>
    <w:rsid w:val="008F3A59"/>
    <w:rsid w:val="008F3BE7"/>
    <w:rsid w:val="008F3F25"/>
    <w:rsid w:val="008F42A7"/>
    <w:rsid w:val="008F4638"/>
    <w:rsid w:val="008F49BA"/>
    <w:rsid w:val="008F5338"/>
    <w:rsid w:val="008F540E"/>
    <w:rsid w:val="008F54E2"/>
    <w:rsid w:val="008F5541"/>
    <w:rsid w:val="008F5BFE"/>
    <w:rsid w:val="008F5D83"/>
    <w:rsid w:val="008F671B"/>
    <w:rsid w:val="008F699C"/>
    <w:rsid w:val="008F7166"/>
    <w:rsid w:val="008F7A14"/>
    <w:rsid w:val="008F7A2B"/>
    <w:rsid w:val="008F7AD9"/>
    <w:rsid w:val="008F7B1D"/>
    <w:rsid w:val="00900890"/>
    <w:rsid w:val="00900A05"/>
    <w:rsid w:val="00900B94"/>
    <w:rsid w:val="00900CA3"/>
    <w:rsid w:val="00901212"/>
    <w:rsid w:val="00901431"/>
    <w:rsid w:val="009019BE"/>
    <w:rsid w:val="00901B90"/>
    <w:rsid w:val="00901E3F"/>
    <w:rsid w:val="0090202E"/>
    <w:rsid w:val="0090205D"/>
    <w:rsid w:val="009025C0"/>
    <w:rsid w:val="00902659"/>
    <w:rsid w:val="009029D8"/>
    <w:rsid w:val="00902D30"/>
    <w:rsid w:val="00903264"/>
    <w:rsid w:val="009035E1"/>
    <w:rsid w:val="0090385C"/>
    <w:rsid w:val="00903971"/>
    <w:rsid w:val="009039B3"/>
    <w:rsid w:val="00903F42"/>
    <w:rsid w:val="009043AB"/>
    <w:rsid w:val="00904589"/>
    <w:rsid w:val="0090481F"/>
    <w:rsid w:val="00904946"/>
    <w:rsid w:val="00904C24"/>
    <w:rsid w:val="00905379"/>
    <w:rsid w:val="0090550F"/>
    <w:rsid w:val="00905656"/>
    <w:rsid w:val="0090566D"/>
    <w:rsid w:val="009056C8"/>
    <w:rsid w:val="009057E3"/>
    <w:rsid w:val="00905ACA"/>
    <w:rsid w:val="00905F17"/>
    <w:rsid w:val="0090620E"/>
    <w:rsid w:val="009063C0"/>
    <w:rsid w:val="00907511"/>
    <w:rsid w:val="00907631"/>
    <w:rsid w:val="00910033"/>
    <w:rsid w:val="00910177"/>
    <w:rsid w:val="0091049A"/>
    <w:rsid w:val="00910D69"/>
    <w:rsid w:val="00911106"/>
    <w:rsid w:val="00911387"/>
    <w:rsid w:val="0091194C"/>
    <w:rsid w:val="00912C4D"/>
    <w:rsid w:val="009133D4"/>
    <w:rsid w:val="009135AD"/>
    <w:rsid w:val="00913B1F"/>
    <w:rsid w:val="00913B47"/>
    <w:rsid w:val="00913E40"/>
    <w:rsid w:val="00913F1C"/>
    <w:rsid w:val="0091411D"/>
    <w:rsid w:val="00914203"/>
    <w:rsid w:val="00914A84"/>
    <w:rsid w:val="00914CAF"/>
    <w:rsid w:val="00914CD7"/>
    <w:rsid w:val="009154AF"/>
    <w:rsid w:val="00915A49"/>
    <w:rsid w:val="00915E67"/>
    <w:rsid w:val="00915F8B"/>
    <w:rsid w:val="00916052"/>
    <w:rsid w:val="0091618F"/>
    <w:rsid w:val="009161A4"/>
    <w:rsid w:val="00916B32"/>
    <w:rsid w:val="00916C72"/>
    <w:rsid w:val="00917E4B"/>
    <w:rsid w:val="00917FCF"/>
    <w:rsid w:val="00920203"/>
    <w:rsid w:val="009209A9"/>
    <w:rsid w:val="00920EBC"/>
    <w:rsid w:val="009211BF"/>
    <w:rsid w:val="0092193B"/>
    <w:rsid w:val="00921B5A"/>
    <w:rsid w:val="00922123"/>
    <w:rsid w:val="009221C3"/>
    <w:rsid w:val="00922CE0"/>
    <w:rsid w:val="00922F2A"/>
    <w:rsid w:val="00922F60"/>
    <w:rsid w:val="009231E0"/>
    <w:rsid w:val="00923246"/>
    <w:rsid w:val="00923368"/>
    <w:rsid w:val="00923663"/>
    <w:rsid w:val="00923670"/>
    <w:rsid w:val="00923B6F"/>
    <w:rsid w:val="009240F1"/>
    <w:rsid w:val="009243A4"/>
    <w:rsid w:val="00924DA5"/>
    <w:rsid w:val="00925189"/>
    <w:rsid w:val="0092555A"/>
    <w:rsid w:val="00925F6D"/>
    <w:rsid w:val="009261A3"/>
    <w:rsid w:val="009262F4"/>
    <w:rsid w:val="00926F6C"/>
    <w:rsid w:val="00927500"/>
    <w:rsid w:val="009276D4"/>
    <w:rsid w:val="009277C5"/>
    <w:rsid w:val="009277C7"/>
    <w:rsid w:val="00927AFE"/>
    <w:rsid w:val="00930230"/>
    <w:rsid w:val="00930562"/>
    <w:rsid w:val="00931230"/>
    <w:rsid w:val="00931C7F"/>
    <w:rsid w:val="00932698"/>
    <w:rsid w:val="00932968"/>
    <w:rsid w:val="00932FFB"/>
    <w:rsid w:val="009331D1"/>
    <w:rsid w:val="00933549"/>
    <w:rsid w:val="00933B22"/>
    <w:rsid w:val="00933BDA"/>
    <w:rsid w:val="00933DA3"/>
    <w:rsid w:val="00934362"/>
    <w:rsid w:val="009344DD"/>
    <w:rsid w:val="00934881"/>
    <w:rsid w:val="00934C88"/>
    <w:rsid w:val="00934D8C"/>
    <w:rsid w:val="00934DD6"/>
    <w:rsid w:val="00935A91"/>
    <w:rsid w:val="00935C79"/>
    <w:rsid w:val="00936291"/>
    <w:rsid w:val="00936A63"/>
    <w:rsid w:val="00936B82"/>
    <w:rsid w:val="00936FAC"/>
    <w:rsid w:val="0093762D"/>
    <w:rsid w:val="0093768E"/>
    <w:rsid w:val="009400EC"/>
    <w:rsid w:val="00940247"/>
    <w:rsid w:val="0094096F"/>
    <w:rsid w:val="00940DB1"/>
    <w:rsid w:val="00940FDC"/>
    <w:rsid w:val="00941928"/>
    <w:rsid w:val="00941988"/>
    <w:rsid w:val="00941B11"/>
    <w:rsid w:val="0094237F"/>
    <w:rsid w:val="0094266B"/>
    <w:rsid w:val="00943AEF"/>
    <w:rsid w:val="00944072"/>
    <w:rsid w:val="00944980"/>
    <w:rsid w:val="00944C76"/>
    <w:rsid w:val="00945121"/>
    <w:rsid w:val="00945323"/>
    <w:rsid w:val="009454A0"/>
    <w:rsid w:val="00945BC7"/>
    <w:rsid w:val="0094668D"/>
    <w:rsid w:val="009466B4"/>
    <w:rsid w:val="009468B3"/>
    <w:rsid w:val="00946C0E"/>
    <w:rsid w:val="009472DD"/>
    <w:rsid w:val="0094730A"/>
    <w:rsid w:val="00947843"/>
    <w:rsid w:val="00947BE1"/>
    <w:rsid w:val="00947FA5"/>
    <w:rsid w:val="00950235"/>
    <w:rsid w:val="009508E1"/>
    <w:rsid w:val="00950904"/>
    <w:rsid w:val="00950F27"/>
    <w:rsid w:val="00951133"/>
    <w:rsid w:val="0095139A"/>
    <w:rsid w:val="00951868"/>
    <w:rsid w:val="00951BB1"/>
    <w:rsid w:val="00951D46"/>
    <w:rsid w:val="009522C3"/>
    <w:rsid w:val="00952884"/>
    <w:rsid w:val="00952B80"/>
    <w:rsid w:val="00952C89"/>
    <w:rsid w:val="00952D2F"/>
    <w:rsid w:val="00953AF6"/>
    <w:rsid w:val="00953DC8"/>
    <w:rsid w:val="00953E41"/>
    <w:rsid w:val="00954A9D"/>
    <w:rsid w:val="00954FA3"/>
    <w:rsid w:val="00955117"/>
    <w:rsid w:val="009555F4"/>
    <w:rsid w:val="00955982"/>
    <w:rsid w:val="00955CF5"/>
    <w:rsid w:val="00955D08"/>
    <w:rsid w:val="00955D0D"/>
    <w:rsid w:val="00955EFD"/>
    <w:rsid w:val="00956635"/>
    <w:rsid w:val="0095696B"/>
    <w:rsid w:val="00957E9E"/>
    <w:rsid w:val="00957F05"/>
    <w:rsid w:val="00960201"/>
    <w:rsid w:val="00960345"/>
    <w:rsid w:val="00960594"/>
    <w:rsid w:val="0096090F"/>
    <w:rsid w:val="00960E0E"/>
    <w:rsid w:val="00960F95"/>
    <w:rsid w:val="0096118E"/>
    <w:rsid w:val="009617BC"/>
    <w:rsid w:val="00961C51"/>
    <w:rsid w:val="00961D3C"/>
    <w:rsid w:val="00962D36"/>
    <w:rsid w:val="00962F82"/>
    <w:rsid w:val="0096336E"/>
    <w:rsid w:val="009635A6"/>
    <w:rsid w:val="00963A62"/>
    <w:rsid w:val="00963ADF"/>
    <w:rsid w:val="00963DCB"/>
    <w:rsid w:val="00964EFC"/>
    <w:rsid w:val="00965504"/>
    <w:rsid w:val="009658E8"/>
    <w:rsid w:val="00966209"/>
    <w:rsid w:val="0096688E"/>
    <w:rsid w:val="0096691F"/>
    <w:rsid w:val="00966969"/>
    <w:rsid w:val="00966A1C"/>
    <w:rsid w:val="00966B29"/>
    <w:rsid w:val="00966E75"/>
    <w:rsid w:val="00966FF9"/>
    <w:rsid w:val="00967324"/>
    <w:rsid w:val="0096740D"/>
    <w:rsid w:val="009677D0"/>
    <w:rsid w:val="0096795D"/>
    <w:rsid w:val="00967A79"/>
    <w:rsid w:val="00967F7B"/>
    <w:rsid w:val="00967FAA"/>
    <w:rsid w:val="00970136"/>
    <w:rsid w:val="00970200"/>
    <w:rsid w:val="009703DE"/>
    <w:rsid w:val="009703FE"/>
    <w:rsid w:val="00970713"/>
    <w:rsid w:val="00970BCC"/>
    <w:rsid w:val="00970C33"/>
    <w:rsid w:val="00970E71"/>
    <w:rsid w:val="00970F75"/>
    <w:rsid w:val="00972FCB"/>
    <w:rsid w:val="009734D7"/>
    <w:rsid w:val="00973652"/>
    <w:rsid w:val="009736E7"/>
    <w:rsid w:val="00973AC5"/>
    <w:rsid w:val="00973C18"/>
    <w:rsid w:val="00973E06"/>
    <w:rsid w:val="00973FF4"/>
    <w:rsid w:val="00974B82"/>
    <w:rsid w:val="00974B9D"/>
    <w:rsid w:val="00974D19"/>
    <w:rsid w:val="0097590F"/>
    <w:rsid w:val="00976727"/>
    <w:rsid w:val="0097699B"/>
    <w:rsid w:val="00976E24"/>
    <w:rsid w:val="0097710E"/>
    <w:rsid w:val="0097714D"/>
    <w:rsid w:val="0097725A"/>
    <w:rsid w:val="0097756E"/>
    <w:rsid w:val="00977806"/>
    <w:rsid w:val="00977877"/>
    <w:rsid w:val="00977A25"/>
    <w:rsid w:val="00977F0C"/>
    <w:rsid w:val="0098061D"/>
    <w:rsid w:val="00980F87"/>
    <w:rsid w:val="00981577"/>
    <w:rsid w:val="009820B2"/>
    <w:rsid w:val="0098263B"/>
    <w:rsid w:val="009827EF"/>
    <w:rsid w:val="00982CA0"/>
    <w:rsid w:val="009833B8"/>
    <w:rsid w:val="0098351F"/>
    <w:rsid w:val="009840AA"/>
    <w:rsid w:val="0098489C"/>
    <w:rsid w:val="0098554B"/>
    <w:rsid w:val="00985B50"/>
    <w:rsid w:val="009868BB"/>
    <w:rsid w:val="009869AA"/>
    <w:rsid w:val="00986AD3"/>
    <w:rsid w:val="00986F8B"/>
    <w:rsid w:val="00987230"/>
    <w:rsid w:val="00987716"/>
    <w:rsid w:val="009878C2"/>
    <w:rsid w:val="00987EB9"/>
    <w:rsid w:val="009904FF"/>
    <w:rsid w:val="00990527"/>
    <w:rsid w:val="00990888"/>
    <w:rsid w:val="00990CD7"/>
    <w:rsid w:val="00990D7A"/>
    <w:rsid w:val="00991234"/>
    <w:rsid w:val="0099138B"/>
    <w:rsid w:val="00991559"/>
    <w:rsid w:val="00991751"/>
    <w:rsid w:val="00991BBC"/>
    <w:rsid w:val="0099287D"/>
    <w:rsid w:val="00993062"/>
    <w:rsid w:val="009933F5"/>
    <w:rsid w:val="00993D68"/>
    <w:rsid w:val="00994FF3"/>
    <w:rsid w:val="0099553E"/>
    <w:rsid w:val="00995A36"/>
    <w:rsid w:val="00995D9D"/>
    <w:rsid w:val="00995DAC"/>
    <w:rsid w:val="00995F34"/>
    <w:rsid w:val="00995F85"/>
    <w:rsid w:val="00996A0B"/>
    <w:rsid w:val="00996AD4"/>
    <w:rsid w:val="00997BC3"/>
    <w:rsid w:val="009A0388"/>
    <w:rsid w:val="009A0B13"/>
    <w:rsid w:val="009A0BD0"/>
    <w:rsid w:val="009A0F4F"/>
    <w:rsid w:val="009A11A1"/>
    <w:rsid w:val="009A160D"/>
    <w:rsid w:val="009A18B1"/>
    <w:rsid w:val="009A1B61"/>
    <w:rsid w:val="009A1D1C"/>
    <w:rsid w:val="009A1DAD"/>
    <w:rsid w:val="009A21C9"/>
    <w:rsid w:val="009A224E"/>
    <w:rsid w:val="009A2944"/>
    <w:rsid w:val="009A2BEA"/>
    <w:rsid w:val="009A2CEE"/>
    <w:rsid w:val="009A2DA0"/>
    <w:rsid w:val="009A36A9"/>
    <w:rsid w:val="009A3B24"/>
    <w:rsid w:val="009A4419"/>
    <w:rsid w:val="009A44E4"/>
    <w:rsid w:val="009A461C"/>
    <w:rsid w:val="009A4834"/>
    <w:rsid w:val="009A4892"/>
    <w:rsid w:val="009A4A9F"/>
    <w:rsid w:val="009A552F"/>
    <w:rsid w:val="009A5B30"/>
    <w:rsid w:val="009A60CE"/>
    <w:rsid w:val="009A62E2"/>
    <w:rsid w:val="009A6EF1"/>
    <w:rsid w:val="009A6FC8"/>
    <w:rsid w:val="009A7342"/>
    <w:rsid w:val="009A751D"/>
    <w:rsid w:val="009B01DA"/>
    <w:rsid w:val="009B050A"/>
    <w:rsid w:val="009B0860"/>
    <w:rsid w:val="009B0986"/>
    <w:rsid w:val="009B09B5"/>
    <w:rsid w:val="009B09EA"/>
    <w:rsid w:val="009B0C67"/>
    <w:rsid w:val="009B132F"/>
    <w:rsid w:val="009B17EE"/>
    <w:rsid w:val="009B1A90"/>
    <w:rsid w:val="009B21EE"/>
    <w:rsid w:val="009B26C4"/>
    <w:rsid w:val="009B28F0"/>
    <w:rsid w:val="009B357F"/>
    <w:rsid w:val="009B3683"/>
    <w:rsid w:val="009B36AD"/>
    <w:rsid w:val="009B3E76"/>
    <w:rsid w:val="009B43D5"/>
    <w:rsid w:val="009B445D"/>
    <w:rsid w:val="009B4A05"/>
    <w:rsid w:val="009B5154"/>
    <w:rsid w:val="009B57C6"/>
    <w:rsid w:val="009B5AEC"/>
    <w:rsid w:val="009B60D3"/>
    <w:rsid w:val="009B60DA"/>
    <w:rsid w:val="009B622E"/>
    <w:rsid w:val="009B6AA1"/>
    <w:rsid w:val="009B6CD0"/>
    <w:rsid w:val="009B6D68"/>
    <w:rsid w:val="009B7952"/>
    <w:rsid w:val="009B79D5"/>
    <w:rsid w:val="009B7B06"/>
    <w:rsid w:val="009B7D9A"/>
    <w:rsid w:val="009C0090"/>
    <w:rsid w:val="009C0CCB"/>
    <w:rsid w:val="009C1012"/>
    <w:rsid w:val="009C13AF"/>
    <w:rsid w:val="009C192A"/>
    <w:rsid w:val="009C2402"/>
    <w:rsid w:val="009C2C84"/>
    <w:rsid w:val="009C2FDE"/>
    <w:rsid w:val="009C3C53"/>
    <w:rsid w:val="009C3EE2"/>
    <w:rsid w:val="009C407C"/>
    <w:rsid w:val="009C4083"/>
    <w:rsid w:val="009C41A8"/>
    <w:rsid w:val="009C48E1"/>
    <w:rsid w:val="009C50FC"/>
    <w:rsid w:val="009C585D"/>
    <w:rsid w:val="009C5B56"/>
    <w:rsid w:val="009C6094"/>
    <w:rsid w:val="009C61BA"/>
    <w:rsid w:val="009C6682"/>
    <w:rsid w:val="009C69E2"/>
    <w:rsid w:val="009C74C4"/>
    <w:rsid w:val="009C7AF6"/>
    <w:rsid w:val="009D0009"/>
    <w:rsid w:val="009D0030"/>
    <w:rsid w:val="009D0259"/>
    <w:rsid w:val="009D0BE4"/>
    <w:rsid w:val="009D144A"/>
    <w:rsid w:val="009D15C0"/>
    <w:rsid w:val="009D21CD"/>
    <w:rsid w:val="009D2AA3"/>
    <w:rsid w:val="009D4101"/>
    <w:rsid w:val="009D450D"/>
    <w:rsid w:val="009D47C9"/>
    <w:rsid w:val="009D4A38"/>
    <w:rsid w:val="009D4EA1"/>
    <w:rsid w:val="009D54F7"/>
    <w:rsid w:val="009D5CF8"/>
    <w:rsid w:val="009D5E28"/>
    <w:rsid w:val="009D5E61"/>
    <w:rsid w:val="009D65E8"/>
    <w:rsid w:val="009D6DD3"/>
    <w:rsid w:val="009D6F40"/>
    <w:rsid w:val="009D6FC7"/>
    <w:rsid w:val="009D7053"/>
    <w:rsid w:val="009D7133"/>
    <w:rsid w:val="009D7624"/>
    <w:rsid w:val="009D7825"/>
    <w:rsid w:val="009D795A"/>
    <w:rsid w:val="009D7BFE"/>
    <w:rsid w:val="009E0499"/>
    <w:rsid w:val="009E0AF8"/>
    <w:rsid w:val="009E102C"/>
    <w:rsid w:val="009E1058"/>
    <w:rsid w:val="009E1897"/>
    <w:rsid w:val="009E19DF"/>
    <w:rsid w:val="009E1BC5"/>
    <w:rsid w:val="009E20CB"/>
    <w:rsid w:val="009E27AA"/>
    <w:rsid w:val="009E3281"/>
    <w:rsid w:val="009E32E9"/>
    <w:rsid w:val="009E333B"/>
    <w:rsid w:val="009E33E6"/>
    <w:rsid w:val="009E3830"/>
    <w:rsid w:val="009E39B4"/>
    <w:rsid w:val="009E3ADC"/>
    <w:rsid w:val="009E3E05"/>
    <w:rsid w:val="009E420F"/>
    <w:rsid w:val="009E48F2"/>
    <w:rsid w:val="009E52C4"/>
    <w:rsid w:val="009E5386"/>
    <w:rsid w:val="009E5393"/>
    <w:rsid w:val="009E5C8C"/>
    <w:rsid w:val="009E616B"/>
    <w:rsid w:val="009E636A"/>
    <w:rsid w:val="009E6773"/>
    <w:rsid w:val="009E6D2B"/>
    <w:rsid w:val="009E6DC3"/>
    <w:rsid w:val="009E6DC5"/>
    <w:rsid w:val="009E7522"/>
    <w:rsid w:val="009E7B94"/>
    <w:rsid w:val="009F017B"/>
    <w:rsid w:val="009F03AC"/>
    <w:rsid w:val="009F06BE"/>
    <w:rsid w:val="009F06CF"/>
    <w:rsid w:val="009F07E7"/>
    <w:rsid w:val="009F1546"/>
    <w:rsid w:val="009F1F2E"/>
    <w:rsid w:val="009F258C"/>
    <w:rsid w:val="009F2815"/>
    <w:rsid w:val="009F2B6B"/>
    <w:rsid w:val="009F2FE0"/>
    <w:rsid w:val="009F3175"/>
    <w:rsid w:val="009F32B3"/>
    <w:rsid w:val="009F38DF"/>
    <w:rsid w:val="009F3E9E"/>
    <w:rsid w:val="009F3F8B"/>
    <w:rsid w:val="009F4157"/>
    <w:rsid w:val="009F4732"/>
    <w:rsid w:val="009F4D73"/>
    <w:rsid w:val="009F4FA3"/>
    <w:rsid w:val="009F56C2"/>
    <w:rsid w:val="009F581A"/>
    <w:rsid w:val="009F59E1"/>
    <w:rsid w:val="009F5ACD"/>
    <w:rsid w:val="009F5CE1"/>
    <w:rsid w:val="009F6547"/>
    <w:rsid w:val="009F6F2F"/>
    <w:rsid w:val="009F7028"/>
    <w:rsid w:val="009F72FB"/>
    <w:rsid w:val="009F7B24"/>
    <w:rsid w:val="009F7C9A"/>
    <w:rsid w:val="00A0035B"/>
    <w:rsid w:val="00A003F7"/>
    <w:rsid w:val="00A004D1"/>
    <w:rsid w:val="00A00534"/>
    <w:rsid w:val="00A00D43"/>
    <w:rsid w:val="00A01009"/>
    <w:rsid w:val="00A01125"/>
    <w:rsid w:val="00A01285"/>
    <w:rsid w:val="00A013E5"/>
    <w:rsid w:val="00A0181B"/>
    <w:rsid w:val="00A0253F"/>
    <w:rsid w:val="00A02696"/>
    <w:rsid w:val="00A02709"/>
    <w:rsid w:val="00A02A96"/>
    <w:rsid w:val="00A02B54"/>
    <w:rsid w:val="00A02B84"/>
    <w:rsid w:val="00A02E8A"/>
    <w:rsid w:val="00A02EB7"/>
    <w:rsid w:val="00A04471"/>
    <w:rsid w:val="00A04667"/>
    <w:rsid w:val="00A04E99"/>
    <w:rsid w:val="00A05070"/>
    <w:rsid w:val="00A0527D"/>
    <w:rsid w:val="00A05299"/>
    <w:rsid w:val="00A05902"/>
    <w:rsid w:val="00A05923"/>
    <w:rsid w:val="00A05B7A"/>
    <w:rsid w:val="00A05C7B"/>
    <w:rsid w:val="00A05D6E"/>
    <w:rsid w:val="00A05E8D"/>
    <w:rsid w:val="00A064BD"/>
    <w:rsid w:val="00A0674A"/>
    <w:rsid w:val="00A0722C"/>
    <w:rsid w:val="00A0770B"/>
    <w:rsid w:val="00A07F4A"/>
    <w:rsid w:val="00A07FAA"/>
    <w:rsid w:val="00A10224"/>
    <w:rsid w:val="00A107D3"/>
    <w:rsid w:val="00A10C49"/>
    <w:rsid w:val="00A10C98"/>
    <w:rsid w:val="00A111BF"/>
    <w:rsid w:val="00A11319"/>
    <w:rsid w:val="00A11F76"/>
    <w:rsid w:val="00A122A5"/>
    <w:rsid w:val="00A13130"/>
    <w:rsid w:val="00A131CB"/>
    <w:rsid w:val="00A133E1"/>
    <w:rsid w:val="00A13604"/>
    <w:rsid w:val="00A13705"/>
    <w:rsid w:val="00A14107"/>
    <w:rsid w:val="00A1460C"/>
    <w:rsid w:val="00A14997"/>
    <w:rsid w:val="00A14B2F"/>
    <w:rsid w:val="00A14C55"/>
    <w:rsid w:val="00A155AC"/>
    <w:rsid w:val="00A15658"/>
    <w:rsid w:val="00A15F55"/>
    <w:rsid w:val="00A16229"/>
    <w:rsid w:val="00A16BD3"/>
    <w:rsid w:val="00A16BE1"/>
    <w:rsid w:val="00A16C8B"/>
    <w:rsid w:val="00A1724E"/>
    <w:rsid w:val="00A17C7F"/>
    <w:rsid w:val="00A201D6"/>
    <w:rsid w:val="00A2024E"/>
    <w:rsid w:val="00A20262"/>
    <w:rsid w:val="00A20365"/>
    <w:rsid w:val="00A20804"/>
    <w:rsid w:val="00A20E18"/>
    <w:rsid w:val="00A20FD6"/>
    <w:rsid w:val="00A210F5"/>
    <w:rsid w:val="00A211E0"/>
    <w:rsid w:val="00A213B6"/>
    <w:rsid w:val="00A2168D"/>
    <w:rsid w:val="00A222BD"/>
    <w:rsid w:val="00A235B7"/>
    <w:rsid w:val="00A235BE"/>
    <w:rsid w:val="00A240B7"/>
    <w:rsid w:val="00A24728"/>
    <w:rsid w:val="00A24A1E"/>
    <w:rsid w:val="00A24D77"/>
    <w:rsid w:val="00A2578F"/>
    <w:rsid w:val="00A2579D"/>
    <w:rsid w:val="00A257F3"/>
    <w:rsid w:val="00A258C4"/>
    <w:rsid w:val="00A258EE"/>
    <w:rsid w:val="00A259CD"/>
    <w:rsid w:val="00A25B9B"/>
    <w:rsid w:val="00A25ED3"/>
    <w:rsid w:val="00A26151"/>
    <w:rsid w:val="00A2681D"/>
    <w:rsid w:val="00A269A1"/>
    <w:rsid w:val="00A26E8E"/>
    <w:rsid w:val="00A27268"/>
    <w:rsid w:val="00A276FD"/>
    <w:rsid w:val="00A2796C"/>
    <w:rsid w:val="00A27ACE"/>
    <w:rsid w:val="00A304D0"/>
    <w:rsid w:val="00A305DD"/>
    <w:rsid w:val="00A30770"/>
    <w:rsid w:val="00A30C17"/>
    <w:rsid w:val="00A30CE9"/>
    <w:rsid w:val="00A31330"/>
    <w:rsid w:val="00A31871"/>
    <w:rsid w:val="00A319A2"/>
    <w:rsid w:val="00A31B37"/>
    <w:rsid w:val="00A3211D"/>
    <w:rsid w:val="00A32218"/>
    <w:rsid w:val="00A3226A"/>
    <w:rsid w:val="00A328F5"/>
    <w:rsid w:val="00A32C09"/>
    <w:rsid w:val="00A32DA4"/>
    <w:rsid w:val="00A32E39"/>
    <w:rsid w:val="00A331E9"/>
    <w:rsid w:val="00A336FE"/>
    <w:rsid w:val="00A337AC"/>
    <w:rsid w:val="00A33B73"/>
    <w:rsid w:val="00A33D79"/>
    <w:rsid w:val="00A33D98"/>
    <w:rsid w:val="00A33E4F"/>
    <w:rsid w:val="00A34332"/>
    <w:rsid w:val="00A34CC6"/>
    <w:rsid w:val="00A34F5E"/>
    <w:rsid w:val="00A3523C"/>
    <w:rsid w:val="00A356E7"/>
    <w:rsid w:val="00A35B02"/>
    <w:rsid w:val="00A35C6A"/>
    <w:rsid w:val="00A35F0D"/>
    <w:rsid w:val="00A3669A"/>
    <w:rsid w:val="00A36B87"/>
    <w:rsid w:val="00A3702F"/>
    <w:rsid w:val="00A371B9"/>
    <w:rsid w:val="00A37A24"/>
    <w:rsid w:val="00A40306"/>
    <w:rsid w:val="00A405F8"/>
    <w:rsid w:val="00A40848"/>
    <w:rsid w:val="00A40C60"/>
    <w:rsid w:val="00A41789"/>
    <w:rsid w:val="00A419FD"/>
    <w:rsid w:val="00A422EC"/>
    <w:rsid w:val="00A422F7"/>
    <w:rsid w:val="00A4230A"/>
    <w:rsid w:val="00A42841"/>
    <w:rsid w:val="00A42D05"/>
    <w:rsid w:val="00A43025"/>
    <w:rsid w:val="00A43062"/>
    <w:rsid w:val="00A430D7"/>
    <w:rsid w:val="00A4318E"/>
    <w:rsid w:val="00A43195"/>
    <w:rsid w:val="00A4373E"/>
    <w:rsid w:val="00A439CD"/>
    <w:rsid w:val="00A447C8"/>
    <w:rsid w:val="00A448E3"/>
    <w:rsid w:val="00A4499A"/>
    <w:rsid w:val="00A44B03"/>
    <w:rsid w:val="00A44F08"/>
    <w:rsid w:val="00A45C01"/>
    <w:rsid w:val="00A461F4"/>
    <w:rsid w:val="00A46AE2"/>
    <w:rsid w:val="00A47827"/>
    <w:rsid w:val="00A47C16"/>
    <w:rsid w:val="00A47D87"/>
    <w:rsid w:val="00A47FA1"/>
    <w:rsid w:val="00A50AE5"/>
    <w:rsid w:val="00A515F9"/>
    <w:rsid w:val="00A516E9"/>
    <w:rsid w:val="00A51A71"/>
    <w:rsid w:val="00A51CFD"/>
    <w:rsid w:val="00A52225"/>
    <w:rsid w:val="00A524E1"/>
    <w:rsid w:val="00A52A6E"/>
    <w:rsid w:val="00A52D65"/>
    <w:rsid w:val="00A52D89"/>
    <w:rsid w:val="00A52D8B"/>
    <w:rsid w:val="00A539FA"/>
    <w:rsid w:val="00A53C55"/>
    <w:rsid w:val="00A53F30"/>
    <w:rsid w:val="00A54178"/>
    <w:rsid w:val="00A5447A"/>
    <w:rsid w:val="00A549F7"/>
    <w:rsid w:val="00A54C0E"/>
    <w:rsid w:val="00A54DAF"/>
    <w:rsid w:val="00A54EDD"/>
    <w:rsid w:val="00A54F0E"/>
    <w:rsid w:val="00A54F3C"/>
    <w:rsid w:val="00A55176"/>
    <w:rsid w:val="00A552FE"/>
    <w:rsid w:val="00A55B98"/>
    <w:rsid w:val="00A56047"/>
    <w:rsid w:val="00A56FB9"/>
    <w:rsid w:val="00A57113"/>
    <w:rsid w:val="00A571D9"/>
    <w:rsid w:val="00A57C0E"/>
    <w:rsid w:val="00A60456"/>
    <w:rsid w:val="00A606AB"/>
    <w:rsid w:val="00A60DC1"/>
    <w:rsid w:val="00A60EB6"/>
    <w:rsid w:val="00A617E9"/>
    <w:rsid w:val="00A6184F"/>
    <w:rsid w:val="00A619CE"/>
    <w:rsid w:val="00A61BA1"/>
    <w:rsid w:val="00A620FE"/>
    <w:rsid w:val="00A62493"/>
    <w:rsid w:val="00A62727"/>
    <w:rsid w:val="00A63365"/>
    <w:rsid w:val="00A63694"/>
    <w:rsid w:val="00A6423E"/>
    <w:rsid w:val="00A6424A"/>
    <w:rsid w:val="00A6426B"/>
    <w:rsid w:val="00A6427B"/>
    <w:rsid w:val="00A644A8"/>
    <w:rsid w:val="00A646CF"/>
    <w:rsid w:val="00A64E71"/>
    <w:rsid w:val="00A64EB5"/>
    <w:rsid w:val="00A65B64"/>
    <w:rsid w:val="00A65DF9"/>
    <w:rsid w:val="00A65FFD"/>
    <w:rsid w:val="00A662C3"/>
    <w:rsid w:val="00A6632E"/>
    <w:rsid w:val="00A66BDD"/>
    <w:rsid w:val="00A67001"/>
    <w:rsid w:val="00A6750A"/>
    <w:rsid w:val="00A67808"/>
    <w:rsid w:val="00A67AD9"/>
    <w:rsid w:val="00A67BB9"/>
    <w:rsid w:val="00A70DA5"/>
    <w:rsid w:val="00A710EF"/>
    <w:rsid w:val="00A712A7"/>
    <w:rsid w:val="00A712F9"/>
    <w:rsid w:val="00A71366"/>
    <w:rsid w:val="00A714A6"/>
    <w:rsid w:val="00A7206D"/>
    <w:rsid w:val="00A7237D"/>
    <w:rsid w:val="00A7347C"/>
    <w:rsid w:val="00A736BC"/>
    <w:rsid w:val="00A73A45"/>
    <w:rsid w:val="00A73C4E"/>
    <w:rsid w:val="00A73D77"/>
    <w:rsid w:val="00A73F6A"/>
    <w:rsid w:val="00A742E4"/>
    <w:rsid w:val="00A74C18"/>
    <w:rsid w:val="00A74E68"/>
    <w:rsid w:val="00A75435"/>
    <w:rsid w:val="00A75B0C"/>
    <w:rsid w:val="00A75BEA"/>
    <w:rsid w:val="00A76244"/>
    <w:rsid w:val="00A76CF1"/>
    <w:rsid w:val="00A76F44"/>
    <w:rsid w:val="00A76F5D"/>
    <w:rsid w:val="00A77149"/>
    <w:rsid w:val="00A773B3"/>
    <w:rsid w:val="00A7743F"/>
    <w:rsid w:val="00A778D9"/>
    <w:rsid w:val="00A801BE"/>
    <w:rsid w:val="00A808C4"/>
    <w:rsid w:val="00A80A48"/>
    <w:rsid w:val="00A81339"/>
    <w:rsid w:val="00A81BA1"/>
    <w:rsid w:val="00A81C6E"/>
    <w:rsid w:val="00A81FC2"/>
    <w:rsid w:val="00A82998"/>
    <w:rsid w:val="00A82DD4"/>
    <w:rsid w:val="00A832CA"/>
    <w:rsid w:val="00A834EB"/>
    <w:rsid w:val="00A834F6"/>
    <w:rsid w:val="00A83C90"/>
    <w:rsid w:val="00A8489D"/>
    <w:rsid w:val="00A84C1C"/>
    <w:rsid w:val="00A859DD"/>
    <w:rsid w:val="00A85BCF"/>
    <w:rsid w:val="00A85D32"/>
    <w:rsid w:val="00A85EAD"/>
    <w:rsid w:val="00A8629D"/>
    <w:rsid w:val="00A863DB"/>
    <w:rsid w:val="00A86504"/>
    <w:rsid w:val="00A86B0A"/>
    <w:rsid w:val="00A8711D"/>
    <w:rsid w:val="00A8720A"/>
    <w:rsid w:val="00A90692"/>
    <w:rsid w:val="00A90AE6"/>
    <w:rsid w:val="00A90F67"/>
    <w:rsid w:val="00A91642"/>
    <w:rsid w:val="00A91B24"/>
    <w:rsid w:val="00A91FF7"/>
    <w:rsid w:val="00A92339"/>
    <w:rsid w:val="00A92787"/>
    <w:rsid w:val="00A92D6D"/>
    <w:rsid w:val="00A92F41"/>
    <w:rsid w:val="00A93CD8"/>
    <w:rsid w:val="00A94863"/>
    <w:rsid w:val="00A94A20"/>
    <w:rsid w:val="00A94C78"/>
    <w:rsid w:val="00A94DF1"/>
    <w:rsid w:val="00A95819"/>
    <w:rsid w:val="00A95868"/>
    <w:rsid w:val="00A95A4C"/>
    <w:rsid w:val="00A95A62"/>
    <w:rsid w:val="00A96172"/>
    <w:rsid w:val="00A96B3A"/>
    <w:rsid w:val="00A9722A"/>
    <w:rsid w:val="00A9738C"/>
    <w:rsid w:val="00A97765"/>
    <w:rsid w:val="00A97B35"/>
    <w:rsid w:val="00AA02AC"/>
    <w:rsid w:val="00AA0411"/>
    <w:rsid w:val="00AA0457"/>
    <w:rsid w:val="00AA0BF9"/>
    <w:rsid w:val="00AA1857"/>
    <w:rsid w:val="00AA19ED"/>
    <w:rsid w:val="00AA1C46"/>
    <w:rsid w:val="00AA2FDC"/>
    <w:rsid w:val="00AA32A6"/>
    <w:rsid w:val="00AA3660"/>
    <w:rsid w:val="00AA3E13"/>
    <w:rsid w:val="00AA408E"/>
    <w:rsid w:val="00AA4119"/>
    <w:rsid w:val="00AA4186"/>
    <w:rsid w:val="00AA4919"/>
    <w:rsid w:val="00AA5035"/>
    <w:rsid w:val="00AA5303"/>
    <w:rsid w:val="00AA5EED"/>
    <w:rsid w:val="00AA6068"/>
    <w:rsid w:val="00AA6461"/>
    <w:rsid w:val="00AA67FB"/>
    <w:rsid w:val="00AA6B64"/>
    <w:rsid w:val="00AA728C"/>
    <w:rsid w:val="00AA762C"/>
    <w:rsid w:val="00AA7DDF"/>
    <w:rsid w:val="00AA7F24"/>
    <w:rsid w:val="00AB0A1A"/>
    <w:rsid w:val="00AB0A77"/>
    <w:rsid w:val="00AB0E96"/>
    <w:rsid w:val="00AB14B2"/>
    <w:rsid w:val="00AB19D5"/>
    <w:rsid w:val="00AB22AE"/>
    <w:rsid w:val="00AB2582"/>
    <w:rsid w:val="00AB25C6"/>
    <w:rsid w:val="00AB2C97"/>
    <w:rsid w:val="00AB3316"/>
    <w:rsid w:val="00AB3699"/>
    <w:rsid w:val="00AB3D5C"/>
    <w:rsid w:val="00AB42C6"/>
    <w:rsid w:val="00AB454E"/>
    <w:rsid w:val="00AB476A"/>
    <w:rsid w:val="00AB4C96"/>
    <w:rsid w:val="00AB4D40"/>
    <w:rsid w:val="00AB5492"/>
    <w:rsid w:val="00AB598D"/>
    <w:rsid w:val="00AB5B9F"/>
    <w:rsid w:val="00AB5DF8"/>
    <w:rsid w:val="00AB5E38"/>
    <w:rsid w:val="00AB65AB"/>
    <w:rsid w:val="00AB68A3"/>
    <w:rsid w:val="00AB6CC5"/>
    <w:rsid w:val="00AB6F9B"/>
    <w:rsid w:val="00AB744D"/>
    <w:rsid w:val="00AB7FF5"/>
    <w:rsid w:val="00AC04F2"/>
    <w:rsid w:val="00AC0BA7"/>
    <w:rsid w:val="00AC0CA4"/>
    <w:rsid w:val="00AC112D"/>
    <w:rsid w:val="00AC1305"/>
    <w:rsid w:val="00AC13F6"/>
    <w:rsid w:val="00AC1474"/>
    <w:rsid w:val="00AC14AB"/>
    <w:rsid w:val="00AC1BE9"/>
    <w:rsid w:val="00AC2012"/>
    <w:rsid w:val="00AC25B3"/>
    <w:rsid w:val="00AC29D2"/>
    <w:rsid w:val="00AC2E00"/>
    <w:rsid w:val="00AC2FBF"/>
    <w:rsid w:val="00AC3584"/>
    <w:rsid w:val="00AC3B9B"/>
    <w:rsid w:val="00AC47D6"/>
    <w:rsid w:val="00AC5292"/>
    <w:rsid w:val="00AC5B71"/>
    <w:rsid w:val="00AC5BF7"/>
    <w:rsid w:val="00AC601F"/>
    <w:rsid w:val="00AC6A99"/>
    <w:rsid w:val="00AC6EDD"/>
    <w:rsid w:val="00AC7A5E"/>
    <w:rsid w:val="00AC7BCF"/>
    <w:rsid w:val="00AC7DEB"/>
    <w:rsid w:val="00AC7E06"/>
    <w:rsid w:val="00AC7F14"/>
    <w:rsid w:val="00AD034D"/>
    <w:rsid w:val="00AD0464"/>
    <w:rsid w:val="00AD05EE"/>
    <w:rsid w:val="00AD116D"/>
    <w:rsid w:val="00AD1A41"/>
    <w:rsid w:val="00AD1ACA"/>
    <w:rsid w:val="00AD1AD4"/>
    <w:rsid w:val="00AD1CCA"/>
    <w:rsid w:val="00AD250E"/>
    <w:rsid w:val="00AD2733"/>
    <w:rsid w:val="00AD29C9"/>
    <w:rsid w:val="00AD312F"/>
    <w:rsid w:val="00AD36C0"/>
    <w:rsid w:val="00AD3C0C"/>
    <w:rsid w:val="00AD4C1A"/>
    <w:rsid w:val="00AD5133"/>
    <w:rsid w:val="00AD5A16"/>
    <w:rsid w:val="00AD5A8B"/>
    <w:rsid w:val="00AD5C79"/>
    <w:rsid w:val="00AD5C9B"/>
    <w:rsid w:val="00AD5D34"/>
    <w:rsid w:val="00AD5F93"/>
    <w:rsid w:val="00AD619B"/>
    <w:rsid w:val="00AD6651"/>
    <w:rsid w:val="00AD673E"/>
    <w:rsid w:val="00AD67ED"/>
    <w:rsid w:val="00AD6A68"/>
    <w:rsid w:val="00AD6C05"/>
    <w:rsid w:val="00AD6C4A"/>
    <w:rsid w:val="00AD6EC4"/>
    <w:rsid w:val="00AD7672"/>
    <w:rsid w:val="00AD7A34"/>
    <w:rsid w:val="00AD7C4F"/>
    <w:rsid w:val="00AE00DA"/>
    <w:rsid w:val="00AE06D3"/>
    <w:rsid w:val="00AE08C4"/>
    <w:rsid w:val="00AE0912"/>
    <w:rsid w:val="00AE0C49"/>
    <w:rsid w:val="00AE0C59"/>
    <w:rsid w:val="00AE1C0D"/>
    <w:rsid w:val="00AE1C70"/>
    <w:rsid w:val="00AE1F5A"/>
    <w:rsid w:val="00AE2638"/>
    <w:rsid w:val="00AE2A5A"/>
    <w:rsid w:val="00AE300D"/>
    <w:rsid w:val="00AE3428"/>
    <w:rsid w:val="00AE3F2A"/>
    <w:rsid w:val="00AE44B7"/>
    <w:rsid w:val="00AE5A67"/>
    <w:rsid w:val="00AE6068"/>
    <w:rsid w:val="00AE72E5"/>
    <w:rsid w:val="00AE7620"/>
    <w:rsid w:val="00AE78AA"/>
    <w:rsid w:val="00AE7AD0"/>
    <w:rsid w:val="00AE7D10"/>
    <w:rsid w:val="00AF075A"/>
    <w:rsid w:val="00AF09E7"/>
    <w:rsid w:val="00AF0F74"/>
    <w:rsid w:val="00AF0FF0"/>
    <w:rsid w:val="00AF17F9"/>
    <w:rsid w:val="00AF203C"/>
    <w:rsid w:val="00AF251C"/>
    <w:rsid w:val="00AF2CF2"/>
    <w:rsid w:val="00AF30D8"/>
    <w:rsid w:val="00AF3429"/>
    <w:rsid w:val="00AF3842"/>
    <w:rsid w:val="00AF400D"/>
    <w:rsid w:val="00AF438B"/>
    <w:rsid w:val="00AF4427"/>
    <w:rsid w:val="00AF4473"/>
    <w:rsid w:val="00AF447A"/>
    <w:rsid w:val="00AF45A8"/>
    <w:rsid w:val="00AF4C1E"/>
    <w:rsid w:val="00AF5458"/>
    <w:rsid w:val="00AF5486"/>
    <w:rsid w:val="00AF5CD1"/>
    <w:rsid w:val="00AF5E52"/>
    <w:rsid w:val="00AF6298"/>
    <w:rsid w:val="00AF7190"/>
    <w:rsid w:val="00AF7436"/>
    <w:rsid w:val="00B0065B"/>
    <w:rsid w:val="00B00872"/>
    <w:rsid w:val="00B0111D"/>
    <w:rsid w:val="00B013C0"/>
    <w:rsid w:val="00B0172B"/>
    <w:rsid w:val="00B01967"/>
    <w:rsid w:val="00B01FF3"/>
    <w:rsid w:val="00B0270E"/>
    <w:rsid w:val="00B02E04"/>
    <w:rsid w:val="00B02ED3"/>
    <w:rsid w:val="00B0340E"/>
    <w:rsid w:val="00B03EAE"/>
    <w:rsid w:val="00B04431"/>
    <w:rsid w:val="00B046B6"/>
    <w:rsid w:val="00B0499B"/>
    <w:rsid w:val="00B04F4B"/>
    <w:rsid w:val="00B050F9"/>
    <w:rsid w:val="00B05342"/>
    <w:rsid w:val="00B05A4F"/>
    <w:rsid w:val="00B065AE"/>
    <w:rsid w:val="00B066BE"/>
    <w:rsid w:val="00B067E4"/>
    <w:rsid w:val="00B06E41"/>
    <w:rsid w:val="00B0770A"/>
    <w:rsid w:val="00B079EA"/>
    <w:rsid w:val="00B07D36"/>
    <w:rsid w:val="00B07E22"/>
    <w:rsid w:val="00B105BF"/>
    <w:rsid w:val="00B10637"/>
    <w:rsid w:val="00B106A1"/>
    <w:rsid w:val="00B10A76"/>
    <w:rsid w:val="00B10CA2"/>
    <w:rsid w:val="00B10E3B"/>
    <w:rsid w:val="00B11064"/>
    <w:rsid w:val="00B11ADB"/>
    <w:rsid w:val="00B12034"/>
    <w:rsid w:val="00B1210C"/>
    <w:rsid w:val="00B1232A"/>
    <w:rsid w:val="00B13342"/>
    <w:rsid w:val="00B13CC0"/>
    <w:rsid w:val="00B1449E"/>
    <w:rsid w:val="00B144BD"/>
    <w:rsid w:val="00B14932"/>
    <w:rsid w:val="00B15138"/>
    <w:rsid w:val="00B1554E"/>
    <w:rsid w:val="00B1560F"/>
    <w:rsid w:val="00B158E8"/>
    <w:rsid w:val="00B15BDC"/>
    <w:rsid w:val="00B15D48"/>
    <w:rsid w:val="00B166AE"/>
    <w:rsid w:val="00B16E18"/>
    <w:rsid w:val="00B17986"/>
    <w:rsid w:val="00B20225"/>
    <w:rsid w:val="00B211E4"/>
    <w:rsid w:val="00B213E4"/>
    <w:rsid w:val="00B215CB"/>
    <w:rsid w:val="00B217B8"/>
    <w:rsid w:val="00B21EBE"/>
    <w:rsid w:val="00B21EF2"/>
    <w:rsid w:val="00B23262"/>
    <w:rsid w:val="00B23541"/>
    <w:rsid w:val="00B235CB"/>
    <w:rsid w:val="00B24870"/>
    <w:rsid w:val="00B248A5"/>
    <w:rsid w:val="00B24FB0"/>
    <w:rsid w:val="00B2513D"/>
    <w:rsid w:val="00B252AB"/>
    <w:rsid w:val="00B25307"/>
    <w:rsid w:val="00B2540D"/>
    <w:rsid w:val="00B25493"/>
    <w:rsid w:val="00B25694"/>
    <w:rsid w:val="00B25747"/>
    <w:rsid w:val="00B257B3"/>
    <w:rsid w:val="00B25A5E"/>
    <w:rsid w:val="00B2630B"/>
    <w:rsid w:val="00B263B6"/>
    <w:rsid w:val="00B2679B"/>
    <w:rsid w:val="00B26E90"/>
    <w:rsid w:val="00B276AF"/>
    <w:rsid w:val="00B27B34"/>
    <w:rsid w:val="00B3093A"/>
    <w:rsid w:val="00B30E61"/>
    <w:rsid w:val="00B31051"/>
    <w:rsid w:val="00B31927"/>
    <w:rsid w:val="00B31BDB"/>
    <w:rsid w:val="00B32911"/>
    <w:rsid w:val="00B33582"/>
    <w:rsid w:val="00B33655"/>
    <w:rsid w:val="00B3390C"/>
    <w:rsid w:val="00B3396F"/>
    <w:rsid w:val="00B33D47"/>
    <w:rsid w:val="00B341D2"/>
    <w:rsid w:val="00B34ABC"/>
    <w:rsid w:val="00B34FAF"/>
    <w:rsid w:val="00B35418"/>
    <w:rsid w:val="00B35A01"/>
    <w:rsid w:val="00B35ADD"/>
    <w:rsid w:val="00B36084"/>
    <w:rsid w:val="00B362A2"/>
    <w:rsid w:val="00B366DC"/>
    <w:rsid w:val="00B37702"/>
    <w:rsid w:val="00B37896"/>
    <w:rsid w:val="00B37CCF"/>
    <w:rsid w:val="00B402EE"/>
    <w:rsid w:val="00B403AE"/>
    <w:rsid w:val="00B40744"/>
    <w:rsid w:val="00B40BA5"/>
    <w:rsid w:val="00B40BF7"/>
    <w:rsid w:val="00B40F8F"/>
    <w:rsid w:val="00B410EC"/>
    <w:rsid w:val="00B4132A"/>
    <w:rsid w:val="00B414DB"/>
    <w:rsid w:val="00B414F1"/>
    <w:rsid w:val="00B41590"/>
    <w:rsid w:val="00B4175F"/>
    <w:rsid w:val="00B417C3"/>
    <w:rsid w:val="00B41990"/>
    <w:rsid w:val="00B41C83"/>
    <w:rsid w:val="00B41D27"/>
    <w:rsid w:val="00B41DA0"/>
    <w:rsid w:val="00B41DBC"/>
    <w:rsid w:val="00B429AA"/>
    <w:rsid w:val="00B42F26"/>
    <w:rsid w:val="00B42FAE"/>
    <w:rsid w:val="00B43069"/>
    <w:rsid w:val="00B43251"/>
    <w:rsid w:val="00B4343C"/>
    <w:rsid w:val="00B434D3"/>
    <w:rsid w:val="00B4392F"/>
    <w:rsid w:val="00B43934"/>
    <w:rsid w:val="00B43DB4"/>
    <w:rsid w:val="00B43EE2"/>
    <w:rsid w:val="00B441C9"/>
    <w:rsid w:val="00B44390"/>
    <w:rsid w:val="00B444DA"/>
    <w:rsid w:val="00B44831"/>
    <w:rsid w:val="00B44886"/>
    <w:rsid w:val="00B45C01"/>
    <w:rsid w:val="00B45D20"/>
    <w:rsid w:val="00B45E74"/>
    <w:rsid w:val="00B45FA5"/>
    <w:rsid w:val="00B4607E"/>
    <w:rsid w:val="00B46A13"/>
    <w:rsid w:val="00B46ADF"/>
    <w:rsid w:val="00B46CB7"/>
    <w:rsid w:val="00B46E50"/>
    <w:rsid w:val="00B472E3"/>
    <w:rsid w:val="00B473E9"/>
    <w:rsid w:val="00B47B57"/>
    <w:rsid w:val="00B47C69"/>
    <w:rsid w:val="00B47DA6"/>
    <w:rsid w:val="00B501F8"/>
    <w:rsid w:val="00B507D0"/>
    <w:rsid w:val="00B5085C"/>
    <w:rsid w:val="00B50AC9"/>
    <w:rsid w:val="00B50BF6"/>
    <w:rsid w:val="00B5121B"/>
    <w:rsid w:val="00B515CB"/>
    <w:rsid w:val="00B52104"/>
    <w:rsid w:val="00B53A9F"/>
    <w:rsid w:val="00B53C53"/>
    <w:rsid w:val="00B544C9"/>
    <w:rsid w:val="00B549C0"/>
    <w:rsid w:val="00B5534D"/>
    <w:rsid w:val="00B55736"/>
    <w:rsid w:val="00B5577B"/>
    <w:rsid w:val="00B5582A"/>
    <w:rsid w:val="00B56751"/>
    <w:rsid w:val="00B56AFD"/>
    <w:rsid w:val="00B56C27"/>
    <w:rsid w:val="00B5790A"/>
    <w:rsid w:val="00B57ACE"/>
    <w:rsid w:val="00B60129"/>
    <w:rsid w:val="00B603E7"/>
    <w:rsid w:val="00B60A0A"/>
    <w:rsid w:val="00B60B5C"/>
    <w:rsid w:val="00B613AE"/>
    <w:rsid w:val="00B61507"/>
    <w:rsid w:val="00B6181B"/>
    <w:rsid w:val="00B61BC7"/>
    <w:rsid w:val="00B61D03"/>
    <w:rsid w:val="00B61D42"/>
    <w:rsid w:val="00B61FBC"/>
    <w:rsid w:val="00B6263A"/>
    <w:rsid w:val="00B62B8C"/>
    <w:rsid w:val="00B6388B"/>
    <w:rsid w:val="00B63B27"/>
    <w:rsid w:val="00B63F36"/>
    <w:rsid w:val="00B63FB6"/>
    <w:rsid w:val="00B6400E"/>
    <w:rsid w:val="00B64147"/>
    <w:rsid w:val="00B64551"/>
    <w:rsid w:val="00B6466E"/>
    <w:rsid w:val="00B64936"/>
    <w:rsid w:val="00B64A5C"/>
    <w:rsid w:val="00B64A5E"/>
    <w:rsid w:val="00B64D61"/>
    <w:rsid w:val="00B64EF0"/>
    <w:rsid w:val="00B650A6"/>
    <w:rsid w:val="00B651CE"/>
    <w:rsid w:val="00B651EC"/>
    <w:rsid w:val="00B65438"/>
    <w:rsid w:val="00B65484"/>
    <w:rsid w:val="00B660A5"/>
    <w:rsid w:val="00B665E3"/>
    <w:rsid w:val="00B6754B"/>
    <w:rsid w:val="00B67746"/>
    <w:rsid w:val="00B67851"/>
    <w:rsid w:val="00B678A1"/>
    <w:rsid w:val="00B67C91"/>
    <w:rsid w:val="00B67E5D"/>
    <w:rsid w:val="00B7003E"/>
    <w:rsid w:val="00B706F3"/>
    <w:rsid w:val="00B70772"/>
    <w:rsid w:val="00B7095D"/>
    <w:rsid w:val="00B70FD2"/>
    <w:rsid w:val="00B7106C"/>
    <w:rsid w:val="00B713F2"/>
    <w:rsid w:val="00B7164A"/>
    <w:rsid w:val="00B718E1"/>
    <w:rsid w:val="00B71EAE"/>
    <w:rsid w:val="00B72FCA"/>
    <w:rsid w:val="00B733AF"/>
    <w:rsid w:val="00B73681"/>
    <w:rsid w:val="00B73CA3"/>
    <w:rsid w:val="00B73D54"/>
    <w:rsid w:val="00B743B7"/>
    <w:rsid w:val="00B748D3"/>
    <w:rsid w:val="00B74B49"/>
    <w:rsid w:val="00B74DCF"/>
    <w:rsid w:val="00B74FDD"/>
    <w:rsid w:val="00B7505F"/>
    <w:rsid w:val="00B7507A"/>
    <w:rsid w:val="00B75321"/>
    <w:rsid w:val="00B7548D"/>
    <w:rsid w:val="00B76613"/>
    <w:rsid w:val="00B76725"/>
    <w:rsid w:val="00B76CC4"/>
    <w:rsid w:val="00B76DA6"/>
    <w:rsid w:val="00B76F49"/>
    <w:rsid w:val="00B7720F"/>
    <w:rsid w:val="00B77245"/>
    <w:rsid w:val="00B77950"/>
    <w:rsid w:val="00B77CF5"/>
    <w:rsid w:val="00B80184"/>
    <w:rsid w:val="00B8086D"/>
    <w:rsid w:val="00B80B45"/>
    <w:rsid w:val="00B80CB4"/>
    <w:rsid w:val="00B80D77"/>
    <w:rsid w:val="00B811E7"/>
    <w:rsid w:val="00B81975"/>
    <w:rsid w:val="00B8244D"/>
    <w:rsid w:val="00B82AA9"/>
    <w:rsid w:val="00B82D5B"/>
    <w:rsid w:val="00B82EB5"/>
    <w:rsid w:val="00B831A5"/>
    <w:rsid w:val="00B83753"/>
    <w:rsid w:val="00B837D2"/>
    <w:rsid w:val="00B83982"/>
    <w:rsid w:val="00B83C35"/>
    <w:rsid w:val="00B840A0"/>
    <w:rsid w:val="00B84112"/>
    <w:rsid w:val="00B8466D"/>
    <w:rsid w:val="00B85329"/>
    <w:rsid w:val="00B858A3"/>
    <w:rsid w:val="00B85B2B"/>
    <w:rsid w:val="00B85B9B"/>
    <w:rsid w:val="00B85C57"/>
    <w:rsid w:val="00B85C7C"/>
    <w:rsid w:val="00B867B3"/>
    <w:rsid w:val="00B867E1"/>
    <w:rsid w:val="00B870DD"/>
    <w:rsid w:val="00B8713B"/>
    <w:rsid w:val="00B87605"/>
    <w:rsid w:val="00B87E3A"/>
    <w:rsid w:val="00B901A4"/>
    <w:rsid w:val="00B90727"/>
    <w:rsid w:val="00B90ABC"/>
    <w:rsid w:val="00B90B93"/>
    <w:rsid w:val="00B910BC"/>
    <w:rsid w:val="00B9118B"/>
    <w:rsid w:val="00B9121F"/>
    <w:rsid w:val="00B9166C"/>
    <w:rsid w:val="00B9193A"/>
    <w:rsid w:val="00B91953"/>
    <w:rsid w:val="00B91D3F"/>
    <w:rsid w:val="00B91FA7"/>
    <w:rsid w:val="00B91FD1"/>
    <w:rsid w:val="00B926CF"/>
    <w:rsid w:val="00B92E2F"/>
    <w:rsid w:val="00B934CC"/>
    <w:rsid w:val="00B93A8C"/>
    <w:rsid w:val="00B94FC2"/>
    <w:rsid w:val="00B953B3"/>
    <w:rsid w:val="00B9545D"/>
    <w:rsid w:val="00B959CD"/>
    <w:rsid w:val="00B95E07"/>
    <w:rsid w:val="00B9608E"/>
    <w:rsid w:val="00B960C1"/>
    <w:rsid w:val="00B9664B"/>
    <w:rsid w:val="00B96794"/>
    <w:rsid w:val="00B97774"/>
    <w:rsid w:val="00B97904"/>
    <w:rsid w:val="00B97E21"/>
    <w:rsid w:val="00BA1273"/>
    <w:rsid w:val="00BA163C"/>
    <w:rsid w:val="00BA261F"/>
    <w:rsid w:val="00BA2CA6"/>
    <w:rsid w:val="00BA3015"/>
    <w:rsid w:val="00BA3AA7"/>
    <w:rsid w:val="00BA3D97"/>
    <w:rsid w:val="00BA3E91"/>
    <w:rsid w:val="00BA4248"/>
    <w:rsid w:val="00BA4725"/>
    <w:rsid w:val="00BA4AB6"/>
    <w:rsid w:val="00BA4BD9"/>
    <w:rsid w:val="00BA505E"/>
    <w:rsid w:val="00BA5234"/>
    <w:rsid w:val="00BA5A67"/>
    <w:rsid w:val="00BA5CDA"/>
    <w:rsid w:val="00BA5E9D"/>
    <w:rsid w:val="00BA603F"/>
    <w:rsid w:val="00BA61D1"/>
    <w:rsid w:val="00BA644E"/>
    <w:rsid w:val="00BA6538"/>
    <w:rsid w:val="00BA68E8"/>
    <w:rsid w:val="00BA762E"/>
    <w:rsid w:val="00BA78A9"/>
    <w:rsid w:val="00BA7D78"/>
    <w:rsid w:val="00BB0349"/>
    <w:rsid w:val="00BB0814"/>
    <w:rsid w:val="00BB09E7"/>
    <w:rsid w:val="00BB0BED"/>
    <w:rsid w:val="00BB1085"/>
    <w:rsid w:val="00BB11FF"/>
    <w:rsid w:val="00BB16EE"/>
    <w:rsid w:val="00BB18F8"/>
    <w:rsid w:val="00BB1A17"/>
    <w:rsid w:val="00BB1CA2"/>
    <w:rsid w:val="00BB1D9A"/>
    <w:rsid w:val="00BB1EB0"/>
    <w:rsid w:val="00BB26CE"/>
    <w:rsid w:val="00BB37BF"/>
    <w:rsid w:val="00BB40C9"/>
    <w:rsid w:val="00BB4391"/>
    <w:rsid w:val="00BB4758"/>
    <w:rsid w:val="00BB48CF"/>
    <w:rsid w:val="00BB4AC3"/>
    <w:rsid w:val="00BB5312"/>
    <w:rsid w:val="00BB5699"/>
    <w:rsid w:val="00BB5A37"/>
    <w:rsid w:val="00BB6322"/>
    <w:rsid w:val="00BB6546"/>
    <w:rsid w:val="00BB6678"/>
    <w:rsid w:val="00BB6AEB"/>
    <w:rsid w:val="00BB78DD"/>
    <w:rsid w:val="00BB7ADF"/>
    <w:rsid w:val="00BB7F04"/>
    <w:rsid w:val="00BB7F10"/>
    <w:rsid w:val="00BC0A13"/>
    <w:rsid w:val="00BC10F6"/>
    <w:rsid w:val="00BC13F9"/>
    <w:rsid w:val="00BC16BD"/>
    <w:rsid w:val="00BC1D78"/>
    <w:rsid w:val="00BC1D97"/>
    <w:rsid w:val="00BC1E0F"/>
    <w:rsid w:val="00BC21F1"/>
    <w:rsid w:val="00BC2217"/>
    <w:rsid w:val="00BC2224"/>
    <w:rsid w:val="00BC236A"/>
    <w:rsid w:val="00BC2449"/>
    <w:rsid w:val="00BC2880"/>
    <w:rsid w:val="00BC2B62"/>
    <w:rsid w:val="00BC2D9D"/>
    <w:rsid w:val="00BC2F8F"/>
    <w:rsid w:val="00BC31CF"/>
    <w:rsid w:val="00BC3559"/>
    <w:rsid w:val="00BC3663"/>
    <w:rsid w:val="00BC3970"/>
    <w:rsid w:val="00BC39C6"/>
    <w:rsid w:val="00BC44C0"/>
    <w:rsid w:val="00BC4612"/>
    <w:rsid w:val="00BC49F6"/>
    <w:rsid w:val="00BC4D84"/>
    <w:rsid w:val="00BC57E4"/>
    <w:rsid w:val="00BC5CD3"/>
    <w:rsid w:val="00BC5D98"/>
    <w:rsid w:val="00BC61BD"/>
    <w:rsid w:val="00BC62BB"/>
    <w:rsid w:val="00BC6332"/>
    <w:rsid w:val="00BC701A"/>
    <w:rsid w:val="00BC74F5"/>
    <w:rsid w:val="00BD0CEF"/>
    <w:rsid w:val="00BD0E6A"/>
    <w:rsid w:val="00BD110D"/>
    <w:rsid w:val="00BD16EA"/>
    <w:rsid w:val="00BD1E8D"/>
    <w:rsid w:val="00BD278F"/>
    <w:rsid w:val="00BD46BD"/>
    <w:rsid w:val="00BD5065"/>
    <w:rsid w:val="00BD540E"/>
    <w:rsid w:val="00BD54E5"/>
    <w:rsid w:val="00BD5A11"/>
    <w:rsid w:val="00BD65D8"/>
    <w:rsid w:val="00BD661E"/>
    <w:rsid w:val="00BD6785"/>
    <w:rsid w:val="00BD67A8"/>
    <w:rsid w:val="00BD6DF1"/>
    <w:rsid w:val="00BD7390"/>
    <w:rsid w:val="00BD7435"/>
    <w:rsid w:val="00BD7BA6"/>
    <w:rsid w:val="00BD7CF2"/>
    <w:rsid w:val="00BE005D"/>
    <w:rsid w:val="00BE00FD"/>
    <w:rsid w:val="00BE021E"/>
    <w:rsid w:val="00BE07EE"/>
    <w:rsid w:val="00BE12E9"/>
    <w:rsid w:val="00BE1453"/>
    <w:rsid w:val="00BE1932"/>
    <w:rsid w:val="00BE1937"/>
    <w:rsid w:val="00BE19A9"/>
    <w:rsid w:val="00BE1D73"/>
    <w:rsid w:val="00BE1F4F"/>
    <w:rsid w:val="00BE2378"/>
    <w:rsid w:val="00BE283D"/>
    <w:rsid w:val="00BE2EC3"/>
    <w:rsid w:val="00BE2FA6"/>
    <w:rsid w:val="00BE318B"/>
    <w:rsid w:val="00BE31E7"/>
    <w:rsid w:val="00BE3219"/>
    <w:rsid w:val="00BE3DD9"/>
    <w:rsid w:val="00BE41EA"/>
    <w:rsid w:val="00BE4460"/>
    <w:rsid w:val="00BE531B"/>
    <w:rsid w:val="00BE5329"/>
    <w:rsid w:val="00BE56F3"/>
    <w:rsid w:val="00BE5804"/>
    <w:rsid w:val="00BE58FA"/>
    <w:rsid w:val="00BE5AD4"/>
    <w:rsid w:val="00BE61B7"/>
    <w:rsid w:val="00BE6E88"/>
    <w:rsid w:val="00BF09F2"/>
    <w:rsid w:val="00BF0CF5"/>
    <w:rsid w:val="00BF0D02"/>
    <w:rsid w:val="00BF10F1"/>
    <w:rsid w:val="00BF10FC"/>
    <w:rsid w:val="00BF19D5"/>
    <w:rsid w:val="00BF1C77"/>
    <w:rsid w:val="00BF1DB4"/>
    <w:rsid w:val="00BF1DD4"/>
    <w:rsid w:val="00BF2BF3"/>
    <w:rsid w:val="00BF2EEA"/>
    <w:rsid w:val="00BF337D"/>
    <w:rsid w:val="00BF33F4"/>
    <w:rsid w:val="00BF5200"/>
    <w:rsid w:val="00BF54D1"/>
    <w:rsid w:val="00BF5548"/>
    <w:rsid w:val="00BF5720"/>
    <w:rsid w:val="00BF5758"/>
    <w:rsid w:val="00BF5883"/>
    <w:rsid w:val="00BF6B3A"/>
    <w:rsid w:val="00BF6CA9"/>
    <w:rsid w:val="00BF6E3C"/>
    <w:rsid w:val="00BF7575"/>
    <w:rsid w:val="00BF7635"/>
    <w:rsid w:val="00BF76AF"/>
    <w:rsid w:val="00BF7940"/>
    <w:rsid w:val="00C0002D"/>
    <w:rsid w:val="00C002DF"/>
    <w:rsid w:val="00C0045E"/>
    <w:rsid w:val="00C005F0"/>
    <w:rsid w:val="00C008D8"/>
    <w:rsid w:val="00C013F6"/>
    <w:rsid w:val="00C01699"/>
    <w:rsid w:val="00C01815"/>
    <w:rsid w:val="00C0184F"/>
    <w:rsid w:val="00C019E1"/>
    <w:rsid w:val="00C01CEF"/>
    <w:rsid w:val="00C01E12"/>
    <w:rsid w:val="00C02B2C"/>
    <w:rsid w:val="00C02B52"/>
    <w:rsid w:val="00C02D4B"/>
    <w:rsid w:val="00C02E40"/>
    <w:rsid w:val="00C03319"/>
    <w:rsid w:val="00C03C69"/>
    <w:rsid w:val="00C03F3B"/>
    <w:rsid w:val="00C044E0"/>
    <w:rsid w:val="00C04601"/>
    <w:rsid w:val="00C04788"/>
    <w:rsid w:val="00C049AE"/>
    <w:rsid w:val="00C04BE3"/>
    <w:rsid w:val="00C04CB3"/>
    <w:rsid w:val="00C0519A"/>
    <w:rsid w:val="00C055FB"/>
    <w:rsid w:val="00C059F6"/>
    <w:rsid w:val="00C05B23"/>
    <w:rsid w:val="00C0619A"/>
    <w:rsid w:val="00C061EA"/>
    <w:rsid w:val="00C06939"/>
    <w:rsid w:val="00C06DBB"/>
    <w:rsid w:val="00C07074"/>
    <w:rsid w:val="00C070ED"/>
    <w:rsid w:val="00C0714A"/>
    <w:rsid w:val="00C0745D"/>
    <w:rsid w:val="00C078DA"/>
    <w:rsid w:val="00C07950"/>
    <w:rsid w:val="00C07E02"/>
    <w:rsid w:val="00C07E78"/>
    <w:rsid w:val="00C10280"/>
    <w:rsid w:val="00C10AE1"/>
    <w:rsid w:val="00C10B54"/>
    <w:rsid w:val="00C128D1"/>
    <w:rsid w:val="00C12974"/>
    <w:rsid w:val="00C129B8"/>
    <w:rsid w:val="00C12A2A"/>
    <w:rsid w:val="00C12A49"/>
    <w:rsid w:val="00C13130"/>
    <w:rsid w:val="00C132E5"/>
    <w:rsid w:val="00C14210"/>
    <w:rsid w:val="00C14A8F"/>
    <w:rsid w:val="00C14B8C"/>
    <w:rsid w:val="00C14D6D"/>
    <w:rsid w:val="00C14E01"/>
    <w:rsid w:val="00C14EFA"/>
    <w:rsid w:val="00C14F0A"/>
    <w:rsid w:val="00C15A05"/>
    <w:rsid w:val="00C15B9E"/>
    <w:rsid w:val="00C15C3D"/>
    <w:rsid w:val="00C15E72"/>
    <w:rsid w:val="00C1610E"/>
    <w:rsid w:val="00C16638"/>
    <w:rsid w:val="00C16805"/>
    <w:rsid w:val="00C16952"/>
    <w:rsid w:val="00C16A41"/>
    <w:rsid w:val="00C16DBE"/>
    <w:rsid w:val="00C16DC9"/>
    <w:rsid w:val="00C16EA9"/>
    <w:rsid w:val="00C17130"/>
    <w:rsid w:val="00C176CF"/>
    <w:rsid w:val="00C206BE"/>
    <w:rsid w:val="00C20A09"/>
    <w:rsid w:val="00C21B09"/>
    <w:rsid w:val="00C21D4B"/>
    <w:rsid w:val="00C21E2A"/>
    <w:rsid w:val="00C221B1"/>
    <w:rsid w:val="00C223A0"/>
    <w:rsid w:val="00C223E7"/>
    <w:rsid w:val="00C225AB"/>
    <w:rsid w:val="00C22763"/>
    <w:rsid w:val="00C22769"/>
    <w:rsid w:val="00C22FA0"/>
    <w:rsid w:val="00C2340D"/>
    <w:rsid w:val="00C237F2"/>
    <w:rsid w:val="00C23C15"/>
    <w:rsid w:val="00C243DF"/>
    <w:rsid w:val="00C255D3"/>
    <w:rsid w:val="00C25B0E"/>
    <w:rsid w:val="00C25D49"/>
    <w:rsid w:val="00C26783"/>
    <w:rsid w:val="00C27063"/>
    <w:rsid w:val="00C272ED"/>
    <w:rsid w:val="00C2732E"/>
    <w:rsid w:val="00C27B77"/>
    <w:rsid w:val="00C30729"/>
    <w:rsid w:val="00C3100D"/>
    <w:rsid w:val="00C3106C"/>
    <w:rsid w:val="00C3150C"/>
    <w:rsid w:val="00C3156C"/>
    <w:rsid w:val="00C31AC4"/>
    <w:rsid w:val="00C31C11"/>
    <w:rsid w:val="00C32B06"/>
    <w:rsid w:val="00C32C21"/>
    <w:rsid w:val="00C32DB2"/>
    <w:rsid w:val="00C33105"/>
    <w:rsid w:val="00C33112"/>
    <w:rsid w:val="00C3314A"/>
    <w:rsid w:val="00C3353F"/>
    <w:rsid w:val="00C34413"/>
    <w:rsid w:val="00C34BAF"/>
    <w:rsid w:val="00C34C6E"/>
    <w:rsid w:val="00C34CDA"/>
    <w:rsid w:val="00C356AC"/>
    <w:rsid w:val="00C35938"/>
    <w:rsid w:val="00C35B14"/>
    <w:rsid w:val="00C36147"/>
    <w:rsid w:val="00C3616C"/>
    <w:rsid w:val="00C36406"/>
    <w:rsid w:val="00C36DA8"/>
    <w:rsid w:val="00C373EB"/>
    <w:rsid w:val="00C3783D"/>
    <w:rsid w:val="00C3789E"/>
    <w:rsid w:val="00C4077B"/>
    <w:rsid w:val="00C40BF3"/>
    <w:rsid w:val="00C411FF"/>
    <w:rsid w:val="00C4164E"/>
    <w:rsid w:val="00C41781"/>
    <w:rsid w:val="00C4188B"/>
    <w:rsid w:val="00C41F22"/>
    <w:rsid w:val="00C4228F"/>
    <w:rsid w:val="00C427EC"/>
    <w:rsid w:val="00C43048"/>
    <w:rsid w:val="00C43111"/>
    <w:rsid w:val="00C433AA"/>
    <w:rsid w:val="00C44E58"/>
    <w:rsid w:val="00C44F35"/>
    <w:rsid w:val="00C45154"/>
    <w:rsid w:val="00C45C77"/>
    <w:rsid w:val="00C462D3"/>
    <w:rsid w:val="00C476D1"/>
    <w:rsid w:val="00C5082E"/>
    <w:rsid w:val="00C5105B"/>
    <w:rsid w:val="00C510E4"/>
    <w:rsid w:val="00C511BD"/>
    <w:rsid w:val="00C51293"/>
    <w:rsid w:val="00C51721"/>
    <w:rsid w:val="00C51C49"/>
    <w:rsid w:val="00C524D3"/>
    <w:rsid w:val="00C52D56"/>
    <w:rsid w:val="00C52DEA"/>
    <w:rsid w:val="00C52FB2"/>
    <w:rsid w:val="00C538A1"/>
    <w:rsid w:val="00C53D81"/>
    <w:rsid w:val="00C540B9"/>
    <w:rsid w:val="00C541C9"/>
    <w:rsid w:val="00C544F7"/>
    <w:rsid w:val="00C54E69"/>
    <w:rsid w:val="00C54E84"/>
    <w:rsid w:val="00C552FD"/>
    <w:rsid w:val="00C5549D"/>
    <w:rsid w:val="00C554AF"/>
    <w:rsid w:val="00C555EA"/>
    <w:rsid w:val="00C55A49"/>
    <w:rsid w:val="00C55C03"/>
    <w:rsid w:val="00C55F04"/>
    <w:rsid w:val="00C55F68"/>
    <w:rsid w:val="00C56069"/>
    <w:rsid w:val="00C562EF"/>
    <w:rsid w:val="00C5656D"/>
    <w:rsid w:val="00C569F5"/>
    <w:rsid w:val="00C56B75"/>
    <w:rsid w:val="00C56CBD"/>
    <w:rsid w:val="00C57490"/>
    <w:rsid w:val="00C574F2"/>
    <w:rsid w:val="00C575D0"/>
    <w:rsid w:val="00C57E23"/>
    <w:rsid w:val="00C607FD"/>
    <w:rsid w:val="00C60E05"/>
    <w:rsid w:val="00C60EC2"/>
    <w:rsid w:val="00C617B5"/>
    <w:rsid w:val="00C61833"/>
    <w:rsid w:val="00C61D4D"/>
    <w:rsid w:val="00C62BDC"/>
    <w:rsid w:val="00C62DF4"/>
    <w:rsid w:val="00C63021"/>
    <w:rsid w:val="00C6341F"/>
    <w:rsid w:val="00C63471"/>
    <w:rsid w:val="00C6365B"/>
    <w:rsid w:val="00C6373D"/>
    <w:rsid w:val="00C6387D"/>
    <w:rsid w:val="00C63A22"/>
    <w:rsid w:val="00C63A6A"/>
    <w:rsid w:val="00C63A92"/>
    <w:rsid w:val="00C63D14"/>
    <w:rsid w:val="00C63D9D"/>
    <w:rsid w:val="00C63F73"/>
    <w:rsid w:val="00C642FF"/>
    <w:rsid w:val="00C6434C"/>
    <w:rsid w:val="00C64436"/>
    <w:rsid w:val="00C646A1"/>
    <w:rsid w:val="00C64E53"/>
    <w:rsid w:val="00C652AF"/>
    <w:rsid w:val="00C6541A"/>
    <w:rsid w:val="00C65470"/>
    <w:rsid w:val="00C657C4"/>
    <w:rsid w:val="00C65CCA"/>
    <w:rsid w:val="00C66470"/>
    <w:rsid w:val="00C66704"/>
    <w:rsid w:val="00C66B57"/>
    <w:rsid w:val="00C67290"/>
    <w:rsid w:val="00C675AD"/>
    <w:rsid w:val="00C67796"/>
    <w:rsid w:val="00C70085"/>
    <w:rsid w:val="00C705D8"/>
    <w:rsid w:val="00C705E5"/>
    <w:rsid w:val="00C70658"/>
    <w:rsid w:val="00C708B2"/>
    <w:rsid w:val="00C71126"/>
    <w:rsid w:val="00C7128D"/>
    <w:rsid w:val="00C713F8"/>
    <w:rsid w:val="00C71954"/>
    <w:rsid w:val="00C71B64"/>
    <w:rsid w:val="00C71BD4"/>
    <w:rsid w:val="00C71FBD"/>
    <w:rsid w:val="00C721C6"/>
    <w:rsid w:val="00C724C3"/>
    <w:rsid w:val="00C72EC8"/>
    <w:rsid w:val="00C73250"/>
    <w:rsid w:val="00C73EB3"/>
    <w:rsid w:val="00C73EF6"/>
    <w:rsid w:val="00C74406"/>
    <w:rsid w:val="00C748B5"/>
    <w:rsid w:val="00C75184"/>
    <w:rsid w:val="00C75ADC"/>
    <w:rsid w:val="00C75B0D"/>
    <w:rsid w:val="00C76056"/>
    <w:rsid w:val="00C76C6C"/>
    <w:rsid w:val="00C76F1B"/>
    <w:rsid w:val="00C76FDC"/>
    <w:rsid w:val="00C774DC"/>
    <w:rsid w:val="00C77FBD"/>
    <w:rsid w:val="00C801AC"/>
    <w:rsid w:val="00C80809"/>
    <w:rsid w:val="00C8080C"/>
    <w:rsid w:val="00C80836"/>
    <w:rsid w:val="00C80EE1"/>
    <w:rsid w:val="00C81B13"/>
    <w:rsid w:val="00C81CB2"/>
    <w:rsid w:val="00C825E8"/>
    <w:rsid w:val="00C82608"/>
    <w:rsid w:val="00C82808"/>
    <w:rsid w:val="00C83F0A"/>
    <w:rsid w:val="00C84608"/>
    <w:rsid w:val="00C84A3E"/>
    <w:rsid w:val="00C84EF8"/>
    <w:rsid w:val="00C852F1"/>
    <w:rsid w:val="00C85442"/>
    <w:rsid w:val="00C8569E"/>
    <w:rsid w:val="00C86203"/>
    <w:rsid w:val="00C8670A"/>
    <w:rsid w:val="00C86A7D"/>
    <w:rsid w:val="00C87421"/>
    <w:rsid w:val="00C901DF"/>
    <w:rsid w:val="00C9033E"/>
    <w:rsid w:val="00C904C2"/>
    <w:rsid w:val="00C907FA"/>
    <w:rsid w:val="00C9110A"/>
    <w:rsid w:val="00C91158"/>
    <w:rsid w:val="00C91C95"/>
    <w:rsid w:val="00C91CBD"/>
    <w:rsid w:val="00C91F5F"/>
    <w:rsid w:val="00C92573"/>
    <w:rsid w:val="00C9296E"/>
    <w:rsid w:val="00C93C77"/>
    <w:rsid w:val="00C93CA5"/>
    <w:rsid w:val="00C9413B"/>
    <w:rsid w:val="00C942F4"/>
    <w:rsid w:val="00C94AA5"/>
    <w:rsid w:val="00C94F7B"/>
    <w:rsid w:val="00C94FCD"/>
    <w:rsid w:val="00C94FDD"/>
    <w:rsid w:val="00C95163"/>
    <w:rsid w:val="00C955C5"/>
    <w:rsid w:val="00C95988"/>
    <w:rsid w:val="00C9600A"/>
    <w:rsid w:val="00C96879"/>
    <w:rsid w:val="00C969ED"/>
    <w:rsid w:val="00C96B89"/>
    <w:rsid w:val="00C972BF"/>
    <w:rsid w:val="00C97477"/>
    <w:rsid w:val="00C97524"/>
    <w:rsid w:val="00C9793B"/>
    <w:rsid w:val="00C97D0A"/>
    <w:rsid w:val="00CA0036"/>
    <w:rsid w:val="00CA092C"/>
    <w:rsid w:val="00CA0AA7"/>
    <w:rsid w:val="00CA0DA2"/>
    <w:rsid w:val="00CA12A5"/>
    <w:rsid w:val="00CA15AE"/>
    <w:rsid w:val="00CA1951"/>
    <w:rsid w:val="00CA1D6D"/>
    <w:rsid w:val="00CA1FDA"/>
    <w:rsid w:val="00CA237D"/>
    <w:rsid w:val="00CA29F7"/>
    <w:rsid w:val="00CA2C38"/>
    <w:rsid w:val="00CA32CB"/>
    <w:rsid w:val="00CA336F"/>
    <w:rsid w:val="00CA362E"/>
    <w:rsid w:val="00CA3794"/>
    <w:rsid w:val="00CA37DF"/>
    <w:rsid w:val="00CA3FEA"/>
    <w:rsid w:val="00CA41D4"/>
    <w:rsid w:val="00CA4610"/>
    <w:rsid w:val="00CA498D"/>
    <w:rsid w:val="00CA4B03"/>
    <w:rsid w:val="00CA4E44"/>
    <w:rsid w:val="00CA5616"/>
    <w:rsid w:val="00CA6210"/>
    <w:rsid w:val="00CA6775"/>
    <w:rsid w:val="00CA68F4"/>
    <w:rsid w:val="00CA6BD0"/>
    <w:rsid w:val="00CA6F8C"/>
    <w:rsid w:val="00CA7399"/>
    <w:rsid w:val="00CA78BF"/>
    <w:rsid w:val="00CB041D"/>
    <w:rsid w:val="00CB0EC0"/>
    <w:rsid w:val="00CB1332"/>
    <w:rsid w:val="00CB1625"/>
    <w:rsid w:val="00CB25C1"/>
    <w:rsid w:val="00CB2824"/>
    <w:rsid w:val="00CB326F"/>
    <w:rsid w:val="00CB33AF"/>
    <w:rsid w:val="00CB36C5"/>
    <w:rsid w:val="00CB3DF8"/>
    <w:rsid w:val="00CB409B"/>
    <w:rsid w:val="00CB47FE"/>
    <w:rsid w:val="00CB4B28"/>
    <w:rsid w:val="00CB5496"/>
    <w:rsid w:val="00CB55B0"/>
    <w:rsid w:val="00CB5AD5"/>
    <w:rsid w:val="00CB5E17"/>
    <w:rsid w:val="00CB6269"/>
    <w:rsid w:val="00CB78A6"/>
    <w:rsid w:val="00CB7B48"/>
    <w:rsid w:val="00CB7C56"/>
    <w:rsid w:val="00CB7C69"/>
    <w:rsid w:val="00CC0C39"/>
    <w:rsid w:val="00CC0C85"/>
    <w:rsid w:val="00CC0E7D"/>
    <w:rsid w:val="00CC0F33"/>
    <w:rsid w:val="00CC1140"/>
    <w:rsid w:val="00CC1375"/>
    <w:rsid w:val="00CC18EF"/>
    <w:rsid w:val="00CC1CB0"/>
    <w:rsid w:val="00CC1CE7"/>
    <w:rsid w:val="00CC1DA8"/>
    <w:rsid w:val="00CC1EDD"/>
    <w:rsid w:val="00CC1FA9"/>
    <w:rsid w:val="00CC3E66"/>
    <w:rsid w:val="00CC4176"/>
    <w:rsid w:val="00CC440F"/>
    <w:rsid w:val="00CC4717"/>
    <w:rsid w:val="00CC4C0C"/>
    <w:rsid w:val="00CC5036"/>
    <w:rsid w:val="00CC5ECC"/>
    <w:rsid w:val="00CC5F1E"/>
    <w:rsid w:val="00CC60AD"/>
    <w:rsid w:val="00CC62DF"/>
    <w:rsid w:val="00CC6450"/>
    <w:rsid w:val="00CC64C8"/>
    <w:rsid w:val="00CC69EE"/>
    <w:rsid w:val="00CC6DCC"/>
    <w:rsid w:val="00CC6E5B"/>
    <w:rsid w:val="00CC7199"/>
    <w:rsid w:val="00CC7909"/>
    <w:rsid w:val="00CC7976"/>
    <w:rsid w:val="00CC79BA"/>
    <w:rsid w:val="00CC7EE8"/>
    <w:rsid w:val="00CD0484"/>
    <w:rsid w:val="00CD057B"/>
    <w:rsid w:val="00CD09D8"/>
    <w:rsid w:val="00CD0DE5"/>
    <w:rsid w:val="00CD14EA"/>
    <w:rsid w:val="00CD1684"/>
    <w:rsid w:val="00CD1BED"/>
    <w:rsid w:val="00CD241B"/>
    <w:rsid w:val="00CD25B6"/>
    <w:rsid w:val="00CD28BA"/>
    <w:rsid w:val="00CD2CC2"/>
    <w:rsid w:val="00CD2E4D"/>
    <w:rsid w:val="00CD3030"/>
    <w:rsid w:val="00CD30E0"/>
    <w:rsid w:val="00CD3194"/>
    <w:rsid w:val="00CD35A9"/>
    <w:rsid w:val="00CD3BDA"/>
    <w:rsid w:val="00CD482D"/>
    <w:rsid w:val="00CD4ACE"/>
    <w:rsid w:val="00CD4C22"/>
    <w:rsid w:val="00CD5300"/>
    <w:rsid w:val="00CD549B"/>
    <w:rsid w:val="00CD557A"/>
    <w:rsid w:val="00CD5664"/>
    <w:rsid w:val="00CD5AD3"/>
    <w:rsid w:val="00CD5AD4"/>
    <w:rsid w:val="00CD644D"/>
    <w:rsid w:val="00CD7B65"/>
    <w:rsid w:val="00CE0617"/>
    <w:rsid w:val="00CE0B5C"/>
    <w:rsid w:val="00CE0F7A"/>
    <w:rsid w:val="00CE103D"/>
    <w:rsid w:val="00CE14DA"/>
    <w:rsid w:val="00CE1CF9"/>
    <w:rsid w:val="00CE1EA6"/>
    <w:rsid w:val="00CE250E"/>
    <w:rsid w:val="00CE348F"/>
    <w:rsid w:val="00CE381C"/>
    <w:rsid w:val="00CE3A4A"/>
    <w:rsid w:val="00CE3B7A"/>
    <w:rsid w:val="00CE414F"/>
    <w:rsid w:val="00CE443B"/>
    <w:rsid w:val="00CE4BE5"/>
    <w:rsid w:val="00CE4E57"/>
    <w:rsid w:val="00CE51B4"/>
    <w:rsid w:val="00CE53D6"/>
    <w:rsid w:val="00CE5606"/>
    <w:rsid w:val="00CE5A79"/>
    <w:rsid w:val="00CE5A80"/>
    <w:rsid w:val="00CE5A99"/>
    <w:rsid w:val="00CE618C"/>
    <w:rsid w:val="00CE6302"/>
    <w:rsid w:val="00CE6C5C"/>
    <w:rsid w:val="00CE6F6E"/>
    <w:rsid w:val="00CE7A99"/>
    <w:rsid w:val="00CF0D15"/>
    <w:rsid w:val="00CF0FD0"/>
    <w:rsid w:val="00CF101E"/>
    <w:rsid w:val="00CF11B7"/>
    <w:rsid w:val="00CF153F"/>
    <w:rsid w:val="00CF1D04"/>
    <w:rsid w:val="00CF1EC7"/>
    <w:rsid w:val="00CF2291"/>
    <w:rsid w:val="00CF238C"/>
    <w:rsid w:val="00CF2E84"/>
    <w:rsid w:val="00CF34C8"/>
    <w:rsid w:val="00CF37A0"/>
    <w:rsid w:val="00CF381E"/>
    <w:rsid w:val="00CF39EE"/>
    <w:rsid w:val="00CF3D01"/>
    <w:rsid w:val="00CF3E3E"/>
    <w:rsid w:val="00CF3EDB"/>
    <w:rsid w:val="00CF43E4"/>
    <w:rsid w:val="00CF43F7"/>
    <w:rsid w:val="00CF4765"/>
    <w:rsid w:val="00CF4B58"/>
    <w:rsid w:val="00CF597A"/>
    <w:rsid w:val="00CF59FE"/>
    <w:rsid w:val="00CF5BE0"/>
    <w:rsid w:val="00CF5C52"/>
    <w:rsid w:val="00CF5D95"/>
    <w:rsid w:val="00CF6ADC"/>
    <w:rsid w:val="00CF6CBB"/>
    <w:rsid w:val="00CF709C"/>
    <w:rsid w:val="00CF736B"/>
    <w:rsid w:val="00CF7A85"/>
    <w:rsid w:val="00CF7B63"/>
    <w:rsid w:val="00CF7D05"/>
    <w:rsid w:val="00CF7D8E"/>
    <w:rsid w:val="00CF7EAE"/>
    <w:rsid w:val="00D00104"/>
    <w:rsid w:val="00D00131"/>
    <w:rsid w:val="00D00510"/>
    <w:rsid w:val="00D0101C"/>
    <w:rsid w:val="00D0107D"/>
    <w:rsid w:val="00D01156"/>
    <w:rsid w:val="00D018AC"/>
    <w:rsid w:val="00D027B3"/>
    <w:rsid w:val="00D0325D"/>
    <w:rsid w:val="00D03410"/>
    <w:rsid w:val="00D03C4C"/>
    <w:rsid w:val="00D03DFF"/>
    <w:rsid w:val="00D04015"/>
    <w:rsid w:val="00D041C4"/>
    <w:rsid w:val="00D04234"/>
    <w:rsid w:val="00D04592"/>
    <w:rsid w:val="00D04770"/>
    <w:rsid w:val="00D04795"/>
    <w:rsid w:val="00D0483D"/>
    <w:rsid w:val="00D04D00"/>
    <w:rsid w:val="00D0557C"/>
    <w:rsid w:val="00D0592A"/>
    <w:rsid w:val="00D05E59"/>
    <w:rsid w:val="00D06002"/>
    <w:rsid w:val="00D0618A"/>
    <w:rsid w:val="00D067EE"/>
    <w:rsid w:val="00D071C9"/>
    <w:rsid w:val="00D0735D"/>
    <w:rsid w:val="00D078DA"/>
    <w:rsid w:val="00D07904"/>
    <w:rsid w:val="00D07B31"/>
    <w:rsid w:val="00D07C49"/>
    <w:rsid w:val="00D10196"/>
    <w:rsid w:val="00D10578"/>
    <w:rsid w:val="00D10D96"/>
    <w:rsid w:val="00D114AC"/>
    <w:rsid w:val="00D11DBF"/>
    <w:rsid w:val="00D11FE3"/>
    <w:rsid w:val="00D1203C"/>
    <w:rsid w:val="00D120CA"/>
    <w:rsid w:val="00D12234"/>
    <w:rsid w:val="00D1269C"/>
    <w:rsid w:val="00D127D8"/>
    <w:rsid w:val="00D12811"/>
    <w:rsid w:val="00D13124"/>
    <w:rsid w:val="00D131DA"/>
    <w:rsid w:val="00D1385D"/>
    <w:rsid w:val="00D13D8B"/>
    <w:rsid w:val="00D14099"/>
    <w:rsid w:val="00D14214"/>
    <w:rsid w:val="00D142D1"/>
    <w:rsid w:val="00D14465"/>
    <w:rsid w:val="00D14519"/>
    <w:rsid w:val="00D154FE"/>
    <w:rsid w:val="00D1576B"/>
    <w:rsid w:val="00D16085"/>
    <w:rsid w:val="00D160B0"/>
    <w:rsid w:val="00D160FE"/>
    <w:rsid w:val="00D162E5"/>
    <w:rsid w:val="00D177D5"/>
    <w:rsid w:val="00D179FB"/>
    <w:rsid w:val="00D207B4"/>
    <w:rsid w:val="00D20CD3"/>
    <w:rsid w:val="00D20F17"/>
    <w:rsid w:val="00D21248"/>
    <w:rsid w:val="00D217FC"/>
    <w:rsid w:val="00D21952"/>
    <w:rsid w:val="00D21F6D"/>
    <w:rsid w:val="00D221AD"/>
    <w:rsid w:val="00D22450"/>
    <w:rsid w:val="00D224C4"/>
    <w:rsid w:val="00D2315C"/>
    <w:rsid w:val="00D23363"/>
    <w:rsid w:val="00D23525"/>
    <w:rsid w:val="00D23E0D"/>
    <w:rsid w:val="00D2419C"/>
    <w:rsid w:val="00D24237"/>
    <w:rsid w:val="00D24451"/>
    <w:rsid w:val="00D24520"/>
    <w:rsid w:val="00D25066"/>
    <w:rsid w:val="00D255A4"/>
    <w:rsid w:val="00D257C3"/>
    <w:rsid w:val="00D259CA"/>
    <w:rsid w:val="00D25A97"/>
    <w:rsid w:val="00D25EEF"/>
    <w:rsid w:val="00D262DD"/>
    <w:rsid w:val="00D26A13"/>
    <w:rsid w:val="00D26D5B"/>
    <w:rsid w:val="00D273D7"/>
    <w:rsid w:val="00D2793E"/>
    <w:rsid w:val="00D301C7"/>
    <w:rsid w:val="00D3078A"/>
    <w:rsid w:val="00D31617"/>
    <w:rsid w:val="00D316EE"/>
    <w:rsid w:val="00D31B47"/>
    <w:rsid w:val="00D3221A"/>
    <w:rsid w:val="00D32502"/>
    <w:rsid w:val="00D32A06"/>
    <w:rsid w:val="00D330E8"/>
    <w:rsid w:val="00D33412"/>
    <w:rsid w:val="00D338AE"/>
    <w:rsid w:val="00D3391B"/>
    <w:rsid w:val="00D34155"/>
    <w:rsid w:val="00D34CD2"/>
    <w:rsid w:val="00D34CE0"/>
    <w:rsid w:val="00D35162"/>
    <w:rsid w:val="00D351DE"/>
    <w:rsid w:val="00D35B4D"/>
    <w:rsid w:val="00D36316"/>
    <w:rsid w:val="00D3697B"/>
    <w:rsid w:val="00D377A0"/>
    <w:rsid w:val="00D37AAF"/>
    <w:rsid w:val="00D40B75"/>
    <w:rsid w:val="00D414F2"/>
    <w:rsid w:val="00D41A59"/>
    <w:rsid w:val="00D41F2F"/>
    <w:rsid w:val="00D42C03"/>
    <w:rsid w:val="00D43271"/>
    <w:rsid w:val="00D4355F"/>
    <w:rsid w:val="00D4403B"/>
    <w:rsid w:val="00D44115"/>
    <w:rsid w:val="00D44554"/>
    <w:rsid w:val="00D449E6"/>
    <w:rsid w:val="00D44D98"/>
    <w:rsid w:val="00D44E43"/>
    <w:rsid w:val="00D4520D"/>
    <w:rsid w:val="00D4534B"/>
    <w:rsid w:val="00D45A58"/>
    <w:rsid w:val="00D45B0F"/>
    <w:rsid w:val="00D45D6F"/>
    <w:rsid w:val="00D46262"/>
    <w:rsid w:val="00D4632E"/>
    <w:rsid w:val="00D464B0"/>
    <w:rsid w:val="00D46F7E"/>
    <w:rsid w:val="00D471DA"/>
    <w:rsid w:val="00D47A04"/>
    <w:rsid w:val="00D47A85"/>
    <w:rsid w:val="00D50624"/>
    <w:rsid w:val="00D50718"/>
    <w:rsid w:val="00D508B7"/>
    <w:rsid w:val="00D50939"/>
    <w:rsid w:val="00D50CC2"/>
    <w:rsid w:val="00D514B6"/>
    <w:rsid w:val="00D51C3C"/>
    <w:rsid w:val="00D51F2C"/>
    <w:rsid w:val="00D52C67"/>
    <w:rsid w:val="00D53176"/>
    <w:rsid w:val="00D53336"/>
    <w:rsid w:val="00D53594"/>
    <w:rsid w:val="00D5455A"/>
    <w:rsid w:val="00D54837"/>
    <w:rsid w:val="00D55CAC"/>
    <w:rsid w:val="00D56009"/>
    <w:rsid w:val="00D5615B"/>
    <w:rsid w:val="00D56911"/>
    <w:rsid w:val="00D56A25"/>
    <w:rsid w:val="00D56FE7"/>
    <w:rsid w:val="00D5781B"/>
    <w:rsid w:val="00D60395"/>
    <w:rsid w:val="00D6075B"/>
    <w:rsid w:val="00D60AF9"/>
    <w:rsid w:val="00D60BF1"/>
    <w:rsid w:val="00D60C59"/>
    <w:rsid w:val="00D60D3F"/>
    <w:rsid w:val="00D61001"/>
    <w:rsid w:val="00D61583"/>
    <w:rsid w:val="00D61C73"/>
    <w:rsid w:val="00D6210C"/>
    <w:rsid w:val="00D62190"/>
    <w:rsid w:val="00D62326"/>
    <w:rsid w:val="00D62EF1"/>
    <w:rsid w:val="00D63497"/>
    <w:rsid w:val="00D63699"/>
    <w:rsid w:val="00D63C77"/>
    <w:rsid w:val="00D6477F"/>
    <w:rsid w:val="00D6518C"/>
    <w:rsid w:val="00D651EC"/>
    <w:rsid w:val="00D6522C"/>
    <w:rsid w:val="00D65252"/>
    <w:rsid w:val="00D65411"/>
    <w:rsid w:val="00D656A9"/>
    <w:rsid w:val="00D65963"/>
    <w:rsid w:val="00D65B0B"/>
    <w:rsid w:val="00D66404"/>
    <w:rsid w:val="00D6645A"/>
    <w:rsid w:val="00D66841"/>
    <w:rsid w:val="00D668EA"/>
    <w:rsid w:val="00D66E5C"/>
    <w:rsid w:val="00D67650"/>
    <w:rsid w:val="00D678B6"/>
    <w:rsid w:val="00D678F0"/>
    <w:rsid w:val="00D6799B"/>
    <w:rsid w:val="00D67A6E"/>
    <w:rsid w:val="00D67ECC"/>
    <w:rsid w:val="00D67F54"/>
    <w:rsid w:val="00D7052A"/>
    <w:rsid w:val="00D70850"/>
    <w:rsid w:val="00D70973"/>
    <w:rsid w:val="00D70E43"/>
    <w:rsid w:val="00D71808"/>
    <w:rsid w:val="00D71E10"/>
    <w:rsid w:val="00D72070"/>
    <w:rsid w:val="00D72447"/>
    <w:rsid w:val="00D727C2"/>
    <w:rsid w:val="00D728F7"/>
    <w:rsid w:val="00D72B06"/>
    <w:rsid w:val="00D72F93"/>
    <w:rsid w:val="00D73655"/>
    <w:rsid w:val="00D737A5"/>
    <w:rsid w:val="00D73AFA"/>
    <w:rsid w:val="00D73FF0"/>
    <w:rsid w:val="00D740BF"/>
    <w:rsid w:val="00D740D8"/>
    <w:rsid w:val="00D745A7"/>
    <w:rsid w:val="00D74C1E"/>
    <w:rsid w:val="00D74E6C"/>
    <w:rsid w:val="00D752C4"/>
    <w:rsid w:val="00D753F7"/>
    <w:rsid w:val="00D75437"/>
    <w:rsid w:val="00D754B7"/>
    <w:rsid w:val="00D75691"/>
    <w:rsid w:val="00D768A0"/>
    <w:rsid w:val="00D768D5"/>
    <w:rsid w:val="00D76935"/>
    <w:rsid w:val="00D76A13"/>
    <w:rsid w:val="00D76BF7"/>
    <w:rsid w:val="00D77166"/>
    <w:rsid w:val="00D77557"/>
    <w:rsid w:val="00D77917"/>
    <w:rsid w:val="00D803B8"/>
    <w:rsid w:val="00D80E43"/>
    <w:rsid w:val="00D8114B"/>
    <w:rsid w:val="00D817E7"/>
    <w:rsid w:val="00D8194B"/>
    <w:rsid w:val="00D81C33"/>
    <w:rsid w:val="00D81F57"/>
    <w:rsid w:val="00D82BA2"/>
    <w:rsid w:val="00D82DFE"/>
    <w:rsid w:val="00D82E75"/>
    <w:rsid w:val="00D82FAE"/>
    <w:rsid w:val="00D8317E"/>
    <w:rsid w:val="00D832B3"/>
    <w:rsid w:val="00D83453"/>
    <w:rsid w:val="00D83554"/>
    <w:rsid w:val="00D83B82"/>
    <w:rsid w:val="00D8406D"/>
    <w:rsid w:val="00D840B8"/>
    <w:rsid w:val="00D8417E"/>
    <w:rsid w:val="00D8454D"/>
    <w:rsid w:val="00D848C6"/>
    <w:rsid w:val="00D84CD8"/>
    <w:rsid w:val="00D8523F"/>
    <w:rsid w:val="00D8533F"/>
    <w:rsid w:val="00D85695"/>
    <w:rsid w:val="00D85749"/>
    <w:rsid w:val="00D85F27"/>
    <w:rsid w:val="00D86500"/>
    <w:rsid w:val="00D8660F"/>
    <w:rsid w:val="00D86F47"/>
    <w:rsid w:val="00D870D4"/>
    <w:rsid w:val="00D873B0"/>
    <w:rsid w:val="00D8758A"/>
    <w:rsid w:val="00D87984"/>
    <w:rsid w:val="00D90657"/>
    <w:rsid w:val="00D90780"/>
    <w:rsid w:val="00D90A39"/>
    <w:rsid w:val="00D90C91"/>
    <w:rsid w:val="00D9118F"/>
    <w:rsid w:val="00D912FC"/>
    <w:rsid w:val="00D91481"/>
    <w:rsid w:val="00D91D0C"/>
    <w:rsid w:val="00D91ECF"/>
    <w:rsid w:val="00D91F33"/>
    <w:rsid w:val="00D926E2"/>
    <w:rsid w:val="00D928E1"/>
    <w:rsid w:val="00D92BDA"/>
    <w:rsid w:val="00D9379D"/>
    <w:rsid w:val="00D9428B"/>
    <w:rsid w:val="00D94485"/>
    <w:rsid w:val="00D95F30"/>
    <w:rsid w:val="00D96366"/>
    <w:rsid w:val="00D96712"/>
    <w:rsid w:val="00D96750"/>
    <w:rsid w:val="00D968E5"/>
    <w:rsid w:val="00D96AE7"/>
    <w:rsid w:val="00D96C36"/>
    <w:rsid w:val="00D96D1B"/>
    <w:rsid w:val="00D96EDC"/>
    <w:rsid w:val="00D96F6D"/>
    <w:rsid w:val="00D9710C"/>
    <w:rsid w:val="00D97576"/>
    <w:rsid w:val="00D9763F"/>
    <w:rsid w:val="00DA023E"/>
    <w:rsid w:val="00DA0267"/>
    <w:rsid w:val="00DA033E"/>
    <w:rsid w:val="00DA1DC3"/>
    <w:rsid w:val="00DA1F1D"/>
    <w:rsid w:val="00DA20DB"/>
    <w:rsid w:val="00DA2941"/>
    <w:rsid w:val="00DA2C2D"/>
    <w:rsid w:val="00DA2CBC"/>
    <w:rsid w:val="00DA32AC"/>
    <w:rsid w:val="00DA3503"/>
    <w:rsid w:val="00DA355A"/>
    <w:rsid w:val="00DA3CB1"/>
    <w:rsid w:val="00DA41E4"/>
    <w:rsid w:val="00DA4384"/>
    <w:rsid w:val="00DA4621"/>
    <w:rsid w:val="00DA47E6"/>
    <w:rsid w:val="00DA4B55"/>
    <w:rsid w:val="00DA5486"/>
    <w:rsid w:val="00DA5B56"/>
    <w:rsid w:val="00DA5F03"/>
    <w:rsid w:val="00DA618E"/>
    <w:rsid w:val="00DA6567"/>
    <w:rsid w:val="00DA6CC1"/>
    <w:rsid w:val="00DA772C"/>
    <w:rsid w:val="00DA7803"/>
    <w:rsid w:val="00DA781D"/>
    <w:rsid w:val="00DA7DF3"/>
    <w:rsid w:val="00DB0005"/>
    <w:rsid w:val="00DB025E"/>
    <w:rsid w:val="00DB02B8"/>
    <w:rsid w:val="00DB0308"/>
    <w:rsid w:val="00DB07DB"/>
    <w:rsid w:val="00DB08D3"/>
    <w:rsid w:val="00DB096D"/>
    <w:rsid w:val="00DB10B5"/>
    <w:rsid w:val="00DB1284"/>
    <w:rsid w:val="00DB15B3"/>
    <w:rsid w:val="00DB1E29"/>
    <w:rsid w:val="00DB1EA9"/>
    <w:rsid w:val="00DB208C"/>
    <w:rsid w:val="00DB27C6"/>
    <w:rsid w:val="00DB2E64"/>
    <w:rsid w:val="00DB30A0"/>
    <w:rsid w:val="00DB3A0D"/>
    <w:rsid w:val="00DB45ED"/>
    <w:rsid w:val="00DB589A"/>
    <w:rsid w:val="00DB628B"/>
    <w:rsid w:val="00DB63A4"/>
    <w:rsid w:val="00DB6FD0"/>
    <w:rsid w:val="00DB70F8"/>
    <w:rsid w:val="00DB7E0D"/>
    <w:rsid w:val="00DC028B"/>
    <w:rsid w:val="00DC033B"/>
    <w:rsid w:val="00DC04F3"/>
    <w:rsid w:val="00DC0AB0"/>
    <w:rsid w:val="00DC0B41"/>
    <w:rsid w:val="00DC0B86"/>
    <w:rsid w:val="00DC0B88"/>
    <w:rsid w:val="00DC0D6E"/>
    <w:rsid w:val="00DC1251"/>
    <w:rsid w:val="00DC169B"/>
    <w:rsid w:val="00DC1CA1"/>
    <w:rsid w:val="00DC1CA8"/>
    <w:rsid w:val="00DC1D3C"/>
    <w:rsid w:val="00DC24AB"/>
    <w:rsid w:val="00DC26F1"/>
    <w:rsid w:val="00DC2DB0"/>
    <w:rsid w:val="00DC2DEC"/>
    <w:rsid w:val="00DC3010"/>
    <w:rsid w:val="00DC33D6"/>
    <w:rsid w:val="00DC403D"/>
    <w:rsid w:val="00DC404F"/>
    <w:rsid w:val="00DC4AFA"/>
    <w:rsid w:val="00DC4EC0"/>
    <w:rsid w:val="00DC53F1"/>
    <w:rsid w:val="00DC54F0"/>
    <w:rsid w:val="00DC558D"/>
    <w:rsid w:val="00DC5D49"/>
    <w:rsid w:val="00DC5EDA"/>
    <w:rsid w:val="00DC5FD4"/>
    <w:rsid w:val="00DC6415"/>
    <w:rsid w:val="00DC6485"/>
    <w:rsid w:val="00DC6575"/>
    <w:rsid w:val="00DC6ADB"/>
    <w:rsid w:val="00DC6DC7"/>
    <w:rsid w:val="00DC700E"/>
    <w:rsid w:val="00DC78F6"/>
    <w:rsid w:val="00DC7AC7"/>
    <w:rsid w:val="00DC7F0C"/>
    <w:rsid w:val="00DD0341"/>
    <w:rsid w:val="00DD037A"/>
    <w:rsid w:val="00DD05DB"/>
    <w:rsid w:val="00DD0BA2"/>
    <w:rsid w:val="00DD0E7C"/>
    <w:rsid w:val="00DD0F23"/>
    <w:rsid w:val="00DD121F"/>
    <w:rsid w:val="00DD17B7"/>
    <w:rsid w:val="00DD17D9"/>
    <w:rsid w:val="00DD1C1E"/>
    <w:rsid w:val="00DD21CD"/>
    <w:rsid w:val="00DD24A1"/>
    <w:rsid w:val="00DD2573"/>
    <w:rsid w:val="00DD2647"/>
    <w:rsid w:val="00DD28D0"/>
    <w:rsid w:val="00DD30C9"/>
    <w:rsid w:val="00DD3886"/>
    <w:rsid w:val="00DD3C00"/>
    <w:rsid w:val="00DD3C5B"/>
    <w:rsid w:val="00DD3DBC"/>
    <w:rsid w:val="00DD418A"/>
    <w:rsid w:val="00DD455B"/>
    <w:rsid w:val="00DD4605"/>
    <w:rsid w:val="00DD4A71"/>
    <w:rsid w:val="00DD502D"/>
    <w:rsid w:val="00DD50E9"/>
    <w:rsid w:val="00DD512F"/>
    <w:rsid w:val="00DD5521"/>
    <w:rsid w:val="00DD5621"/>
    <w:rsid w:val="00DD581E"/>
    <w:rsid w:val="00DD6400"/>
    <w:rsid w:val="00DD65BE"/>
    <w:rsid w:val="00DD661B"/>
    <w:rsid w:val="00DD673C"/>
    <w:rsid w:val="00DD69C0"/>
    <w:rsid w:val="00DD7042"/>
    <w:rsid w:val="00DD73F7"/>
    <w:rsid w:val="00DD782D"/>
    <w:rsid w:val="00DD7A5A"/>
    <w:rsid w:val="00DD7B4A"/>
    <w:rsid w:val="00DD7E62"/>
    <w:rsid w:val="00DE0261"/>
    <w:rsid w:val="00DE0600"/>
    <w:rsid w:val="00DE0D2D"/>
    <w:rsid w:val="00DE0EE8"/>
    <w:rsid w:val="00DE1201"/>
    <w:rsid w:val="00DE15DB"/>
    <w:rsid w:val="00DE301D"/>
    <w:rsid w:val="00DE34CD"/>
    <w:rsid w:val="00DE3708"/>
    <w:rsid w:val="00DE45AC"/>
    <w:rsid w:val="00DE4942"/>
    <w:rsid w:val="00DE4B2C"/>
    <w:rsid w:val="00DE4B79"/>
    <w:rsid w:val="00DE4F07"/>
    <w:rsid w:val="00DE5258"/>
    <w:rsid w:val="00DE54E3"/>
    <w:rsid w:val="00DE5D84"/>
    <w:rsid w:val="00DE5FAA"/>
    <w:rsid w:val="00DE6128"/>
    <w:rsid w:val="00DE763D"/>
    <w:rsid w:val="00DE7A65"/>
    <w:rsid w:val="00DF0192"/>
    <w:rsid w:val="00DF02C9"/>
    <w:rsid w:val="00DF07A8"/>
    <w:rsid w:val="00DF0D36"/>
    <w:rsid w:val="00DF0F68"/>
    <w:rsid w:val="00DF1123"/>
    <w:rsid w:val="00DF1CEF"/>
    <w:rsid w:val="00DF2934"/>
    <w:rsid w:val="00DF2FC4"/>
    <w:rsid w:val="00DF35BF"/>
    <w:rsid w:val="00DF3BF4"/>
    <w:rsid w:val="00DF3E0A"/>
    <w:rsid w:val="00DF41AC"/>
    <w:rsid w:val="00DF43A1"/>
    <w:rsid w:val="00DF48CD"/>
    <w:rsid w:val="00DF4C2F"/>
    <w:rsid w:val="00DF5442"/>
    <w:rsid w:val="00DF5756"/>
    <w:rsid w:val="00DF5E59"/>
    <w:rsid w:val="00DF5F62"/>
    <w:rsid w:val="00DF5FA0"/>
    <w:rsid w:val="00DF6B9E"/>
    <w:rsid w:val="00DF6EB6"/>
    <w:rsid w:val="00DF6F9C"/>
    <w:rsid w:val="00DF705D"/>
    <w:rsid w:val="00DF7332"/>
    <w:rsid w:val="00DF78D7"/>
    <w:rsid w:val="00DF7B49"/>
    <w:rsid w:val="00DF7FB7"/>
    <w:rsid w:val="00E004FD"/>
    <w:rsid w:val="00E00FF1"/>
    <w:rsid w:val="00E0152A"/>
    <w:rsid w:val="00E01A2E"/>
    <w:rsid w:val="00E01EDB"/>
    <w:rsid w:val="00E01F9E"/>
    <w:rsid w:val="00E0202C"/>
    <w:rsid w:val="00E021AF"/>
    <w:rsid w:val="00E02819"/>
    <w:rsid w:val="00E02AD9"/>
    <w:rsid w:val="00E02CB5"/>
    <w:rsid w:val="00E02F84"/>
    <w:rsid w:val="00E030CF"/>
    <w:rsid w:val="00E03193"/>
    <w:rsid w:val="00E031E6"/>
    <w:rsid w:val="00E03539"/>
    <w:rsid w:val="00E035BB"/>
    <w:rsid w:val="00E03835"/>
    <w:rsid w:val="00E03BD5"/>
    <w:rsid w:val="00E04C46"/>
    <w:rsid w:val="00E052F0"/>
    <w:rsid w:val="00E05310"/>
    <w:rsid w:val="00E05535"/>
    <w:rsid w:val="00E05C49"/>
    <w:rsid w:val="00E06259"/>
    <w:rsid w:val="00E06722"/>
    <w:rsid w:val="00E06DB3"/>
    <w:rsid w:val="00E0736B"/>
    <w:rsid w:val="00E074C9"/>
    <w:rsid w:val="00E07852"/>
    <w:rsid w:val="00E078A9"/>
    <w:rsid w:val="00E078ED"/>
    <w:rsid w:val="00E079F3"/>
    <w:rsid w:val="00E07DBC"/>
    <w:rsid w:val="00E10485"/>
    <w:rsid w:val="00E106E3"/>
    <w:rsid w:val="00E10D07"/>
    <w:rsid w:val="00E10E14"/>
    <w:rsid w:val="00E11954"/>
    <w:rsid w:val="00E11B40"/>
    <w:rsid w:val="00E11E3E"/>
    <w:rsid w:val="00E11F8E"/>
    <w:rsid w:val="00E120E4"/>
    <w:rsid w:val="00E12109"/>
    <w:rsid w:val="00E123DA"/>
    <w:rsid w:val="00E125C3"/>
    <w:rsid w:val="00E12745"/>
    <w:rsid w:val="00E12978"/>
    <w:rsid w:val="00E12A4D"/>
    <w:rsid w:val="00E12B26"/>
    <w:rsid w:val="00E12D6D"/>
    <w:rsid w:val="00E12DB1"/>
    <w:rsid w:val="00E1345A"/>
    <w:rsid w:val="00E13BFC"/>
    <w:rsid w:val="00E13D18"/>
    <w:rsid w:val="00E13F30"/>
    <w:rsid w:val="00E146AB"/>
    <w:rsid w:val="00E150B7"/>
    <w:rsid w:val="00E15179"/>
    <w:rsid w:val="00E15ABD"/>
    <w:rsid w:val="00E15C71"/>
    <w:rsid w:val="00E15E45"/>
    <w:rsid w:val="00E15F26"/>
    <w:rsid w:val="00E16674"/>
    <w:rsid w:val="00E16A55"/>
    <w:rsid w:val="00E173B6"/>
    <w:rsid w:val="00E175C2"/>
    <w:rsid w:val="00E17750"/>
    <w:rsid w:val="00E17E60"/>
    <w:rsid w:val="00E204FC"/>
    <w:rsid w:val="00E207CB"/>
    <w:rsid w:val="00E20831"/>
    <w:rsid w:val="00E209C0"/>
    <w:rsid w:val="00E2104D"/>
    <w:rsid w:val="00E211D0"/>
    <w:rsid w:val="00E21204"/>
    <w:rsid w:val="00E212EF"/>
    <w:rsid w:val="00E21821"/>
    <w:rsid w:val="00E2344E"/>
    <w:rsid w:val="00E23539"/>
    <w:rsid w:val="00E23CC3"/>
    <w:rsid w:val="00E23EC7"/>
    <w:rsid w:val="00E2461F"/>
    <w:rsid w:val="00E24965"/>
    <w:rsid w:val="00E24DC0"/>
    <w:rsid w:val="00E25A04"/>
    <w:rsid w:val="00E25ACC"/>
    <w:rsid w:val="00E2615C"/>
    <w:rsid w:val="00E2626E"/>
    <w:rsid w:val="00E26420"/>
    <w:rsid w:val="00E26596"/>
    <w:rsid w:val="00E2659D"/>
    <w:rsid w:val="00E26A90"/>
    <w:rsid w:val="00E26B59"/>
    <w:rsid w:val="00E26D84"/>
    <w:rsid w:val="00E26D91"/>
    <w:rsid w:val="00E26FDF"/>
    <w:rsid w:val="00E27891"/>
    <w:rsid w:val="00E2792E"/>
    <w:rsid w:val="00E27DA0"/>
    <w:rsid w:val="00E303DD"/>
    <w:rsid w:val="00E30405"/>
    <w:rsid w:val="00E30A1C"/>
    <w:rsid w:val="00E312FB"/>
    <w:rsid w:val="00E314AF"/>
    <w:rsid w:val="00E31702"/>
    <w:rsid w:val="00E31927"/>
    <w:rsid w:val="00E31A7E"/>
    <w:rsid w:val="00E31C97"/>
    <w:rsid w:val="00E31D12"/>
    <w:rsid w:val="00E31D7A"/>
    <w:rsid w:val="00E32213"/>
    <w:rsid w:val="00E322B1"/>
    <w:rsid w:val="00E32894"/>
    <w:rsid w:val="00E32AE5"/>
    <w:rsid w:val="00E32E5D"/>
    <w:rsid w:val="00E33161"/>
    <w:rsid w:val="00E337BA"/>
    <w:rsid w:val="00E33A84"/>
    <w:rsid w:val="00E33F62"/>
    <w:rsid w:val="00E34C0C"/>
    <w:rsid w:val="00E354D6"/>
    <w:rsid w:val="00E355C9"/>
    <w:rsid w:val="00E358E0"/>
    <w:rsid w:val="00E35F5C"/>
    <w:rsid w:val="00E362AC"/>
    <w:rsid w:val="00E3653B"/>
    <w:rsid w:val="00E36549"/>
    <w:rsid w:val="00E36E35"/>
    <w:rsid w:val="00E370C2"/>
    <w:rsid w:val="00E37A6D"/>
    <w:rsid w:val="00E37BAC"/>
    <w:rsid w:val="00E37D69"/>
    <w:rsid w:val="00E37D75"/>
    <w:rsid w:val="00E37DFF"/>
    <w:rsid w:val="00E401B1"/>
    <w:rsid w:val="00E41752"/>
    <w:rsid w:val="00E41768"/>
    <w:rsid w:val="00E41DDA"/>
    <w:rsid w:val="00E42272"/>
    <w:rsid w:val="00E42574"/>
    <w:rsid w:val="00E428E8"/>
    <w:rsid w:val="00E429A3"/>
    <w:rsid w:val="00E42D1C"/>
    <w:rsid w:val="00E431D0"/>
    <w:rsid w:val="00E43273"/>
    <w:rsid w:val="00E432B5"/>
    <w:rsid w:val="00E43A09"/>
    <w:rsid w:val="00E440A5"/>
    <w:rsid w:val="00E45140"/>
    <w:rsid w:val="00E46249"/>
    <w:rsid w:val="00E4642C"/>
    <w:rsid w:val="00E4652D"/>
    <w:rsid w:val="00E46825"/>
    <w:rsid w:val="00E50212"/>
    <w:rsid w:val="00E50349"/>
    <w:rsid w:val="00E50CD9"/>
    <w:rsid w:val="00E50FF1"/>
    <w:rsid w:val="00E51028"/>
    <w:rsid w:val="00E51094"/>
    <w:rsid w:val="00E518BA"/>
    <w:rsid w:val="00E51ED7"/>
    <w:rsid w:val="00E51F02"/>
    <w:rsid w:val="00E51FAD"/>
    <w:rsid w:val="00E520FF"/>
    <w:rsid w:val="00E522A4"/>
    <w:rsid w:val="00E52F5C"/>
    <w:rsid w:val="00E53101"/>
    <w:rsid w:val="00E53B92"/>
    <w:rsid w:val="00E53BDA"/>
    <w:rsid w:val="00E53BE3"/>
    <w:rsid w:val="00E53F5F"/>
    <w:rsid w:val="00E5402F"/>
    <w:rsid w:val="00E54E02"/>
    <w:rsid w:val="00E550AF"/>
    <w:rsid w:val="00E551E5"/>
    <w:rsid w:val="00E551E7"/>
    <w:rsid w:val="00E553D3"/>
    <w:rsid w:val="00E5548A"/>
    <w:rsid w:val="00E55845"/>
    <w:rsid w:val="00E5587B"/>
    <w:rsid w:val="00E55CA8"/>
    <w:rsid w:val="00E55E49"/>
    <w:rsid w:val="00E57240"/>
    <w:rsid w:val="00E57A3C"/>
    <w:rsid w:val="00E57B10"/>
    <w:rsid w:val="00E60445"/>
    <w:rsid w:val="00E605BD"/>
    <w:rsid w:val="00E60B79"/>
    <w:rsid w:val="00E60C1A"/>
    <w:rsid w:val="00E612F4"/>
    <w:rsid w:val="00E61561"/>
    <w:rsid w:val="00E61A99"/>
    <w:rsid w:val="00E61EFB"/>
    <w:rsid w:val="00E62500"/>
    <w:rsid w:val="00E625AD"/>
    <w:rsid w:val="00E625BC"/>
    <w:rsid w:val="00E626EC"/>
    <w:rsid w:val="00E62BF6"/>
    <w:rsid w:val="00E62ED4"/>
    <w:rsid w:val="00E63761"/>
    <w:rsid w:val="00E63B0D"/>
    <w:rsid w:val="00E63D65"/>
    <w:rsid w:val="00E6419F"/>
    <w:rsid w:val="00E6441F"/>
    <w:rsid w:val="00E644FF"/>
    <w:rsid w:val="00E64749"/>
    <w:rsid w:val="00E64A02"/>
    <w:rsid w:val="00E64F25"/>
    <w:rsid w:val="00E64FCA"/>
    <w:rsid w:val="00E650EA"/>
    <w:rsid w:val="00E654F9"/>
    <w:rsid w:val="00E658A1"/>
    <w:rsid w:val="00E65AA7"/>
    <w:rsid w:val="00E65FAF"/>
    <w:rsid w:val="00E660D9"/>
    <w:rsid w:val="00E66213"/>
    <w:rsid w:val="00E6642E"/>
    <w:rsid w:val="00E667A8"/>
    <w:rsid w:val="00E6684A"/>
    <w:rsid w:val="00E701EA"/>
    <w:rsid w:val="00E70308"/>
    <w:rsid w:val="00E70A54"/>
    <w:rsid w:val="00E710B6"/>
    <w:rsid w:val="00E71C03"/>
    <w:rsid w:val="00E71CBF"/>
    <w:rsid w:val="00E720D4"/>
    <w:rsid w:val="00E730F9"/>
    <w:rsid w:val="00E73936"/>
    <w:rsid w:val="00E74069"/>
    <w:rsid w:val="00E74A74"/>
    <w:rsid w:val="00E74CB3"/>
    <w:rsid w:val="00E75211"/>
    <w:rsid w:val="00E756A0"/>
    <w:rsid w:val="00E760A4"/>
    <w:rsid w:val="00E763C4"/>
    <w:rsid w:val="00E8030F"/>
    <w:rsid w:val="00E80553"/>
    <w:rsid w:val="00E80722"/>
    <w:rsid w:val="00E807AD"/>
    <w:rsid w:val="00E80F69"/>
    <w:rsid w:val="00E810F8"/>
    <w:rsid w:val="00E8160E"/>
    <w:rsid w:val="00E8179D"/>
    <w:rsid w:val="00E8189D"/>
    <w:rsid w:val="00E81A5A"/>
    <w:rsid w:val="00E81E9F"/>
    <w:rsid w:val="00E81EF0"/>
    <w:rsid w:val="00E82169"/>
    <w:rsid w:val="00E82C44"/>
    <w:rsid w:val="00E82E76"/>
    <w:rsid w:val="00E83207"/>
    <w:rsid w:val="00E832D1"/>
    <w:rsid w:val="00E833D7"/>
    <w:rsid w:val="00E835B7"/>
    <w:rsid w:val="00E835D0"/>
    <w:rsid w:val="00E8377A"/>
    <w:rsid w:val="00E837E3"/>
    <w:rsid w:val="00E83AFC"/>
    <w:rsid w:val="00E83D1C"/>
    <w:rsid w:val="00E843B1"/>
    <w:rsid w:val="00E84FF4"/>
    <w:rsid w:val="00E85688"/>
    <w:rsid w:val="00E85D4F"/>
    <w:rsid w:val="00E86255"/>
    <w:rsid w:val="00E86309"/>
    <w:rsid w:val="00E86383"/>
    <w:rsid w:val="00E86C43"/>
    <w:rsid w:val="00E87306"/>
    <w:rsid w:val="00E87832"/>
    <w:rsid w:val="00E87893"/>
    <w:rsid w:val="00E87C3A"/>
    <w:rsid w:val="00E87C9C"/>
    <w:rsid w:val="00E87EC3"/>
    <w:rsid w:val="00E901A4"/>
    <w:rsid w:val="00E904A1"/>
    <w:rsid w:val="00E9050B"/>
    <w:rsid w:val="00E908CD"/>
    <w:rsid w:val="00E908F5"/>
    <w:rsid w:val="00E91160"/>
    <w:rsid w:val="00E9216B"/>
    <w:rsid w:val="00E92354"/>
    <w:rsid w:val="00E92C8A"/>
    <w:rsid w:val="00E932CF"/>
    <w:rsid w:val="00E94375"/>
    <w:rsid w:val="00E94485"/>
    <w:rsid w:val="00E946A8"/>
    <w:rsid w:val="00E94728"/>
    <w:rsid w:val="00E94AD9"/>
    <w:rsid w:val="00E94B4A"/>
    <w:rsid w:val="00E95414"/>
    <w:rsid w:val="00E95B0E"/>
    <w:rsid w:val="00E95FA6"/>
    <w:rsid w:val="00E95FD9"/>
    <w:rsid w:val="00E960CF"/>
    <w:rsid w:val="00E96570"/>
    <w:rsid w:val="00E97AF8"/>
    <w:rsid w:val="00EA0183"/>
    <w:rsid w:val="00EA03EC"/>
    <w:rsid w:val="00EA0999"/>
    <w:rsid w:val="00EA0C28"/>
    <w:rsid w:val="00EA0D8C"/>
    <w:rsid w:val="00EA123F"/>
    <w:rsid w:val="00EA15B6"/>
    <w:rsid w:val="00EA1725"/>
    <w:rsid w:val="00EA1DDC"/>
    <w:rsid w:val="00EA1DEF"/>
    <w:rsid w:val="00EA278E"/>
    <w:rsid w:val="00EA30D7"/>
    <w:rsid w:val="00EA3188"/>
    <w:rsid w:val="00EA31DF"/>
    <w:rsid w:val="00EA3473"/>
    <w:rsid w:val="00EA3860"/>
    <w:rsid w:val="00EA39ED"/>
    <w:rsid w:val="00EA3B04"/>
    <w:rsid w:val="00EA4142"/>
    <w:rsid w:val="00EA4284"/>
    <w:rsid w:val="00EA4A59"/>
    <w:rsid w:val="00EA4B59"/>
    <w:rsid w:val="00EA4E4B"/>
    <w:rsid w:val="00EA4EB7"/>
    <w:rsid w:val="00EA5746"/>
    <w:rsid w:val="00EA5CAF"/>
    <w:rsid w:val="00EA5F3F"/>
    <w:rsid w:val="00EA6422"/>
    <w:rsid w:val="00EA68D2"/>
    <w:rsid w:val="00EA74D2"/>
    <w:rsid w:val="00EA755C"/>
    <w:rsid w:val="00EA757E"/>
    <w:rsid w:val="00EA7A41"/>
    <w:rsid w:val="00EA7A6C"/>
    <w:rsid w:val="00EB0069"/>
    <w:rsid w:val="00EB047A"/>
    <w:rsid w:val="00EB1139"/>
    <w:rsid w:val="00EB128B"/>
    <w:rsid w:val="00EB18D0"/>
    <w:rsid w:val="00EB18F6"/>
    <w:rsid w:val="00EB214C"/>
    <w:rsid w:val="00EB322B"/>
    <w:rsid w:val="00EB4ABC"/>
    <w:rsid w:val="00EB4BED"/>
    <w:rsid w:val="00EB5A28"/>
    <w:rsid w:val="00EB5C0E"/>
    <w:rsid w:val="00EB60E8"/>
    <w:rsid w:val="00EB60F8"/>
    <w:rsid w:val="00EB6441"/>
    <w:rsid w:val="00EB6FE2"/>
    <w:rsid w:val="00EB710C"/>
    <w:rsid w:val="00EB7652"/>
    <w:rsid w:val="00EB76D5"/>
    <w:rsid w:val="00EC0519"/>
    <w:rsid w:val="00EC06BA"/>
    <w:rsid w:val="00EC0C9A"/>
    <w:rsid w:val="00EC0E80"/>
    <w:rsid w:val="00EC123E"/>
    <w:rsid w:val="00EC1748"/>
    <w:rsid w:val="00EC1C02"/>
    <w:rsid w:val="00EC22D0"/>
    <w:rsid w:val="00EC255E"/>
    <w:rsid w:val="00EC2577"/>
    <w:rsid w:val="00EC25DA"/>
    <w:rsid w:val="00EC308A"/>
    <w:rsid w:val="00EC33C5"/>
    <w:rsid w:val="00EC3A60"/>
    <w:rsid w:val="00EC3FBB"/>
    <w:rsid w:val="00EC433C"/>
    <w:rsid w:val="00EC48AA"/>
    <w:rsid w:val="00EC4E84"/>
    <w:rsid w:val="00EC5087"/>
    <w:rsid w:val="00EC567D"/>
    <w:rsid w:val="00EC631F"/>
    <w:rsid w:val="00EC672E"/>
    <w:rsid w:val="00EC67EE"/>
    <w:rsid w:val="00EC6F6A"/>
    <w:rsid w:val="00EC734F"/>
    <w:rsid w:val="00EC7583"/>
    <w:rsid w:val="00EC7A60"/>
    <w:rsid w:val="00EC7E8E"/>
    <w:rsid w:val="00ED00F3"/>
    <w:rsid w:val="00ED0DE1"/>
    <w:rsid w:val="00ED11DA"/>
    <w:rsid w:val="00ED1DED"/>
    <w:rsid w:val="00ED268C"/>
    <w:rsid w:val="00ED3260"/>
    <w:rsid w:val="00ED32B1"/>
    <w:rsid w:val="00ED36F2"/>
    <w:rsid w:val="00ED3BA3"/>
    <w:rsid w:val="00ED4281"/>
    <w:rsid w:val="00ED44CC"/>
    <w:rsid w:val="00ED45E1"/>
    <w:rsid w:val="00ED4C32"/>
    <w:rsid w:val="00ED4D17"/>
    <w:rsid w:val="00ED4F65"/>
    <w:rsid w:val="00ED5780"/>
    <w:rsid w:val="00ED653B"/>
    <w:rsid w:val="00ED6713"/>
    <w:rsid w:val="00ED6A02"/>
    <w:rsid w:val="00ED6B2B"/>
    <w:rsid w:val="00ED6E76"/>
    <w:rsid w:val="00ED78CA"/>
    <w:rsid w:val="00ED794F"/>
    <w:rsid w:val="00EE0025"/>
    <w:rsid w:val="00EE003D"/>
    <w:rsid w:val="00EE0AFF"/>
    <w:rsid w:val="00EE0C04"/>
    <w:rsid w:val="00EE14FF"/>
    <w:rsid w:val="00EE1650"/>
    <w:rsid w:val="00EE1D4D"/>
    <w:rsid w:val="00EE1DA4"/>
    <w:rsid w:val="00EE23F8"/>
    <w:rsid w:val="00EE289F"/>
    <w:rsid w:val="00EE2F8C"/>
    <w:rsid w:val="00EE3590"/>
    <w:rsid w:val="00EE36E4"/>
    <w:rsid w:val="00EE3808"/>
    <w:rsid w:val="00EE3BBC"/>
    <w:rsid w:val="00EE3C42"/>
    <w:rsid w:val="00EE3EEA"/>
    <w:rsid w:val="00EE468F"/>
    <w:rsid w:val="00EE4710"/>
    <w:rsid w:val="00EE4B96"/>
    <w:rsid w:val="00EE4E24"/>
    <w:rsid w:val="00EE5062"/>
    <w:rsid w:val="00EE5181"/>
    <w:rsid w:val="00EE5B42"/>
    <w:rsid w:val="00EE5E2A"/>
    <w:rsid w:val="00EE5E3C"/>
    <w:rsid w:val="00EE61BB"/>
    <w:rsid w:val="00EE61BF"/>
    <w:rsid w:val="00EE7587"/>
    <w:rsid w:val="00EE76A7"/>
    <w:rsid w:val="00EF07CF"/>
    <w:rsid w:val="00EF0E96"/>
    <w:rsid w:val="00EF0F91"/>
    <w:rsid w:val="00EF10ED"/>
    <w:rsid w:val="00EF137D"/>
    <w:rsid w:val="00EF1CC7"/>
    <w:rsid w:val="00EF204A"/>
    <w:rsid w:val="00EF21CA"/>
    <w:rsid w:val="00EF21FE"/>
    <w:rsid w:val="00EF24C9"/>
    <w:rsid w:val="00EF3000"/>
    <w:rsid w:val="00EF33E5"/>
    <w:rsid w:val="00EF33EA"/>
    <w:rsid w:val="00EF369D"/>
    <w:rsid w:val="00EF3897"/>
    <w:rsid w:val="00EF39C6"/>
    <w:rsid w:val="00EF3A71"/>
    <w:rsid w:val="00EF3D83"/>
    <w:rsid w:val="00EF3D85"/>
    <w:rsid w:val="00EF3E7B"/>
    <w:rsid w:val="00EF43CB"/>
    <w:rsid w:val="00EF455E"/>
    <w:rsid w:val="00EF4637"/>
    <w:rsid w:val="00EF5CF3"/>
    <w:rsid w:val="00EF65BD"/>
    <w:rsid w:val="00EF68B3"/>
    <w:rsid w:val="00EF6A30"/>
    <w:rsid w:val="00EF78DA"/>
    <w:rsid w:val="00EF78F2"/>
    <w:rsid w:val="00EF7A05"/>
    <w:rsid w:val="00F003E0"/>
    <w:rsid w:val="00F005B8"/>
    <w:rsid w:val="00F0080C"/>
    <w:rsid w:val="00F0085A"/>
    <w:rsid w:val="00F00F7A"/>
    <w:rsid w:val="00F01519"/>
    <w:rsid w:val="00F025EC"/>
    <w:rsid w:val="00F027BA"/>
    <w:rsid w:val="00F02F29"/>
    <w:rsid w:val="00F040D5"/>
    <w:rsid w:val="00F04380"/>
    <w:rsid w:val="00F04711"/>
    <w:rsid w:val="00F04915"/>
    <w:rsid w:val="00F04E95"/>
    <w:rsid w:val="00F05C2D"/>
    <w:rsid w:val="00F05EDA"/>
    <w:rsid w:val="00F06062"/>
    <w:rsid w:val="00F06076"/>
    <w:rsid w:val="00F06293"/>
    <w:rsid w:val="00F06357"/>
    <w:rsid w:val="00F06989"/>
    <w:rsid w:val="00F075EF"/>
    <w:rsid w:val="00F07974"/>
    <w:rsid w:val="00F07A35"/>
    <w:rsid w:val="00F07F2B"/>
    <w:rsid w:val="00F07F3C"/>
    <w:rsid w:val="00F07FC6"/>
    <w:rsid w:val="00F100A8"/>
    <w:rsid w:val="00F100CA"/>
    <w:rsid w:val="00F10327"/>
    <w:rsid w:val="00F1050D"/>
    <w:rsid w:val="00F105F4"/>
    <w:rsid w:val="00F10A25"/>
    <w:rsid w:val="00F10C54"/>
    <w:rsid w:val="00F10E0F"/>
    <w:rsid w:val="00F113EE"/>
    <w:rsid w:val="00F1169B"/>
    <w:rsid w:val="00F128C4"/>
    <w:rsid w:val="00F1300E"/>
    <w:rsid w:val="00F1392E"/>
    <w:rsid w:val="00F13C0D"/>
    <w:rsid w:val="00F13C4F"/>
    <w:rsid w:val="00F13CBC"/>
    <w:rsid w:val="00F1418A"/>
    <w:rsid w:val="00F148CA"/>
    <w:rsid w:val="00F14E1A"/>
    <w:rsid w:val="00F14F6F"/>
    <w:rsid w:val="00F14F74"/>
    <w:rsid w:val="00F1544E"/>
    <w:rsid w:val="00F15693"/>
    <w:rsid w:val="00F1665F"/>
    <w:rsid w:val="00F169A1"/>
    <w:rsid w:val="00F16AA9"/>
    <w:rsid w:val="00F16BC1"/>
    <w:rsid w:val="00F16EAA"/>
    <w:rsid w:val="00F16EF3"/>
    <w:rsid w:val="00F17208"/>
    <w:rsid w:val="00F1749A"/>
    <w:rsid w:val="00F17956"/>
    <w:rsid w:val="00F2001F"/>
    <w:rsid w:val="00F20084"/>
    <w:rsid w:val="00F2065A"/>
    <w:rsid w:val="00F20D46"/>
    <w:rsid w:val="00F21E3D"/>
    <w:rsid w:val="00F2224B"/>
    <w:rsid w:val="00F223F0"/>
    <w:rsid w:val="00F22917"/>
    <w:rsid w:val="00F22AE7"/>
    <w:rsid w:val="00F22D0C"/>
    <w:rsid w:val="00F22D28"/>
    <w:rsid w:val="00F2363F"/>
    <w:rsid w:val="00F23784"/>
    <w:rsid w:val="00F2387C"/>
    <w:rsid w:val="00F23A42"/>
    <w:rsid w:val="00F2534C"/>
    <w:rsid w:val="00F2581F"/>
    <w:rsid w:val="00F25B5F"/>
    <w:rsid w:val="00F25C2E"/>
    <w:rsid w:val="00F26043"/>
    <w:rsid w:val="00F26165"/>
    <w:rsid w:val="00F26A30"/>
    <w:rsid w:val="00F26F5D"/>
    <w:rsid w:val="00F272A1"/>
    <w:rsid w:val="00F27CE9"/>
    <w:rsid w:val="00F27CF4"/>
    <w:rsid w:val="00F27E80"/>
    <w:rsid w:val="00F27F5D"/>
    <w:rsid w:val="00F27FC8"/>
    <w:rsid w:val="00F3089F"/>
    <w:rsid w:val="00F309CD"/>
    <w:rsid w:val="00F30CEF"/>
    <w:rsid w:val="00F311E6"/>
    <w:rsid w:val="00F31357"/>
    <w:rsid w:val="00F3166D"/>
    <w:rsid w:val="00F3197D"/>
    <w:rsid w:val="00F31C90"/>
    <w:rsid w:val="00F320DB"/>
    <w:rsid w:val="00F3226B"/>
    <w:rsid w:val="00F32EEE"/>
    <w:rsid w:val="00F33055"/>
    <w:rsid w:val="00F3314A"/>
    <w:rsid w:val="00F3316C"/>
    <w:rsid w:val="00F3329E"/>
    <w:rsid w:val="00F33DE4"/>
    <w:rsid w:val="00F34182"/>
    <w:rsid w:val="00F34B01"/>
    <w:rsid w:val="00F34B73"/>
    <w:rsid w:val="00F34F92"/>
    <w:rsid w:val="00F36221"/>
    <w:rsid w:val="00F36232"/>
    <w:rsid w:val="00F3638B"/>
    <w:rsid w:val="00F36394"/>
    <w:rsid w:val="00F366EA"/>
    <w:rsid w:val="00F37070"/>
    <w:rsid w:val="00F373D7"/>
    <w:rsid w:val="00F375D7"/>
    <w:rsid w:val="00F37A43"/>
    <w:rsid w:val="00F37C7C"/>
    <w:rsid w:val="00F37C90"/>
    <w:rsid w:val="00F37CDF"/>
    <w:rsid w:val="00F40047"/>
    <w:rsid w:val="00F4009D"/>
    <w:rsid w:val="00F4010D"/>
    <w:rsid w:val="00F40F3C"/>
    <w:rsid w:val="00F41105"/>
    <w:rsid w:val="00F411C7"/>
    <w:rsid w:val="00F4140C"/>
    <w:rsid w:val="00F41BA1"/>
    <w:rsid w:val="00F41C97"/>
    <w:rsid w:val="00F422E3"/>
    <w:rsid w:val="00F42C4C"/>
    <w:rsid w:val="00F437DE"/>
    <w:rsid w:val="00F43988"/>
    <w:rsid w:val="00F43DEA"/>
    <w:rsid w:val="00F44683"/>
    <w:rsid w:val="00F44AA8"/>
    <w:rsid w:val="00F44EF5"/>
    <w:rsid w:val="00F44F9D"/>
    <w:rsid w:val="00F45396"/>
    <w:rsid w:val="00F4598F"/>
    <w:rsid w:val="00F46556"/>
    <w:rsid w:val="00F465FC"/>
    <w:rsid w:val="00F468F6"/>
    <w:rsid w:val="00F46FBA"/>
    <w:rsid w:val="00F47CDF"/>
    <w:rsid w:val="00F47DFA"/>
    <w:rsid w:val="00F47E23"/>
    <w:rsid w:val="00F505F3"/>
    <w:rsid w:val="00F5098B"/>
    <w:rsid w:val="00F5099D"/>
    <w:rsid w:val="00F50D5F"/>
    <w:rsid w:val="00F50F82"/>
    <w:rsid w:val="00F50FDD"/>
    <w:rsid w:val="00F514EA"/>
    <w:rsid w:val="00F520D1"/>
    <w:rsid w:val="00F52224"/>
    <w:rsid w:val="00F522F5"/>
    <w:rsid w:val="00F52931"/>
    <w:rsid w:val="00F5296F"/>
    <w:rsid w:val="00F52BFD"/>
    <w:rsid w:val="00F52E43"/>
    <w:rsid w:val="00F5315C"/>
    <w:rsid w:val="00F53430"/>
    <w:rsid w:val="00F53E2B"/>
    <w:rsid w:val="00F54916"/>
    <w:rsid w:val="00F55985"/>
    <w:rsid w:val="00F56870"/>
    <w:rsid w:val="00F56A3D"/>
    <w:rsid w:val="00F56B33"/>
    <w:rsid w:val="00F56CD7"/>
    <w:rsid w:val="00F56F29"/>
    <w:rsid w:val="00F57449"/>
    <w:rsid w:val="00F57A19"/>
    <w:rsid w:val="00F6095E"/>
    <w:rsid w:val="00F60CE7"/>
    <w:rsid w:val="00F60DBF"/>
    <w:rsid w:val="00F60DC8"/>
    <w:rsid w:val="00F615FC"/>
    <w:rsid w:val="00F61CF1"/>
    <w:rsid w:val="00F62309"/>
    <w:rsid w:val="00F62588"/>
    <w:rsid w:val="00F625E6"/>
    <w:rsid w:val="00F62656"/>
    <w:rsid w:val="00F62A99"/>
    <w:rsid w:val="00F63022"/>
    <w:rsid w:val="00F63422"/>
    <w:rsid w:val="00F63DFA"/>
    <w:rsid w:val="00F645A3"/>
    <w:rsid w:val="00F645F4"/>
    <w:rsid w:val="00F64938"/>
    <w:rsid w:val="00F64A2C"/>
    <w:rsid w:val="00F65120"/>
    <w:rsid w:val="00F6513A"/>
    <w:rsid w:val="00F654C1"/>
    <w:rsid w:val="00F65B4C"/>
    <w:rsid w:val="00F65B7D"/>
    <w:rsid w:val="00F65C64"/>
    <w:rsid w:val="00F664AB"/>
    <w:rsid w:val="00F666EC"/>
    <w:rsid w:val="00F6682D"/>
    <w:rsid w:val="00F66DAE"/>
    <w:rsid w:val="00F67644"/>
    <w:rsid w:val="00F67A95"/>
    <w:rsid w:val="00F67EC7"/>
    <w:rsid w:val="00F67F61"/>
    <w:rsid w:val="00F67FA6"/>
    <w:rsid w:val="00F70430"/>
    <w:rsid w:val="00F7075E"/>
    <w:rsid w:val="00F70AC9"/>
    <w:rsid w:val="00F71008"/>
    <w:rsid w:val="00F7192A"/>
    <w:rsid w:val="00F71C67"/>
    <w:rsid w:val="00F72329"/>
    <w:rsid w:val="00F724DD"/>
    <w:rsid w:val="00F72638"/>
    <w:rsid w:val="00F73487"/>
    <w:rsid w:val="00F734E0"/>
    <w:rsid w:val="00F73BC3"/>
    <w:rsid w:val="00F743EE"/>
    <w:rsid w:val="00F74537"/>
    <w:rsid w:val="00F748E3"/>
    <w:rsid w:val="00F7495F"/>
    <w:rsid w:val="00F74C43"/>
    <w:rsid w:val="00F74CA8"/>
    <w:rsid w:val="00F74DA5"/>
    <w:rsid w:val="00F74FF4"/>
    <w:rsid w:val="00F75116"/>
    <w:rsid w:val="00F755C8"/>
    <w:rsid w:val="00F75778"/>
    <w:rsid w:val="00F769FC"/>
    <w:rsid w:val="00F76ACB"/>
    <w:rsid w:val="00F77093"/>
    <w:rsid w:val="00F7726C"/>
    <w:rsid w:val="00F77929"/>
    <w:rsid w:val="00F8016E"/>
    <w:rsid w:val="00F80592"/>
    <w:rsid w:val="00F809C9"/>
    <w:rsid w:val="00F8156B"/>
    <w:rsid w:val="00F817EB"/>
    <w:rsid w:val="00F81884"/>
    <w:rsid w:val="00F81F44"/>
    <w:rsid w:val="00F81FE8"/>
    <w:rsid w:val="00F821AF"/>
    <w:rsid w:val="00F82692"/>
    <w:rsid w:val="00F82F0C"/>
    <w:rsid w:val="00F82F92"/>
    <w:rsid w:val="00F838D1"/>
    <w:rsid w:val="00F839DC"/>
    <w:rsid w:val="00F84B03"/>
    <w:rsid w:val="00F850F5"/>
    <w:rsid w:val="00F8567A"/>
    <w:rsid w:val="00F85884"/>
    <w:rsid w:val="00F85915"/>
    <w:rsid w:val="00F85C39"/>
    <w:rsid w:val="00F860EC"/>
    <w:rsid w:val="00F8631D"/>
    <w:rsid w:val="00F86F9B"/>
    <w:rsid w:val="00F86FF0"/>
    <w:rsid w:val="00F87628"/>
    <w:rsid w:val="00F87D23"/>
    <w:rsid w:val="00F90BF7"/>
    <w:rsid w:val="00F90D3B"/>
    <w:rsid w:val="00F90E66"/>
    <w:rsid w:val="00F910D6"/>
    <w:rsid w:val="00F91352"/>
    <w:rsid w:val="00F91442"/>
    <w:rsid w:val="00F914A2"/>
    <w:rsid w:val="00F914ED"/>
    <w:rsid w:val="00F91AED"/>
    <w:rsid w:val="00F92278"/>
    <w:rsid w:val="00F9278E"/>
    <w:rsid w:val="00F92ABE"/>
    <w:rsid w:val="00F92FFA"/>
    <w:rsid w:val="00F93243"/>
    <w:rsid w:val="00F93424"/>
    <w:rsid w:val="00F93AE4"/>
    <w:rsid w:val="00F9422C"/>
    <w:rsid w:val="00F9428F"/>
    <w:rsid w:val="00F94C40"/>
    <w:rsid w:val="00F94E35"/>
    <w:rsid w:val="00F95199"/>
    <w:rsid w:val="00F95B15"/>
    <w:rsid w:val="00F95B2E"/>
    <w:rsid w:val="00F9606B"/>
    <w:rsid w:val="00F967BD"/>
    <w:rsid w:val="00F969DF"/>
    <w:rsid w:val="00F97B1B"/>
    <w:rsid w:val="00F97D74"/>
    <w:rsid w:val="00FA0E06"/>
    <w:rsid w:val="00FA0E6B"/>
    <w:rsid w:val="00FA16C7"/>
    <w:rsid w:val="00FA18EB"/>
    <w:rsid w:val="00FA18F3"/>
    <w:rsid w:val="00FA1B61"/>
    <w:rsid w:val="00FA1F48"/>
    <w:rsid w:val="00FA2C22"/>
    <w:rsid w:val="00FA2CB7"/>
    <w:rsid w:val="00FA2EDD"/>
    <w:rsid w:val="00FA3275"/>
    <w:rsid w:val="00FA3284"/>
    <w:rsid w:val="00FA3553"/>
    <w:rsid w:val="00FA37E5"/>
    <w:rsid w:val="00FA3B95"/>
    <w:rsid w:val="00FA4BF0"/>
    <w:rsid w:val="00FA4FBF"/>
    <w:rsid w:val="00FA596A"/>
    <w:rsid w:val="00FA5CAC"/>
    <w:rsid w:val="00FA61FD"/>
    <w:rsid w:val="00FA62C8"/>
    <w:rsid w:val="00FA6885"/>
    <w:rsid w:val="00FA6AB5"/>
    <w:rsid w:val="00FA7054"/>
    <w:rsid w:val="00FA7AC3"/>
    <w:rsid w:val="00FA7C86"/>
    <w:rsid w:val="00FA7F45"/>
    <w:rsid w:val="00FB01B4"/>
    <w:rsid w:val="00FB02D8"/>
    <w:rsid w:val="00FB045E"/>
    <w:rsid w:val="00FB0499"/>
    <w:rsid w:val="00FB08E8"/>
    <w:rsid w:val="00FB0978"/>
    <w:rsid w:val="00FB0CEC"/>
    <w:rsid w:val="00FB0E13"/>
    <w:rsid w:val="00FB0F36"/>
    <w:rsid w:val="00FB1D94"/>
    <w:rsid w:val="00FB1FDD"/>
    <w:rsid w:val="00FB242B"/>
    <w:rsid w:val="00FB247A"/>
    <w:rsid w:val="00FB25C1"/>
    <w:rsid w:val="00FB2B64"/>
    <w:rsid w:val="00FB2DF4"/>
    <w:rsid w:val="00FB2FCF"/>
    <w:rsid w:val="00FB3453"/>
    <w:rsid w:val="00FB3DA5"/>
    <w:rsid w:val="00FB4349"/>
    <w:rsid w:val="00FB45EB"/>
    <w:rsid w:val="00FB4A11"/>
    <w:rsid w:val="00FB4B30"/>
    <w:rsid w:val="00FB4E3D"/>
    <w:rsid w:val="00FB4E93"/>
    <w:rsid w:val="00FB592E"/>
    <w:rsid w:val="00FB60E9"/>
    <w:rsid w:val="00FB62C8"/>
    <w:rsid w:val="00FB665E"/>
    <w:rsid w:val="00FB6D7E"/>
    <w:rsid w:val="00FB70F9"/>
    <w:rsid w:val="00FB7584"/>
    <w:rsid w:val="00FB783E"/>
    <w:rsid w:val="00FB7E09"/>
    <w:rsid w:val="00FC0C1E"/>
    <w:rsid w:val="00FC1FA7"/>
    <w:rsid w:val="00FC2126"/>
    <w:rsid w:val="00FC21BE"/>
    <w:rsid w:val="00FC2317"/>
    <w:rsid w:val="00FC2911"/>
    <w:rsid w:val="00FC37F4"/>
    <w:rsid w:val="00FC3D90"/>
    <w:rsid w:val="00FC3F2C"/>
    <w:rsid w:val="00FC483C"/>
    <w:rsid w:val="00FC4F3E"/>
    <w:rsid w:val="00FC4FED"/>
    <w:rsid w:val="00FC53D2"/>
    <w:rsid w:val="00FC54E9"/>
    <w:rsid w:val="00FC72FD"/>
    <w:rsid w:val="00FC7E0F"/>
    <w:rsid w:val="00FD0237"/>
    <w:rsid w:val="00FD04A4"/>
    <w:rsid w:val="00FD054C"/>
    <w:rsid w:val="00FD098C"/>
    <w:rsid w:val="00FD0BCF"/>
    <w:rsid w:val="00FD1030"/>
    <w:rsid w:val="00FD12B6"/>
    <w:rsid w:val="00FD16DF"/>
    <w:rsid w:val="00FD1727"/>
    <w:rsid w:val="00FD17D8"/>
    <w:rsid w:val="00FD1A2E"/>
    <w:rsid w:val="00FD1EC3"/>
    <w:rsid w:val="00FD1FC0"/>
    <w:rsid w:val="00FD28EE"/>
    <w:rsid w:val="00FD2F2B"/>
    <w:rsid w:val="00FD2F35"/>
    <w:rsid w:val="00FD347A"/>
    <w:rsid w:val="00FD37D2"/>
    <w:rsid w:val="00FD37ED"/>
    <w:rsid w:val="00FD3ABF"/>
    <w:rsid w:val="00FD428E"/>
    <w:rsid w:val="00FD4E65"/>
    <w:rsid w:val="00FD50B2"/>
    <w:rsid w:val="00FD5167"/>
    <w:rsid w:val="00FD573E"/>
    <w:rsid w:val="00FD57AA"/>
    <w:rsid w:val="00FD590A"/>
    <w:rsid w:val="00FD5B13"/>
    <w:rsid w:val="00FD6094"/>
    <w:rsid w:val="00FD6615"/>
    <w:rsid w:val="00FD6AF5"/>
    <w:rsid w:val="00FD6C46"/>
    <w:rsid w:val="00FD6FF8"/>
    <w:rsid w:val="00FD7574"/>
    <w:rsid w:val="00FD77CF"/>
    <w:rsid w:val="00FD7B5E"/>
    <w:rsid w:val="00FD7E70"/>
    <w:rsid w:val="00FE0292"/>
    <w:rsid w:val="00FE02AC"/>
    <w:rsid w:val="00FE08C8"/>
    <w:rsid w:val="00FE0E97"/>
    <w:rsid w:val="00FE0FE9"/>
    <w:rsid w:val="00FE1127"/>
    <w:rsid w:val="00FE1204"/>
    <w:rsid w:val="00FE1343"/>
    <w:rsid w:val="00FE1881"/>
    <w:rsid w:val="00FE222A"/>
    <w:rsid w:val="00FE2ED8"/>
    <w:rsid w:val="00FE30C3"/>
    <w:rsid w:val="00FE39FD"/>
    <w:rsid w:val="00FE4346"/>
    <w:rsid w:val="00FE4603"/>
    <w:rsid w:val="00FE4654"/>
    <w:rsid w:val="00FE4983"/>
    <w:rsid w:val="00FE4E58"/>
    <w:rsid w:val="00FE53FD"/>
    <w:rsid w:val="00FE56F5"/>
    <w:rsid w:val="00FE5DB2"/>
    <w:rsid w:val="00FE5DF9"/>
    <w:rsid w:val="00FE5ED9"/>
    <w:rsid w:val="00FE5F9C"/>
    <w:rsid w:val="00FE6585"/>
    <w:rsid w:val="00FE6B0B"/>
    <w:rsid w:val="00FE6BC6"/>
    <w:rsid w:val="00FE6D2F"/>
    <w:rsid w:val="00FE6FFA"/>
    <w:rsid w:val="00FE754A"/>
    <w:rsid w:val="00FE7F51"/>
    <w:rsid w:val="00FF0BEF"/>
    <w:rsid w:val="00FF10A1"/>
    <w:rsid w:val="00FF13D5"/>
    <w:rsid w:val="00FF217E"/>
    <w:rsid w:val="00FF323C"/>
    <w:rsid w:val="00FF38D2"/>
    <w:rsid w:val="00FF3CF8"/>
    <w:rsid w:val="00FF3E82"/>
    <w:rsid w:val="00FF400F"/>
    <w:rsid w:val="00FF4037"/>
    <w:rsid w:val="00FF4109"/>
    <w:rsid w:val="00FF413B"/>
    <w:rsid w:val="00FF41E8"/>
    <w:rsid w:val="00FF42C6"/>
    <w:rsid w:val="00FF43BE"/>
    <w:rsid w:val="00FF4E61"/>
    <w:rsid w:val="00FF5786"/>
    <w:rsid w:val="00FF5CA1"/>
    <w:rsid w:val="00FF5CEB"/>
    <w:rsid w:val="00FF5D44"/>
    <w:rsid w:val="00FF5E29"/>
    <w:rsid w:val="00FF6155"/>
    <w:rsid w:val="00FF6483"/>
    <w:rsid w:val="00FF6493"/>
    <w:rsid w:val="00FF67E0"/>
    <w:rsid w:val="00FF6A9A"/>
    <w:rsid w:val="00FF6DDD"/>
    <w:rsid w:val="00FF6F08"/>
    <w:rsid w:val="00FF6FC1"/>
    <w:rsid w:val="00FF79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F6BECE4"/>
  <w15:docId w15:val="{00B36BE6-E18B-47F5-8E63-EA51B7711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lang w:val="en-GB" w:eastAsia="en-GB" w:bidi="ar-SA"/>
      </w:rPr>
    </w:rPrDefault>
    <w:pPrDefault/>
  </w:docDefaults>
  <w:latentStyles w:defLockedState="0" w:defUIPriority="89" w:defSemiHidden="0" w:defUnhideWhenUsed="0" w:defQFormat="0" w:count="375">
    <w:lsdException w:name="Normal" w:uiPriority="0" w:qFormat="1"/>
    <w:lsdException w:name="heading 1" w:uiPriority="1" w:qFormat="1"/>
    <w:lsdException w:name="heading 2" w:semiHidden="1" w:uiPriority="2" w:qFormat="1"/>
    <w:lsdException w:name="heading 3" w:semiHidden="1" w:uiPriority="3" w:qFormat="1"/>
    <w:lsdException w:name="heading 4" w:semiHidden="1" w:uiPriority="4" w:qFormat="1"/>
    <w:lsdException w:name="heading 5" w:semiHidden="1" w:qFormat="1"/>
    <w:lsdException w:name="heading 6" w:semiHidden="1" w:qFormat="1"/>
    <w:lsdException w:name="heading 7" w:semiHidden="1" w:unhideWhenUsed="1" w:qFormat="1"/>
    <w:lsdException w:name="heading 8" w:semiHidden="1" w:unhideWhenUsed="1" w:qFormat="1"/>
    <w:lsdException w:name="heading 9" w:semiHidden="1" w:unhideWhenUsed="1" w:qFormat="1"/>
    <w:lsdException w:name="index 1" w:semiHidden="1" w:uiPriority="19" w:unhideWhenUsed="1"/>
    <w:lsdException w:name="index 2" w:semiHidden="1" w:uiPriority="19" w:unhideWhenUsed="1"/>
    <w:lsdException w:name="index 3" w:semiHidden="1" w:uiPriority="19" w:unhideWhenUsed="1"/>
    <w:lsdException w:name="index 4" w:semiHidden="1" w:uiPriority="19" w:unhideWhenUsed="1"/>
    <w:lsdException w:name="index 5" w:semiHidden="1" w:uiPriority="19" w:unhideWhenUsed="1"/>
    <w:lsdException w:name="index 6" w:semiHidden="1" w:uiPriority="19" w:unhideWhenUsed="1"/>
    <w:lsdException w:name="index 7" w:semiHidden="1" w:uiPriority="19" w:unhideWhenUsed="1"/>
    <w:lsdException w:name="index 8" w:semiHidden="1" w:uiPriority="19" w:unhideWhenUsed="1"/>
    <w:lsdException w:name="index 9" w:semiHidden="1" w:uiPriority="1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iPriority="99" w:unhideWhenUsed="1"/>
    <w:lsdException w:name="header" w:semiHidden="1" w:uiPriority="50" w:unhideWhenUsed="1" w:qFormat="1"/>
    <w:lsdException w:name="footer" w:semiHidden="1" w:uiPriority="0" w:unhideWhenUsed="1" w:qFormat="1"/>
    <w:lsdException w:name="index heading" w:semiHidden="1" w:uiPriority="99" w:unhideWhenUsed="1"/>
    <w:lsdException w:name="caption" w:semiHidden="1" w:uiPriority="1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iPriority="99" w:unhideWhenUsed="1"/>
    <w:lsdException w:name="line number" w:semiHidden="1" w:uiPriority="0" w:unhideWhenUsed="1"/>
    <w:lsdException w:name="page number" w:semiHidden="1" w:uiPriority="0" w:unhideWhenUsed="1"/>
    <w:lsdException w:name="endnote reference" w:semiHidden="1" w:uiPriority="11" w:unhideWhenUsed="1"/>
    <w:lsdException w:name="endnote text" w:semiHidden="1" w:uiPriority="99" w:unhideWhenUsed="1"/>
    <w:lsdException w:name="table of authorities" w:semiHidden="1" w:unhideWhenUsed="1"/>
    <w:lsdException w:name="macro" w:semiHidden="1" w:unhideWhenUsed="1"/>
    <w:lsdException w:name="toa heading" w:semiHidden="1" w:uiPriority="99"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1"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9"/>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iPriority="11" w:unhideWhenUsed="1"/>
    <w:lsdException w:name="Strong" w:uiPriority="16"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99"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uiPriority="99"/>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13"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semiHidden/>
    <w:rsid w:val="00584911"/>
    <w:rPr>
      <w:sz w:val="24"/>
      <w:szCs w:val="24"/>
    </w:rPr>
  </w:style>
  <w:style w:type="paragraph" w:styleId="Heading1">
    <w:name w:val="heading 1"/>
    <w:basedOn w:val="BaseHeadingA"/>
    <w:next w:val="Para"/>
    <w:link w:val="Heading1Char"/>
    <w:uiPriority w:val="1"/>
    <w:qFormat/>
    <w:rsid w:val="0086163F"/>
    <w:pPr>
      <w:keepLines/>
      <w:pageBreakBefore/>
      <w:pBdr>
        <w:bottom w:val="single" w:sz="4" w:space="3" w:color="5A3C84" w:themeColor="accent1"/>
        <w:between w:val="single" w:sz="4" w:space="1" w:color="005232"/>
      </w:pBdr>
      <w:spacing w:after="300" w:line="520" w:lineRule="exact"/>
      <w:outlineLvl w:val="0"/>
    </w:pPr>
    <w:rPr>
      <w:rFonts w:eastAsiaTheme="majorEastAsia" w:cstheme="majorBidi"/>
      <w:bCs/>
      <w:sz w:val="44"/>
      <w:szCs w:val="28"/>
    </w:rPr>
  </w:style>
  <w:style w:type="paragraph" w:styleId="Heading2">
    <w:name w:val="heading 2"/>
    <w:basedOn w:val="BaseHeadingB"/>
    <w:next w:val="Para1"/>
    <w:link w:val="Heading2Char"/>
    <w:uiPriority w:val="2"/>
    <w:qFormat/>
    <w:rsid w:val="00B56C27"/>
    <w:pPr>
      <w:spacing w:before="340" w:after="200" w:line="290" w:lineRule="exact"/>
      <w:outlineLvl w:val="1"/>
    </w:pPr>
    <w:rPr>
      <w:rFonts w:cs="Arial"/>
      <w:bCs/>
      <w:iCs/>
      <w:sz w:val="26"/>
      <w:szCs w:val="28"/>
      <w:lang w:eastAsia="en-US"/>
    </w:rPr>
  </w:style>
  <w:style w:type="paragraph" w:styleId="Heading3">
    <w:name w:val="heading 3"/>
    <w:basedOn w:val="BaseHeadingB"/>
    <w:next w:val="Para1"/>
    <w:link w:val="Heading3Char"/>
    <w:uiPriority w:val="3"/>
    <w:qFormat/>
    <w:rsid w:val="00B56C27"/>
    <w:pPr>
      <w:spacing w:before="340" w:after="199" w:line="290" w:lineRule="exact"/>
      <w:outlineLvl w:val="2"/>
    </w:pPr>
    <w:rPr>
      <w:rFonts w:cs="Arial"/>
      <w:bCs/>
      <w:i/>
      <w:szCs w:val="26"/>
      <w:lang w:eastAsia="en-US"/>
    </w:rPr>
  </w:style>
  <w:style w:type="paragraph" w:styleId="Heading4">
    <w:name w:val="heading 4"/>
    <w:basedOn w:val="BaseHeadingA"/>
    <w:next w:val="Para1"/>
    <w:link w:val="Heading4Char"/>
    <w:uiPriority w:val="4"/>
    <w:qFormat/>
    <w:rsid w:val="00CD7B65"/>
    <w:pPr>
      <w:keepNext/>
      <w:spacing w:before="340" w:after="199" w:line="290" w:lineRule="exact"/>
      <w:outlineLvl w:val="3"/>
    </w:pPr>
    <w:rPr>
      <w:bCs/>
      <w:i/>
      <w:szCs w:val="28"/>
      <w:lang w:eastAsia="en-US"/>
    </w:rPr>
  </w:style>
  <w:style w:type="paragraph" w:styleId="Heading5">
    <w:name w:val="heading 5"/>
    <w:basedOn w:val="Normal"/>
    <w:next w:val="Normal"/>
    <w:link w:val="Heading5Char"/>
    <w:uiPriority w:val="89"/>
    <w:semiHidden/>
    <w:qFormat/>
    <w:rsid w:val="00B56C27"/>
    <w:pPr>
      <w:keepNext/>
      <w:keepLines/>
      <w:spacing w:before="200"/>
      <w:outlineLvl w:val="4"/>
    </w:pPr>
    <w:rPr>
      <w:rFonts w:asciiTheme="majorHAnsi" w:eastAsiaTheme="majorEastAsia" w:hAnsiTheme="majorHAnsi" w:cstheme="majorBidi"/>
      <w:color w:val="2C1D41" w:themeColor="accent1" w:themeShade="7F"/>
    </w:rPr>
  </w:style>
  <w:style w:type="paragraph" w:styleId="Heading6">
    <w:name w:val="heading 6"/>
    <w:basedOn w:val="Normal"/>
    <w:next w:val="Normal"/>
    <w:link w:val="Heading6Char"/>
    <w:uiPriority w:val="89"/>
    <w:semiHidden/>
    <w:qFormat/>
    <w:rsid w:val="00B56C27"/>
    <w:pPr>
      <w:keepNext/>
      <w:keepLines/>
      <w:spacing w:before="200"/>
      <w:outlineLvl w:val="5"/>
    </w:pPr>
    <w:rPr>
      <w:rFonts w:asciiTheme="majorHAnsi" w:eastAsiaTheme="majorEastAsia" w:hAnsiTheme="majorHAnsi" w:cstheme="majorBidi"/>
      <w:i/>
      <w:iCs/>
      <w:color w:val="2C1D41" w:themeColor="accent1" w:themeShade="7F"/>
    </w:rPr>
  </w:style>
  <w:style w:type="paragraph" w:styleId="Heading7">
    <w:name w:val="heading 7"/>
    <w:basedOn w:val="Normal"/>
    <w:next w:val="Normal"/>
    <w:link w:val="Heading7Char"/>
    <w:uiPriority w:val="89"/>
    <w:semiHidden/>
    <w:qFormat/>
    <w:rsid w:val="00B56C27"/>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89"/>
    <w:semiHidden/>
    <w:qFormat/>
    <w:rsid w:val="00B56C27"/>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89"/>
    <w:semiHidden/>
    <w:qFormat/>
    <w:rsid w:val="00B56C2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HeadingB">
    <w:name w:val="Base Heading B"/>
    <w:uiPriority w:val="97"/>
    <w:semiHidden/>
    <w:qFormat/>
    <w:rsid w:val="00B613AE"/>
    <w:pPr>
      <w:keepNext/>
    </w:pPr>
    <w:rPr>
      <w:rFonts w:asciiTheme="majorHAnsi" w:hAnsiTheme="majorHAnsi"/>
      <w:b/>
      <w:color w:val="5A3C84" w:themeColor="accent1"/>
      <w:sz w:val="24"/>
      <w:szCs w:val="24"/>
    </w:rPr>
  </w:style>
  <w:style w:type="paragraph" w:customStyle="1" w:styleId="Para">
    <w:name w:val="Para"/>
    <w:basedOn w:val="BaseBody"/>
    <w:uiPriority w:val="5"/>
    <w:qFormat/>
    <w:rsid w:val="00BB18F8"/>
    <w:pPr>
      <w:jc w:val="both"/>
    </w:pPr>
    <w:rPr>
      <w:lang w:eastAsia="en-US"/>
    </w:rPr>
  </w:style>
  <w:style w:type="paragraph" w:customStyle="1" w:styleId="BaseBody">
    <w:name w:val="Base Body"/>
    <w:uiPriority w:val="97"/>
    <w:semiHidden/>
    <w:qFormat/>
    <w:rsid w:val="00D803B8"/>
    <w:pPr>
      <w:spacing w:after="360" w:line="480" w:lineRule="auto"/>
    </w:pPr>
    <w:rPr>
      <w:sz w:val="24"/>
      <w:szCs w:val="24"/>
    </w:rPr>
  </w:style>
  <w:style w:type="character" w:customStyle="1" w:styleId="Heading1Char">
    <w:name w:val="Heading 1 Char"/>
    <w:basedOn w:val="DefaultParagraphFont"/>
    <w:link w:val="Heading1"/>
    <w:uiPriority w:val="1"/>
    <w:semiHidden/>
    <w:rsid w:val="009A0F4F"/>
    <w:rPr>
      <w:rFonts w:asciiTheme="majorHAnsi" w:eastAsiaTheme="majorEastAsia" w:hAnsiTheme="majorHAnsi" w:cstheme="majorBidi"/>
      <w:bCs/>
      <w:color w:val="5A3C84" w:themeColor="accent1"/>
      <w:sz w:val="44"/>
      <w:szCs w:val="28"/>
    </w:rPr>
  </w:style>
  <w:style w:type="character" w:customStyle="1" w:styleId="Heading2Char">
    <w:name w:val="Heading 2 Char"/>
    <w:basedOn w:val="DefaultParagraphFont"/>
    <w:link w:val="Heading2"/>
    <w:uiPriority w:val="2"/>
    <w:semiHidden/>
    <w:rsid w:val="009A0F4F"/>
    <w:rPr>
      <w:rFonts w:asciiTheme="majorHAnsi" w:hAnsiTheme="majorHAnsi" w:cs="Arial"/>
      <w:b/>
      <w:bCs/>
      <w:iCs/>
      <w:color w:val="5A3C84" w:themeColor="accent1"/>
      <w:sz w:val="26"/>
      <w:szCs w:val="28"/>
      <w:lang w:eastAsia="en-US"/>
    </w:rPr>
  </w:style>
  <w:style w:type="character" w:customStyle="1" w:styleId="Heading3Char">
    <w:name w:val="Heading 3 Char"/>
    <w:basedOn w:val="DefaultParagraphFont"/>
    <w:link w:val="Heading3"/>
    <w:uiPriority w:val="3"/>
    <w:semiHidden/>
    <w:rsid w:val="009A0F4F"/>
    <w:rPr>
      <w:rFonts w:asciiTheme="majorHAnsi" w:hAnsiTheme="majorHAnsi" w:cs="Arial"/>
      <w:b/>
      <w:bCs/>
      <w:i/>
      <w:color w:val="5A3C84" w:themeColor="accent1"/>
      <w:sz w:val="24"/>
      <w:szCs w:val="26"/>
      <w:lang w:eastAsia="en-US"/>
    </w:rPr>
  </w:style>
  <w:style w:type="character" w:customStyle="1" w:styleId="Heading4Char">
    <w:name w:val="Heading 4 Char"/>
    <w:basedOn w:val="DefaultParagraphFont"/>
    <w:link w:val="Heading4"/>
    <w:uiPriority w:val="4"/>
    <w:rsid w:val="00CD7B65"/>
    <w:rPr>
      <w:rFonts w:asciiTheme="majorHAnsi" w:hAnsiTheme="majorHAnsi"/>
      <w:bCs/>
      <w:i/>
      <w:color w:val="5A3C84" w:themeColor="accent1"/>
      <w:sz w:val="24"/>
      <w:szCs w:val="28"/>
      <w:lang w:eastAsia="en-US"/>
    </w:rPr>
  </w:style>
  <w:style w:type="paragraph" w:styleId="Header">
    <w:name w:val="header"/>
    <w:basedOn w:val="Normal"/>
    <w:link w:val="HeaderChar"/>
    <w:uiPriority w:val="50"/>
    <w:qFormat/>
    <w:rsid w:val="004E6379"/>
    <w:pPr>
      <w:tabs>
        <w:tab w:val="center" w:pos="4253"/>
        <w:tab w:val="right" w:pos="8504"/>
      </w:tabs>
    </w:pPr>
    <w:rPr>
      <w:rFonts w:asciiTheme="majorHAnsi" w:hAnsiTheme="majorHAnsi"/>
      <w:b/>
      <w:caps/>
      <w:lang w:eastAsia="en-US"/>
    </w:rPr>
  </w:style>
  <w:style w:type="character" w:customStyle="1" w:styleId="HeaderChar">
    <w:name w:val="Header Char"/>
    <w:basedOn w:val="DefaultParagraphFont"/>
    <w:link w:val="Header"/>
    <w:uiPriority w:val="49"/>
    <w:semiHidden/>
    <w:rsid w:val="009A0F4F"/>
    <w:rPr>
      <w:rFonts w:asciiTheme="majorHAnsi" w:hAnsiTheme="majorHAnsi"/>
      <w:b/>
      <w:caps/>
      <w:sz w:val="24"/>
      <w:szCs w:val="24"/>
      <w:lang w:eastAsia="en-US"/>
    </w:rPr>
  </w:style>
  <w:style w:type="paragraph" w:styleId="Footer">
    <w:name w:val="footer"/>
    <w:basedOn w:val="Normal"/>
    <w:link w:val="FooterChar"/>
    <w:semiHidden/>
    <w:qFormat/>
    <w:rsid w:val="00B56C27"/>
    <w:pPr>
      <w:tabs>
        <w:tab w:val="center" w:pos="4513"/>
        <w:tab w:val="right" w:pos="9026"/>
      </w:tabs>
      <w:jc w:val="right"/>
    </w:pPr>
    <w:rPr>
      <w:rFonts w:ascii="Frutiger LT Std 45 Light" w:hAnsi="Frutiger LT Std 45 Light"/>
      <w:b/>
      <w:sz w:val="36"/>
    </w:rPr>
  </w:style>
  <w:style w:type="character" w:customStyle="1" w:styleId="FooterChar">
    <w:name w:val="Footer Char"/>
    <w:basedOn w:val="DefaultParagraphFont"/>
    <w:link w:val="Footer"/>
    <w:semiHidden/>
    <w:rsid w:val="009A0F4F"/>
    <w:rPr>
      <w:rFonts w:ascii="Frutiger LT Std 45 Light" w:hAnsi="Frutiger LT Std 45 Light"/>
      <w:b/>
      <w:sz w:val="36"/>
      <w:szCs w:val="24"/>
    </w:rPr>
  </w:style>
  <w:style w:type="table" w:styleId="TableGrid">
    <w:name w:val="Table Grid"/>
    <w:basedOn w:val="TableNormal"/>
    <w:rsid w:val="00E1345A"/>
    <w:rPr>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blStylePr w:type="firstRow">
      <w:rPr>
        <w:b/>
      </w:rPr>
      <w:tblPr/>
      <w:tcPr>
        <w:shd w:val="clear" w:color="auto" w:fill="DDD3EB" w:themeFill="accent1" w:themeFillTint="33"/>
      </w:tcPr>
    </w:tblStylePr>
  </w:style>
  <w:style w:type="paragraph" w:customStyle="1" w:styleId="AppendixHeading1">
    <w:name w:val="Appendix Heading 1"/>
    <w:basedOn w:val="Heading1"/>
    <w:next w:val="AppendixPara"/>
    <w:uiPriority w:val="28"/>
    <w:qFormat/>
    <w:rsid w:val="005D387D"/>
    <w:pPr>
      <w:keepNext/>
      <w:numPr>
        <w:numId w:val="2"/>
      </w:numPr>
    </w:pPr>
  </w:style>
  <w:style w:type="paragraph" w:customStyle="1" w:styleId="AppendixPara">
    <w:name w:val="Appendix Para"/>
    <w:basedOn w:val="Para"/>
    <w:uiPriority w:val="32"/>
    <w:qFormat/>
    <w:rsid w:val="008C59B7"/>
  </w:style>
  <w:style w:type="paragraph" w:customStyle="1" w:styleId="AppendixHeading2">
    <w:name w:val="Appendix Heading 2"/>
    <w:basedOn w:val="Heading2"/>
    <w:next w:val="AppendixPara"/>
    <w:uiPriority w:val="29"/>
    <w:qFormat/>
    <w:rsid w:val="008C59B7"/>
  </w:style>
  <w:style w:type="paragraph" w:customStyle="1" w:styleId="AppendixHeading3">
    <w:name w:val="Appendix Heading 3"/>
    <w:basedOn w:val="Heading3"/>
    <w:next w:val="AppendixPara"/>
    <w:uiPriority w:val="30"/>
    <w:qFormat/>
    <w:rsid w:val="008C59B7"/>
  </w:style>
  <w:style w:type="paragraph" w:customStyle="1" w:styleId="AppendixHeading4">
    <w:name w:val="Appendix Heading 4"/>
    <w:basedOn w:val="Heading4"/>
    <w:next w:val="AppendixPara"/>
    <w:uiPriority w:val="31"/>
    <w:qFormat/>
    <w:rsid w:val="008C59B7"/>
  </w:style>
  <w:style w:type="character" w:styleId="Hyperlink">
    <w:name w:val="Hyperlink"/>
    <w:basedOn w:val="DefaultParagraphFont"/>
    <w:uiPriority w:val="99"/>
    <w:qFormat/>
    <w:rsid w:val="00B56C27"/>
    <w:rPr>
      <w:color w:val="0000FF"/>
      <w:u w:val="single"/>
    </w:rPr>
  </w:style>
  <w:style w:type="paragraph" w:customStyle="1" w:styleId="ParaContinued">
    <w:name w:val="Para Continued"/>
    <w:basedOn w:val="Para"/>
    <w:next w:val="Para"/>
    <w:uiPriority w:val="9"/>
    <w:qFormat/>
    <w:rsid w:val="000D3DF6"/>
    <w:pPr>
      <w:ind w:left="578"/>
    </w:pPr>
  </w:style>
  <w:style w:type="paragraph" w:styleId="Quote">
    <w:name w:val="Quote"/>
    <w:basedOn w:val="BaseBody"/>
    <w:link w:val="QuoteChar"/>
    <w:uiPriority w:val="13"/>
    <w:qFormat/>
    <w:rsid w:val="00E65FAF"/>
    <w:pPr>
      <w:spacing w:before="360"/>
      <w:ind w:left="964" w:right="567"/>
      <w:jc w:val="both"/>
    </w:pPr>
  </w:style>
  <w:style w:type="character" w:customStyle="1" w:styleId="QuoteChar">
    <w:name w:val="Quote Char"/>
    <w:basedOn w:val="DefaultParagraphFont"/>
    <w:link w:val="Quote"/>
    <w:uiPriority w:val="13"/>
    <w:rsid w:val="00E65FAF"/>
    <w:rPr>
      <w:sz w:val="24"/>
      <w:szCs w:val="24"/>
    </w:rPr>
  </w:style>
  <w:style w:type="character" w:styleId="LineNumber">
    <w:name w:val="line number"/>
    <w:basedOn w:val="DefaultParagraphFont"/>
    <w:semiHidden/>
    <w:rsid w:val="00D25A97"/>
  </w:style>
  <w:style w:type="paragraph" w:styleId="TOC1">
    <w:name w:val="toc 1"/>
    <w:basedOn w:val="BaseHeadingB"/>
    <w:next w:val="Normal"/>
    <w:uiPriority w:val="39"/>
    <w:qFormat/>
    <w:rsid w:val="00692106"/>
    <w:pPr>
      <w:keepNext w:val="0"/>
      <w:tabs>
        <w:tab w:val="left" w:pos="425"/>
        <w:tab w:val="right" w:pos="8505"/>
      </w:tabs>
      <w:spacing w:before="227" w:line="290" w:lineRule="exact"/>
    </w:pPr>
    <w:rPr>
      <w:szCs w:val="20"/>
      <w:lang w:eastAsia="en-US"/>
    </w:rPr>
  </w:style>
  <w:style w:type="paragraph" w:styleId="TOC2">
    <w:name w:val="toc 2"/>
    <w:basedOn w:val="BaseFrutiger55"/>
    <w:next w:val="Normal"/>
    <w:uiPriority w:val="39"/>
    <w:qFormat/>
    <w:rsid w:val="00C675AD"/>
    <w:pPr>
      <w:tabs>
        <w:tab w:val="right" w:pos="8505"/>
      </w:tabs>
      <w:spacing w:line="290" w:lineRule="exact"/>
      <w:ind w:left="425"/>
    </w:pPr>
    <w:rPr>
      <w:sz w:val="24"/>
    </w:rPr>
  </w:style>
  <w:style w:type="paragraph" w:styleId="TOC3">
    <w:name w:val="toc 3"/>
    <w:basedOn w:val="BaseFrutiger55"/>
    <w:next w:val="Normal"/>
    <w:uiPriority w:val="39"/>
    <w:qFormat/>
    <w:rsid w:val="00C675AD"/>
    <w:pPr>
      <w:tabs>
        <w:tab w:val="right" w:pos="8505"/>
      </w:tabs>
      <w:spacing w:line="290" w:lineRule="exact"/>
      <w:ind w:left="851"/>
    </w:pPr>
    <w:rPr>
      <w:sz w:val="24"/>
    </w:rPr>
  </w:style>
  <w:style w:type="paragraph" w:styleId="TOC4">
    <w:name w:val="toc 4"/>
    <w:basedOn w:val="BaseHeadingB"/>
    <w:next w:val="Normal"/>
    <w:uiPriority w:val="39"/>
    <w:semiHidden/>
    <w:rsid w:val="00B56C27"/>
    <w:pPr>
      <w:tabs>
        <w:tab w:val="right" w:pos="8505"/>
      </w:tabs>
      <w:spacing w:before="227" w:line="290" w:lineRule="exact"/>
      <w:ind w:left="425"/>
    </w:pPr>
    <w:rPr>
      <w:sz w:val="22"/>
      <w:szCs w:val="20"/>
      <w:lang w:eastAsia="en-US"/>
    </w:rPr>
  </w:style>
  <w:style w:type="paragraph" w:customStyle="1" w:styleId="Para1">
    <w:name w:val="Para 1"/>
    <w:basedOn w:val="Para"/>
    <w:uiPriority w:val="6"/>
    <w:qFormat/>
    <w:rsid w:val="001D11A2"/>
    <w:pPr>
      <w:numPr>
        <w:numId w:val="16"/>
      </w:numPr>
      <w:ind w:left="861"/>
    </w:pPr>
  </w:style>
  <w:style w:type="paragraph" w:customStyle="1" w:styleId="BoxPara">
    <w:name w:val="Box Para"/>
    <w:basedOn w:val="Para"/>
    <w:uiPriority w:val="40"/>
    <w:qFormat/>
    <w:rsid w:val="0036464E"/>
  </w:style>
  <w:style w:type="paragraph" w:customStyle="1" w:styleId="BoxPara1">
    <w:name w:val="Box Para 1"/>
    <w:basedOn w:val="Para1"/>
    <w:uiPriority w:val="41"/>
    <w:qFormat/>
    <w:rsid w:val="0036464E"/>
    <w:pPr>
      <w:numPr>
        <w:numId w:val="14"/>
      </w:numPr>
    </w:pPr>
  </w:style>
  <w:style w:type="paragraph" w:customStyle="1" w:styleId="AppendixPara1">
    <w:name w:val="Appendix Para 1"/>
    <w:basedOn w:val="Para1"/>
    <w:uiPriority w:val="33"/>
    <w:qFormat/>
    <w:rsid w:val="008C59B7"/>
    <w:pPr>
      <w:numPr>
        <w:numId w:val="13"/>
      </w:numPr>
    </w:pPr>
  </w:style>
  <w:style w:type="paragraph" w:customStyle="1" w:styleId="UnorderedList1">
    <w:name w:val="Unordered List 1"/>
    <w:basedOn w:val="Para"/>
    <w:uiPriority w:val="10"/>
    <w:qFormat/>
    <w:rsid w:val="00B56C27"/>
    <w:pPr>
      <w:numPr>
        <w:ilvl w:val="3"/>
        <w:numId w:val="16"/>
      </w:numPr>
    </w:pPr>
  </w:style>
  <w:style w:type="paragraph" w:customStyle="1" w:styleId="Para2">
    <w:name w:val="Para 2"/>
    <w:basedOn w:val="Para"/>
    <w:uiPriority w:val="7"/>
    <w:qFormat/>
    <w:rsid w:val="00B56C27"/>
    <w:pPr>
      <w:numPr>
        <w:ilvl w:val="1"/>
        <w:numId w:val="16"/>
      </w:numPr>
    </w:pPr>
  </w:style>
  <w:style w:type="paragraph" w:customStyle="1" w:styleId="Para3">
    <w:name w:val="Para 3"/>
    <w:basedOn w:val="Para"/>
    <w:uiPriority w:val="8"/>
    <w:qFormat/>
    <w:rsid w:val="00A773B3"/>
    <w:pPr>
      <w:numPr>
        <w:ilvl w:val="2"/>
        <w:numId w:val="16"/>
      </w:numPr>
    </w:pPr>
  </w:style>
  <w:style w:type="paragraph" w:customStyle="1" w:styleId="BoxPara2">
    <w:name w:val="Box Para 2"/>
    <w:basedOn w:val="Para2"/>
    <w:uiPriority w:val="42"/>
    <w:qFormat/>
    <w:rsid w:val="0036464E"/>
    <w:pPr>
      <w:numPr>
        <w:numId w:val="14"/>
      </w:numPr>
    </w:pPr>
  </w:style>
  <w:style w:type="paragraph" w:customStyle="1" w:styleId="BoxPara3">
    <w:name w:val="Box Para 3"/>
    <w:basedOn w:val="Para3"/>
    <w:uiPriority w:val="43"/>
    <w:qFormat/>
    <w:rsid w:val="0036464E"/>
    <w:pPr>
      <w:numPr>
        <w:numId w:val="14"/>
      </w:numPr>
    </w:pPr>
  </w:style>
  <w:style w:type="paragraph" w:customStyle="1" w:styleId="AppendixPara2">
    <w:name w:val="Appendix Para 2"/>
    <w:basedOn w:val="Para2"/>
    <w:next w:val="AppendixPara"/>
    <w:uiPriority w:val="34"/>
    <w:qFormat/>
    <w:rsid w:val="008C59B7"/>
    <w:pPr>
      <w:numPr>
        <w:numId w:val="13"/>
      </w:numPr>
    </w:pPr>
  </w:style>
  <w:style w:type="paragraph" w:customStyle="1" w:styleId="AppendixPara3">
    <w:name w:val="Appendix Para 3"/>
    <w:basedOn w:val="Para3"/>
    <w:next w:val="AppendixPara"/>
    <w:uiPriority w:val="35"/>
    <w:qFormat/>
    <w:rsid w:val="008C59B7"/>
    <w:pPr>
      <w:numPr>
        <w:numId w:val="13"/>
      </w:numPr>
    </w:pPr>
  </w:style>
  <w:style w:type="paragraph" w:customStyle="1" w:styleId="AppendixUnorderedList1">
    <w:name w:val="Appendix Unordered List 1"/>
    <w:basedOn w:val="UnorderedList1"/>
    <w:uiPriority w:val="37"/>
    <w:qFormat/>
    <w:rsid w:val="008C59B7"/>
    <w:pPr>
      <w:numPr>
        <w:numId w:val="13"/>
      </w:numPr>
    </w:pPr>
  </w:style>
  <w:style w:type="paragraph" w:customStyle="1" w:styleId="AppendixUnorderedList2">
    <w:name w:val="Appendix Unordered List 2"/>
    <w:basedOn w:val="UnorderedList2"/>
    <w:next w:val="AppendixPara"/>
    <w:uiPriority w:val="38"/>
    <w:qFormat/>
    <w:rsid w:val="008C59B7"/>
    <w:pPr>
      <w:numPr>
        <w:numId w:val="13"/>
      </w:numPr>
    </w:pPr>
  </w:style>
  <w:style w:type="paragraph" w:customStyle="1" w:styleId="BaseHeadingA">
    <w:name w:val="Base Heading A"/>
    <w:uiPriority w:val="97"/>
    <w:semiHidden/>
    <w:qFormat/>
    <w:rsid w:val="00B613AE"/>
    <w:rPr>
      <w:rFonts w:asciiTheme="majorHAnsi" w:hAnsiTheme="majorHAnsi"/>
      <w:color w:val="5A3C84" w:themeColor="accent1"/>
      <w:sz w:val="24"/>
      <w:szCs w:val="24"/>
    </w:rPr>
  </w:style>
  <w:style w:type="character" w:customStyle="1" w:styleId="Recommendation">
    <w:name w:val="Recommendation"/>
    <w:basedOn w:val="DefaultParagraphFont"/>
    <w:uiPriority w:val="21"/>
    <w:qFormat/>
    <w:rsid w:val="00E65FAF"/>
    <w:rPr>
      <w:b/>
      <w:i/>
      <w:color w:val="FF0000"/>
    </w:rPr>
  </w:style>
  <w:style w:type="paragraph" w:customStyle="1" w:styleId="CRHeading2">
    <w:name w:val="C&amp;R Heading 2"/>
    <w:basedOn w:val="BaseHeadingA"/>
    <w:next w:val="Para1"/>
    <w:uiPriority w:val="47"/>
    <w:qFormat/>
    <w:rsid w:val="00F57449"/>
    <w:pPr>
      <w:tabs>
        <w:tab w:val="right" w:pos="11624"/>
      </w:tabs>
      <w:spacing w:before="240" w:after="120" w:line="280" w:lineRule="atLeast"/>
    </w:pPr>
  </w:style>
  <w:style w:type="paragraph" w:customStyle="1" w:styleId="CRHeading3">
    <w:name w:val="C&amp;R Heading 3"/>
    <w:basedOn w:val="BaseHeadingA"/>
    <w:next w:val="Para1"/>
    <w:uiPriority w:val="48"/>
    <w:qFormat/>
    <w:rsid w:val="00F57449"/>
    <w:pPr>
      <w:spacing w:before="240" w:after="120" w:line="280" w:lineRule="atLeast"/>
    </w:pPr>
    <w:rPr>
      <w:i/>
    </w:rPr>
  </w:style>
  <w:style w:type="paragraph" w:styleId="FootnoteText">
    <w:name w:val="footnote text"/>
    <w:aliases w:val="Footnote Text Char Char,Footnote Text Char3 Char Char,Footnote Text Char Char Char Char Char,Footnote Text Char Char2 Char Char,Char Char Char Char Char Char Char Char1 Char Char,Footnote Text Char2,Char Char Char Char,Footnote Text Char1"/>
    <w:basedOn w:val="BaseFrutiger55"/>
    <w:link w:val="FootnoteTextChar"/>
    <w:uiPriority w:val="99"/>
    <w:qFormat/>
    <w:rsid w:val="007046D3"/>
    <w:pPr>
      <w:suppressLineNumbers/>
      <w:tabs>
        <w:tab w:val="left" w:pos="340"/>
      </w:tabs>
      <w:spacing w:after="60" w:line="220" w:lineRule="atLeast"/>
      <w:ind w:left="340" w:hanging="340"/>
      <w:jc w:val="both"/>
    </w:pPr>
  </w:style>
  <w:style w:type="character" w:customStyle="1" w:styleId="FootnoteTextChar">
    <w:name w:val="Footnote Text Char"/>
    <w:aliases w:val="Footnote Text Char Char Char,Footnote Text Char3 Char Char Char,Footnote Text Char Char Char Char Char Char,Footnote Text Char Char2 Char Char Char,Char Char Char Char Char Char Char Char1 Char Char Char,Footnote Text Char2 Char"/>
    <w:basedOn w:val="DefaultParagraphFont"/>
    <w:link w:val="FootnoteText"/>
    <w:uiPriority w:val="15"/>
    <w:rsid w:val="007046D3"/>
    <w:rPr>
      <w:rFonts w:asciiTheme="majorHAnsi" w:hAnsiTheme="majorHAnsi"/>
      <w:lang w:eastAsia="en-US"/>
    </w:rPr>
  </w:style>
  <w:style w:type="character" w:styleId="FootnoteReference">
    <w:name w:val="footnote reference"/>
    <w:aliases w:val="Footnote Reference/,Footnotes refss,Odwołanie przypisu,Footnote symbol,Footnote Reference Number,Appel note de bas de p,Appel note de bas de p + (Asian) Batang,Black,(NECG) Footnote Reference,Nota,Footnote Refernece,FR,4_G,4_G Char"/>
    <w:basedOn w:val="DefaultParagraphFont"/>
    <w:uiPriority w:val="99"/>
    <w:qFormat/>
    <w:rsid w:val="00B56C27"/>
    <w:rPr>
      <w:vertAlign w:val="superscript"/>
    </w:rPr>
  </w:style>
  <w:style w:type="paragraph" w:styleId="Caption">
    <w:name w:val="caption"/>
    <w:basedOn w:val="BaseHeadingA"/>
    <w:uiPriority w:val="19"/>
    <w:qFormat/>
    <w:rsid w:val="00CC440F"/>
    <w:pPr>
      <w:keepNext/>
      <w:spacing w:after="200"/>
    </w:pPr>
    <w:rPr>
      <w:b/>
      <w:bCs/>
      <w:color w:val="auto"/>
      <w:szCs w:val="18"/>
    </w:rPr>
  </w:style>
  <w:style w:type="character" w:styleId="PageNumber">
    <w:name w:val="page number"/>
    <w:basedOn w:val="DefaultParagraphFont"/>
    <w:semiHidden/>
    <w:rsid w:val="00B56C27"/>
    <w:rPr>
      <w:rFonts w:asciiTheme="majorHAnsi" w:hAnsiTheme="majorHAnsi"/>
      <w:b/>
      <w:color w:val="005232"/>
      <w:sz w:val="16"/>
    </w:rPr>
  </w:style>
  <w:style w:type="paragraph" w:styleId="BalloonText">
    <w:name w:val="Balloon Text"/>
    <w:basedOn w:val="Normal"/>
    <w:link w:val="BalloonTextChar"/>
    <w:uiPriority w:val="89"/>
    <w:semiHidden/>
    <w:rsid w:val="00B56C27"/>
    <w:rPr>
      <w:rFonts w:ascii="Tahoma" w:hAnsi="Tahoma" w:cs="Tahoma"/>
      <w:sz w:val="16"/>
      <w:szCs w:val="16"/>
    </w:rPr>
  </w:style>
  <w:style w:type="character" w:customStyle="1" w:styleId="BalloonTextChar">
    <w:name w:val="Balloon Text Char"/>
    <w:basedOn w:val="DefaultParagraphFont"/>
    <w:link w:val="BalloonText"/>
    <w:uiPriority w:val="89"/>
    <w:semiHidden/>
    <w:rsid w:val="009A0F4F"/>
    <w:rPr>
      <w:rFonts w:ascii="Tahoma" w:hAnsi="Tahoma" w:cs="Tahoma"/>
      <w:sz w:val="16"/>
      <w:szCs w:val="16"/>
    </w:rPr>
  </w:style>
  <w:style w:type="table" w:customStyle="1" w:styleId="Box">
    <w:name w:val="Box"/>
    <w:basedOn w:val="TableNormal"/>
    <w:uiPriority w:val="99"/>
    <w:qFormat/>
    <w:rsid w:val="008C687E"/>
    <w:tblPr>
      <w:tblBorders>
        <w:top w:val="single" w:sz="4" w:space="0" w:color="5A3C84" w:themeColor="accent1"/>
        <w:left w:val="single" w:sz="4" w:space="0" w:color="5A3C84" w:themeColor="accent1"/>
        <w:bottom w:val="single" w:sz="4" w:space="0" w:color="5A3C84" w:themeColor="accent1"/>
        <w:right w:val="single" w:sz="4" w:space="0" w:color="5A3C84" w:themeColor="accent1"/>
        <w:insideH w:val="single" w:sz="4" w:space="0" w:color="5A3C84" w:themeColor="accent1"/>
      </w:tblBorders>
    </w:tblPr>
  </w:style>
  <w:style w:type="table" w:customStyle="1" w:styleId="IndentedBox">
    <w:name w:val="Indented Box"/>
    <w:basedOn w:val="TableNormal"/>
    <w:uiPriority w:val="99"/>
    <w:qFormat/>
    <w:rsid w:val="008C687E"/>
    <w:tblPr>
      <w:tblInd w:w="578" w:type="dxa"/>
      <w:tblBorders>
        <w:top w:val="single" w:sz="4" w:space="0" w:color="5A3C84" w:themeColor="accent1"/>
        <w:left w:val="single" w:sz="4" w:space="0" w:color="5A3C84" w:themeColor="accent1"/>
        <w:bottom w:val="single" w:sz="4" w:space="0" w:color="5A3C84" w:themeColor="accent1"/>
        <w:right w:val="single" w:sz="4" w:space="0" w:color="5A3C84" w:themeColor="accent1"/>
        <w:insideH w:val="single" w:sz="4" w:space="0" w:color="5A3C84" w:themeColor="accent1"/>
      </w:tblBorders>
    </w:tblPr>
  </w:style>
  <w:style w:type="paragraph" w:customStyle="1" w:styleId="ParaforTable">
    <w:name w:val="Para for Table"/>
    <w:basedOn w:val="BaseBody"/>
    <w:next w:val="Para1"/>
    <w:uiPriority w:val="24"/>
    <w:qFormat/>
    <w:rsid w:val="009B01DA"/>
    <w:pPr>
      <w:spacing w:after="0" w:line="240" w:lineRule="auto"/>
    </w:pPr>
    <w:rPr>
      <w:sz w:val="12"/>
    </w:rPr>
  </w:style>
  <w:style w:type="paragraph" w:customStyle="1" w:styleId="Source">
    <w:name w:val="Source"/>
    <w:basedOn w:val="BaseFrutiger55"/>
    <w:next w:val="Para1"/>
    <w:uiPriority w:val="19"/>
    <w:qFormat/>
    <w:rsid w:val="00CD5300"/>
    <w:pPr>
      <w:spacing w:after="240"/>
    </w:pPr>
    <w:rPr>
      <w:sz w:val="22"/>
    </w:rPr>
  </w:style>
  <w:style w:type="paragraph" w:customStyle="1" w:styleId="TableHeading">
    <w:name w:val="Table Heading"/>
    <w:basedOn w:val="BaseHeadingA"/>
    <w:next w:val="TableText"/>
    <w:uiPriority w:val="24"/>
    <w:qFormat/>
    <w:rsid w:val="00CD5300"/>
    <w:rPr>
      <w:b/>
      <w:color w:val="auto"/>
      <w:sz w:val="22"/>
    </w:rPr>
  </w:style>
  <w:style w:type="paragraph" w:customStyle="1" w:styleId="TableText">
    <w:name w:val="Table Text"/>
    <w:basedOn w:val="BaseFrutiger55"/>
    <w:uiPriority w:val="24"/>
    <w:qFormat/>
    <w:rsid w:val="00CD5300"/>
    <w:rPr>
      <w:sz w:val="22"/>
    </w:rPr>
  </w:style>
  <w:style w:type="paragraph" w:customStyle="1" w:styleId="GraphicPara">
    <w:name w:val="Graphic Para"/>
    <w:next w:val="Caption"/>
    <w:uiPriority w:val="27"/>
    <w:qFormat/>
    <w:rsid w:val="00B5085C"/>
    <w:pPr>
      <w:keepNext/>
      <w:widowControl w:val="0"/>
      <w:jc w:val="center"/>
    </w:pPr>
    <w:rPr>
      <w:sz w:val="40"/>
      <w:lang w:eastAsia="en-US"/>
    </w:rPr>
  </w:style>
  <w:style w:type="paragraph" w:customStyle="1" w:styleId="ChapterHeading1">
    <w:name w:val="Chapter Heading 1"/>
    <w:basedOn w:val="BaseHeadingA"/>
    <w:next w:val="Para"/>
    <w:qFormat/>
    <w:rsid w:val="00E65FAF"/>
    <w:pPr>
      <w:keepNext/>
      <w:pageBreakBefore/>
      <w:numPr>
        <w:numId w:val="15"/>
      </w:numPr>
      <w:pBdr>
        <w:bottom w:val="single" w:sz="4" w:space="3" w:color="5A3C84" w:themeColor="accent1"/>
        <w:between w:val="single" w:sz="4" w:space="1" w:color="005232"/>
      </w:pBdr>
      <w:spacing w:after="300" w:line="520" w:lineRule="exact"/>
      <w:outlineLvl w:val="0"/>
    </w:pPr>
    <w:rPr>
      <w:sz w:val="44"/>
      <w:szCs w:val="44"/>
      <w:lang w:eastAsia="en-US"/>
    </w:rPr>
  </w:style>
  <w:style w:type="paragraph" w:customStyle="1" w:styleId="BaseFrutiger55">
    <w:name w:val="Base Frutiger 55"/>
    <w:uiPriority w:val="97"/>
    <w:semiHidden/>
    <w:qFormat/>
    <w:rsid w:val="00B56C27"/>
    <w:rPr>
      <w:rFonts w:asciiTheme="majorHAnsi" w:hAnsiTheme="majorHAnsi"/>
      <w:lang w:eastAsia="en-US"/>
    </w:rPr>
  </w:style>
  <w:style w:type="paragraph" w:customStyle="1" w:styleId="UnorderedList2">
    <w:name w:val="Unordered List 2"/>
    <w:basedOn w:val="Para"/>
    <w:uiPriority w:val="11"/>
    <w:qFormat/>
    <w:rsid w:val="001F62FB"/>
    <w:pPr>
      <w:numPr>
        <w:ilvl w:val="4"/>
        <w:numId w:val="16"/>
      </w:numPr>
    </w:pPr>
  </w:style>
  <w:style w:type="paragraph" w:customStyle="1" w:styleId="ParaDefault">
    <w:name w:val="Para Default"/>
    <w:basedOn w:val="Normal"/>
    <w:semiHidden/>
    <w:qFormat/>
    <w:rsid w:val="00B56C27"/>
    <w:pPr>
      <w:spacing w:after="200" w:line="228" w:lineRule="auto"/>
      <w:jc w:val="both"/>
    </w:pPr>
    <w:rPr>
      <w:spacing w:val="-3"/>
    </w:rPr>
  </w:style>
  <w:style w:type="paragraph" w:customStyle="1" w:styleId="TOCHeading1">
    <w:name w:val="TOC Heading 1"/>
    <w:basedOn w:val="BaseHeadingA"/>
    <w:next w:val="Normal"/>
    <w:semiHidden/>
    <w:qFormat/>
    <w:rsid w:val="008C687E"/>
    <w:pPr>
      <w:keepNext/>
      <w:pBdr>
        <w:bottom w:val="single" w:sz="4" w:space="3" w:color="5A3C84" w:themeColor="accent1"/>
      </w:pBdr>
      <w:spacing w:after="300" w:line="520" w:lineRule="exact"/>
    </w:pPr>
    <w:rPr>
      <w:spacing w:val="-10"/>
      <w:sz w:val="44"/>
      <w:szCs w:val="44"/>
      <w:lang w:eastAsia="en-US"/>
    </w:rPr>
  </w:style>
  <w:style w:type="paragraph" w:customStyle="1" w:styleId="TOCHeading2">
    <w:name w:val="TOC Heading 2"/>
    <w:basedOn w:val="BaseHeadingB"/>
    <w:next w:val="Normal"/>
    <w:semiHidden/>
    <w:qFormat/>
    <w:rsid w:val="00B56C27"/>
    <w:pPr>
      <w:tabs>
        <w:tab w:val="right" w:pos="8505"/>
      </w:tabs>
    </w:pPr>
    <w:rPr>
      <w:sz w:val="28"/>
      <w:szCs w:val="20"/>
      <w:lang w:eastAsia="en-US"/>
    </w:rPr>
  </w:style>
  <w:style w:type="character" w:customStyle="1" w:styleId="TOCPage">
    <w:name w:val="TOC Page"/>
    <w:basedOn w:val="DefaultParagraphFont"/>
    <w:semiHidden/>
    <w:qFormat/>
    <w:rsid w:val="00B56C27"/>
    <w:rPr>
      <w:rFonts w:asciiTheme="minorHAnsi" w:hAnsiTheme="minorHAnsi"/>
      <w:b/>
      <w:i/>
      <w:color w:val="000000"/>
      <w:sz w:val="16"/>
    </w:rPr>
  </w:style>
  <w:style w:type="paragraph" w:customStyle="1" w:styleId="TOCSpacebetweenTOCs">
    <w:name w:val="TOC Space between TOCs"/>
    <w:basedOn w:val="Normal"/>
    <w:semiHidden/>
    <w:qFormat/>
    <w:rsid w:val="00B56C27"/>
    <w:pPr>
      <w:spacing w:before="160"/>
    </w:pPr>
    <w:rPr>
      <w:lang w:eastAsia="en-US"/>
    </w:rPr>
  </w:style>
  <w:style w:type="paragraph" w:customStyle="1" w:styleId="TextPublishedon">
    <w:name w:val="Text: Published on"/>
    <w:basedOn w:val="Normal"/>
    <w:semiHidden/>
    <w:qFormat/>
    <w:rsid w:val="00B56C27"/>
    <w:pPr>
      <w:spacing w:line="240" w:lineRule="exact"/>
      <w:jc w:val="right"/>
    </w:pPr>
    <w:rPr>
      <w:rFonts w:ascii="Frutiger LT Std 55 Roman" w:hAnsi="Frutiger LT Std 55 Roman"/>
      <w:sz w:val="20"/>
      <w:szCs w:val="20"/>
      <w:lang w:eastAsia="en-US"/>
    </w:rPr>
  </w:style>
  <w:style w:type="paragraph" w:styleId="Title">
    <w:name w:val="Title"/>
    <w:basedOn w:val="Normal"/>
    <w:link w:val="TitleChar"/>
    <w:uiPriority w:val="51"/>
    <w:qFormat/>
    <w:rsid w:val="00991234"/>
    <w:pPr>
      <w:spacing w:after="360" w:line="480" w:lineRule="auto"/>
      <w:contextualSpacing/>
      <w:jc w:val="center"/>
      <w:outlineLvl w:val="0"/>
    </w:pPr>
    <w:rPr>
      <w:rFonts w:asciiTheme="majorHAnsi" w:hAnsiTheme="majorHAnsi" w:cs="Arial"/>
      <w:b/>
      <w:bCs/>
      <w:kern w:val="28"/>
      <w:sz w:val="32"/>
      <w:szCs w:val="32"/>
      <w:lang w:eastAsia="en-US"/>
    </w:rPr>
  </w:style>
  <w:style w:type="character" w:customStyle="1" w:styleId="TitleChar">
    <w:name w:val="Title Char"/>
    <w:basedOn w:val="DefaultParagraphFont"/>
    <w:link w:val="Title"/>
    <w:uiPriority w:val="50"/>
    <w:semiHidden/>
    <w:rsid w:val="009A0F4F"/>
    <w:rPr>
      <w:rFonts w:asciiTheme="majorHAnsi" w:hAnsiTheme="majorHAnsi" w:cs="Arial"/>
      <w:b/>
      <w:bCs/>
      <w:kern w:val="28"/>
      <w:sz w:val="32"/>
      <w:szCs w:val="32"/>
      <w:lang w:eastAsia="en-US"/>
    </w:rPr>
  </w:style>
  <w:style w:type="paragraph" w:customStyle="1" w:styleId="CRPara1">
    <w:name w:val="C&amp;R Para 1"/>
    <w:basedOn w:val="BaseBody"/>
    <w:uiPriority w:val="49"/>
    <w:qFormat/>
    <w:rsid w:val="00C21D4B"/>
    <w:pPr>
      <w:numPr>
        <w:numId w:val="1"/>
      </w:numPr>
      <w:spacing w:after="200"/>
      <w:jc w:val="both"/>
    </w:pPr>
    <w:rPr>
      <w:lang w:eastAsia="en-US"/>
    </w:rPr>
  </w:style>
  <w:style w:type="paragraph" w:customStyle="1" w:styleId="BoxUnorderedList1">
    <w:name w:val="Box Unordered List 1"/>
    <w:basedOn w:val="UnorderedList1"/>
    <w:uiPriority w:val="44"/>
    <w:qFormat/>
    <w:rsid w:val="0036464E"/>
    <w:pPr>
      <w:numPr>
        <w:numId w:val="14"/>
      </w:numPr>
    </w:pPr>
  </w:style>
  <w:style w:type="character" w:customStyle="1" w:styleId="BaseFrutiger45">
    <w:name w:val="Base Frutiger 45"/>
    <w:basedOn w:val="DefaultParagraphFont"/>
    <w:uiPriority w:val="97"/>
    <w:semiHidden/>
    <w:qFormat/>
    <w:rsid w:val="00B56C27"/>
    <w:rPr>
      <w:rFonts w:asciiTheme="majorHAnsi" w:hAnsiTheme="majorHAnsi"/>
      <w:b/>
      <w:sz w:val="20"/>
    </w:rPr>
  </w:style>
  <w:style w:type="character" w:customStyle="1" w:styleId="Conclusion">
    <w:name w:val="Conclusion"/>
    <w:basedOn w:val="DefaultParagraphFont"/>
    <w:uiPriority w:val="20"/>
    <w:qFormat/>
    <w:rsid w:val="00E65FAF"/>
    <w:rPr>
      <w:b/>
      <w:color w:val="FF0000"/>
    </w:rPr>
  </w:style>
  <w:style w:type="paragraph" w:styleId="Bibliography">
    <w:name w:val="Bibliography"/>
    <w:basedOn w:val="Normal"/>
    <w:next w:val="Normal"/>
    <w:uiPriority w:val="89"/>
    <w:semiHidden/>
    <w:rsid w:val="00B56C27"/>
  </w:style>
  <w:style w:type="paragraph" w:styleId="BlockText">
    <w:name w:val="Block Text"/>
    <w:basedOn w:val="Normal"/>
    <w:uiPriority w:val="89"/>
    <w:semiHidden/>
    <w:rsid w:val="00B56C27"/>
    <w:pPr>
      <w:pBdr>
        <w:top w:val="single" w:sz="2" w:space="10" w:color="5A3C84" w:themeColor="accent1" w:frame="1"/>
        <w:left w:val="single" w:sz="2" w:space="10" w:color="5A3C84" w:themeColor="accent1" w:frame="1"/>
        <w:bottom w:val="single" w:sz="2" w:space="10" w:color="5A3C84" w:themeColor="accent1" w:frame="1"/>
        <w:right w:val="single" w:sz="2" w:space="10" w:color="5A3C84" w:themeColor="accent1" w:frame="1"/>
      </w:pBdr>
      <w:ind w:left="1152" w:right="1152"/>
    </w:pPr>
    <w:rPr>
      <w:rFonts w:eastAsiaTheme="minorEastAsia" w:cstheme="minorBidi"/>
      <w:i/>
      <w:iCs/>
      <w:color w:val="5A3C84" w:themeColor="accent1"/>
    </w:rPr>
  </w:style>
  <w:style w:type="paragraph" w:styleId="BodyText">
    <w:name w:val="Body Text"/>
    <w:basedOn w:val="Normal"/>
    <w:link w:val="BodyTextChar"/>
    <w:uiPriority w:val="89"/>
    <w:semiHidden/>
    <w:rsid w:val="00B56C27"/>
    <w:pPr>
      <w:spacing w:after="120"/>
    </w:pPr>
  </w:style>
  <w:style w:type="character" w:customStyle="1" w:styleId="BodyTextChar">
    <w:name w:val="Body Text Char"/>
    <w:basedOn w:val="DefaultParagraphFont"/>
    <w:link w:val="BodyText"/>
    <w:uiPriority w:val="89"/>
    <w:semiHidden/>
    <w:rsid w:val="009A0F4F"/>
    <w:rPr>
      <w:sz w:val="24"/>
      <w:szCs w:val="24"/>
    </w:rPr>
  </w:style>
  <w:style w:type="paragraph" w:styleId="BodyText2">
    <w:name w:val="Body Text 2"/>
    <w:basedOn w:val="Normal"/>
    <w:link w:val="BodyText2Char"/>
    <w:uiPriority w:val="89"/>
    <w:semiHidden/>
    <w:rsid w:val="00B56C27"/>
    <w:pPr>
      <w:spacing w:after="120" w:line="480" w:lineRule="auto"/>
    </w:pPr>
  </w:style>
  <w:style w:type="character" w:customStyle="1" w:styleId="BodyText2Char">
    <w:name w:val="Body Text 2 Char"/>
    <w:basedOn w:val="DefaultParagraphFont"/>
    <w:link w:val="BodyText2"/>
    <w:uiPriority w:val="89"/>
    <w:semiHidden/>
    <w:rsid w:val="009A0F4F"/>
    <w:rPr>
      <w:sz w:val="24"/>
      <w:szCs w:val="24"/>
    </w:rPr>
  </w:style>
  <w:style w:type="paragraph" w:styleId="BodyText3">
    <w:name w:val="Body Text 3"/>
    <w:basedOn w:val="Normal"/>
    <w:link w:val="BodyText3Char"/>
    <w:uiPriority w:val="89"/>
    <w:semiHidden/>
    <w:rsid w:val="00B56C27"/>
    <w:pPr>
      <w:spacing w:after="120"/>
    </w:pPr>
    <w:rPr>
      <w:sz w:val="16"/>
      <w:szCs w:val="16"/>
    </w:rPr>
  </w:style>
  <w:style w:type="character" w:customStyle="1" w:styleId="BodyText3Char">
    <w:name w:val="Body Text 3 Char"/>
    <w:basedOn w:val="DefaultParagraphFont"/>
    <w:link w:val="BodyText3"/>
    <w:uiPriority w:val="89"/>
    <w:semiHidden/>
    <w:rsid w:val="009A0F4F"/>
    <w:rPr>
      <w:sz w:val="16"/>
      <w:szCs w:val="16"/>
    </w:rPr>
  </w:style>
  <w:style w:type="paragraph" w:styleId="BodyTextFirstIndent">
    <w:name w:val="Body Text First Indent"/>
    <w:basedOn w:val="BodyText"/>
    <w:link w:val="BodyTextFirstIndentChar"/>
    <w:uiPriority w:val="89"/>
    <w:semiHidden/>
    <w:rsid w:val="00B56C27"/>
    <w:pPr>
      <w:spacing w:after="0"/>
      <w:ind w:firstLine="360"/>
    </w:pPr>
  </w:style>
  <w:style w:type="character" w:customStyle="1" w:styleId="BodyTextFirstIndentChar">
    <w:name w:val="Body Text First Indent Char"/>
    <w:basedOn w:val="BodyTextChar"/>
    <w:link w:val="BodyTextFirstIndent"/>
    <w:uiPriority w:val="89"/>
    <w:semiHidden/>
    <w:rsid w:val="009A0F4F"/>
    <w:rPr>
      <w:sz w:val="24"/>
      <w:szCs w:val="24"/>
    </w:rPr>
  </w:style>
  <w:style w:type="paragraph" w:styleId="BodyTextIndent">
    <w:name w:val="Body Text Indent"/>
    <w:basedOn w:val="Normal"/>
    <w:link w:val="BodyTextIndentChar"/>
    <w:uiPriority w:val="89"/>
    <w:semiHidden/>
    <w:rsid w:val="00B56C27"/>
    <w:pPr>
      <w:spacing w:after="120"/>
      <w:ind w:left="283"/>
    </w:pPr>
  </w:style>
  <w:style w:type="character" w:customStyle="1" w:styleId="BodyTextIndentChar">
    <w:name w:val="Body Text Indent Char"/>
    <w:basedOn w:val="DefaultParagraphFont"/>
    <w:link w:val="BodyTextIndent"/>
    <w:uiPriority w:val="89"/>
    <w:semiHidden/>
    <w:rsid w:val="009A0F4F"/>
    <w:rPr>
      <w:sz w:val="24"/>
      <w:szCs w:val="24"/>
    </w:rPr>
  </w:style>
  <w:style w:type="paragraph" w:styleId="BodyTextFirstIndent2">
    <w:name w:val="Body Text First Indent 2"/>
    <w:basedOn w:val="BodyTextIndent"/>
    <w:link w:val="BodyTextFirstIndent2Char"/>
    <w:uiPriority w:val="89"/>
    <w:semiHidden/>
    <w:rsid w:val="00B56C27"/>
    <w:pPr>
      <w:spacing w:after="0"/>
      <w:ind w:left="360" w:firstLine="360"/>
    </w:pPr>
  </w:style>
  <w:style w:type="character" w:customStyle="1" w:styleId="BodyTextFirstIndent2Char">
    <w:name w:val="Body Text First Indent 2 Char"/>
    <w:basedOn w:val="BodyTextIndentChar"/>
    <w:link w:val="BodyTextFirstIndent2"/>
    <w:uiPriority w:val="89"/>
    <w:semiHidden/>
    <w:rsid w:val="009A0F4F"/>
    <w:rPr>
      <w:sz w:val="24"/>
      <w:szCs w:val="24"/>
    </w:rPr>
  </w:style>
  <w:style w:type="paragraph" w:styleId="BodyTextIndent2">
    <w:name w:val="Body Text Indent 2"/>
    <w:basedOn w:val="Normal"/>
    <w:link w:val="BodyTextIndent2Char"/>
    <w:uiPriority w:val="89"/>
    <w:semiHidden/>
    <w:rsid w:val="00B56C27"/>
    <w:pPr>
      <w:spacing w:after="120" w:line="480" w:lineRule="auto"/>
      <w:ind w:left="283"/>
    </w:pPr>
  </w:style>
  <w:style w:type="character" w:customStyle="1" w:styleId="BodyTextIndent2Char">
    <w:name w:val="Body Text Indent 2 Char"/>
    <w:basedOn w:val="DefaultParagraphFont"/>
    <w:link w:val="BodyTextIndent2"/>
    <w:uiPriority w:val="89"/>
    <w:semiHidden/>
    <w:rsid w:val="009A0F4F"/>
    <w:rPr>
      <w:sz w:val="24"/>
      <w:szCs w:val="24"/>
    </w:rPr>
  </w:style>
  <w:style w:type="paragraph" w:styleId="BodyTextIndent3">
    <w:name w:val="Body Text Indent 3"/>
    <w:basedOn w:val="Normal"/>
    <w:link w:val="BodyTextIndent3Char"/>
    <w:uiPriority w:val="89"/>
    <w:semiHidden/>
    <w:rsid w:val="00B56C27"/>
    <w:pPr>
      <w:spacing w:after="120"/>
      <w:ind w:left="283"/>
    </w:pPr>
    <w:rPr>
      <w:sz w:val="16"/>
      <w:szCs w:val="16"/>
    </w:rPr>
  </w:style>
  <w:style w:type="character" w:customStyle="1" w:styleId="BodyTextIndent3Char">
    <w:name w:val="Body Text Indent 3 Char"/>
    <w:basedOn w:val="DefaultParagraphFont"/>
    <w:link w:val="BodyTextIndent3"/>
    <w:uiPriority w:val="89"/>
    <w:semiHidden/>
    <w:rsid w:val="009A0F4F"/>
    <w:rPr>
      <w:sz w:val="16"/>
      <w:szCs w:val="16"/>
    </w:rPr>
  </w:style>
  <w:style w:type="paragraph" w:styleId="Closing">
    <w:name w:val="Closing"/>
    <w:basedOn w:val="Normal"/>
    <w:link w:val="ClosingChar"/>
    <w:uiPriority w:val="89"/>
    <w:semiHidden/>
    <w:rsid w:val="00B56C27"/>
    <w:pPr>
      <w:ind w:left="4252"/>
    </w:pPr>
  </w:style>
  <w:style w:type="character" w:customStyle="1" w:styleId="ClosingChar">
    <w:name w:val="Closing Char"/>
    <w:basedOn w:val="DefaultParagraphFont"/>
    <w:link w:val="Closing"/>
    <w:uiPriority w:val="89"/>
    <w:semiHidden/>
    <w:rsid w:val="009A0F4F"/>
    <w:rPr>
      <w:sz w:val="24"/>
      <w:szCs w:val="24"/>
    </w:rPr>
  </w:style>
  <w:style w:type="paragraph" w:styleId="CommentText">
    <w:name w:val="annotation text"/>
    <w:basedOn w:val="Normal"/>
    <w:link w:val="CommentTextChar"/>
    <w:uiPriority w:val="99"/>
    <w:semiHidden/>
    <w:rsid w:val="00B56C27"/>
    <w:rPr>
      <w:sz w:val="20"/>
      <w:szCs w:val="20"/>
    </w:rPr>
  </w:style>
  <w:style w:type="character" w:customStyle="1" w:styleId="CommentTextChar">
    <w:name w:val="Comment Text Char"/>
    <w:basedOn w:val="DefaultParagraphFont"/>
    <w:link w:val="CommentText"/>
    <w:uiPriority w:val="89"/>
    <w:semiHidden/>
    <w:rsid w:val="009A0F4F"/>
  </w:style>
  <w:style w:type="paragraph" w:styleId="CommentSubject">
    <w:name w:val="annotation subject"/>
    <w:basedOn w:val="CommentText"/>
    <w:next w:val="CommentText"/>
    <w:link w:val="CommentSubjectChar"/>
    <w:uiPriority w:val="89"/>
    <w:semiHidden/>
    <w:rsid w:val="00B56C27"/>
    <w:rPr>
      <w:b/>
      <w:bCs/>
    </w:rPr>
  </w:style>
  <w:style w:type="character" w:customStyle="1" w:styleId="CommentSubjectChar">
    <w:name w:val="Comment Subject Char"/>
    <w:basedOn w:val="CommentTextChar"/>
    <w:link w:val="CommentSubject"/>
    <w:uiPriority w:val="89"/>
    <w:semiHidden/>
    <w:rsid w:val="009A0F4F"/>
    <w:rPr>
      <w:b/>
      <w:bCs/>
    </w:rPr>
  </w:style>
  <w:style w:type="paragraph" w:styleId="Date">
    <w:name w:val="Date"/>
    <w:basedOn w:val="Normal"/>
    <w:next w:val="Normal"/>
    <w:link w:val="DateChar"/>
    <w:uiPriority w:val="89"/>
    <w:semiHidden/>
    <w:rsid w:val="00B56C27"/>
  </w:style>
  <w:style w:type="character" w:customStyle="1" w:styleId="DateChar">
    <w:name w:val="Date Char"/>
    <w:basedOn w:val="DefaultParagraphFont"/>
    <w:link w:val="Date"/>
    <w:uiPriority w:val="89"/>
    <w:semiHidden/>
    <w:rsid w:val="009A0F4F"/>
    <w:rPr>
      <w:sz w:val="24"/>
      <w:szCs w:val="24"/>
    </w:rPr>
  </w:style>
  <w:style w:type="paragraph" w:styleId="DocumentMap">
    <w:name w:val="Document Map"/>
    <w:basedOn w:val="Normal"/>
    <w:link w:val="DocumentMapChar"/>
    <w:uiPriority w:val="89"/>
    <w:semiHidden/>
    <w:rsid w:val="00B56C27"/>
    <w:rPr>
      <w:rFonts w:ascii="Tahoma" w:hAnsi="Tahoma" w:cs="Tahoma"/>
      <w:sz w:val="16"/>
      <w:szCs w:val="16"/>
    </w:rPr>
  </w:style>
  <w:style w:type="character" w:customStyle="1" w:styleId="DocumentMapChar">
    <w:name w:val="Document Map Char"/>
    <w:basedOn w:val="DefaultParagraphFont"/>
    <w:link w:val="DocumentMap"/>
    <w:uiPriority w:val="89"/>
    <w:semiHidden/>
    <w:rsid w:val="009A0F4F"/>
    <w:rPr>
      <w:rFonts w:ascii="Tahoma" w:hAnsi="Tahoma" w:cs="Tahoma"/>
      <w:sz w:val="16"/>
      <w:szCs w:val="16"/>
    </w:rPr>
  </w:style>
  <w:style w:type="paragraph" w:styleId="E-mailSignature">
    <w:name w:val="E-mail Signature"/>
    <w:basedOn w:val="Normal"/>
    <w:link w:val="E-mailSignatureChar"/>
    <w:uiPriority w:val="89"/>
    <w:semiHidden/>
    <w:rsid w:val="00B56C27"/>
  </w:style>
  <w:style w:type="character" w:customStyle="1" w:styleId="E-mailSignatureChar">
    <w:name w:val="E-mail Signature Char"/>
    <w:basedOn w:val="DefaultParagraphFont"/>
    <w:link w:val="E-mailSignature"/>
    <w:uiPriority w:val="89"/>
    <w:semiHidden/>
    <w:rsid w:val="009A0F4F"/>
    <w:rPr>
      <w:sz w:val="24"/>
      <w:szCs w:val="24"/>
    </w:rPr>
  </w:style>
  <w:style w:type="paragraph" w:styleId="EndnoteText">
    <w:name w:val="endnote text"/>
    <w:basedOn w:val="Normal"/>
    <w:link w:val="EndnoteTextChar"/>
    <w:uiPriority w:val="99"/>
    <w:semiHidden/>
    <w:rsid w:val="00B56C27"/>
    <w:rPr>
      <w:sz w:val="20"/>
      <w:szCs w:val="20"/>
    </w:rPr>
  </w:style>
  <w:style w:type="character" w:customStyle="1" w:styleId="EndnoteTextChar">
    <w:name w:val="Endnote Text Char"/>
    <w:basedOn w:val="DefaultParagraphFont"/>
    <w:link w:val="EndnoteText"/>
    <w:uiPriority w:val="99"/>
    <w:semiHidden/>
    <w:rsid w:val="009A0F4F"/>
  </w:style>
  <w:style w:type="paragraph" w:styleId="EnvelopeAddress">
    <w:name w:val="envelope address"/>
    <w:basedOn w:val="Normal"/>
    <w:uiPriority w:val="89"/>
    <w:semiHidden/>
    <w:rsid w:val="00B56C27"/>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89"/>
    <w:semiHidden/>
    <w:rsid w:val="00B56C27"/>
    <w:rPr>
      <w:rFonts w:asciiTheme="majorHAnsi" w:eastAsiaTheme="majorEastAsia" w:hAnsiTheme="majorHAnsi" w:cstheme="majorBidi"/>
      <w:sz w:val="20"/>
      <w:szCs w:val="20"/>
    </w:rPr>
  </w:style>
  <w:style w:type="character" w:customStyle="1" w:styleId="Heading5Char">
    <w:name w:val="Heading 5 Char"/>
    <w:basedOn w:val="DefaultParagraphFont"/>
    <w:link w:val="Heading5"/>
    <w:uiPriority w:val="89"/>
    <w:semiHidden/>
    <w:rsid w:val="009A0F4F"/>
    <w:rPr>
      <w:rFonts w:asciiTheme="majorHAnsi" w:eastAsiaTheme="majorEastAsia" w:hAnsiTheme="majorHAnsi" w:cstheme="majorBidi"/>
      <w:color w:val="2C1D41" w:themeColor="accent1" w:themeShade="7F"/>
      <w:sz w:val="24"/>
      <w:szCs w:val="24"/>
    </w:rPr>
  </w:style>
  <w:style w:type="character" w:customStyle="1" w:styleId="Heading6Char">
    <w:name w:val="Heading 6 Char"/>
    <w:basedOn w:val="DefaultParagraphFont"/>
    <w:link w:val="Heading6"/>
    <w:uiPriority w:val="89"/>
    <w:semiHidden/>
    <w:rsid w:val="009A0F4F"/>
    <w:rPr>
      <w:rFonts w:asciiTheme="majorHAnsi" w:eastAsiaTheme="majorEastAsia" w:hAnsiTheme="majorHAnsi" w:cstheme="majorBidi"/>
      <w:i/>
      <w:iCs/>
      <w:color w:val="2C1D41" w:themeColor="accent1" w:themeShade="7F"/>
      <w:sz w:val="24"/>
      <w:szCs w:val="24"/>
    </w:rPr>
  </w:style>
  <w:style w:type="character" w:customStyle="1" w:styleId="Heading7Char">
    <w:name w:val="Heading 7 Char"/>
    <w:basedOn w:val="DefaultParagraphFont"/>
    <w:link w:val="Heading7"/>
    <w:uiPriority w:val="89"/>
    <w:semiHidden/>
    <w:rsid w:val="009A0F4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89"/>
    <w:semiHidden/>
    <w:rsid w:val="009A0F4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89"/>
    <w:semiHidden/>
    <w:rsid w:val="009A0F4F"/>
    <w:rPr>
      <w:rFonts w:asciiTheme="majorHAnsi" w:eastAsiaTheme="majorEastAsia" w:hAnsiTheme="majorHAnsi" w:cstheme="majorBidi"/>
      <w:i/>
      <w:iCs/>
      <w:color w:val="404040" w:themeColor="text1" w:themeTint="BF"/>
    </w:rPr>
  </w:style>
  <w:style w:type="paragraph" w:styleId="HTMLAddress">
    <w:name w:val="HTML Address"/>
    <w:basedOn w:val="Normal"/>
    <w:link w:val="HTMLAddressChar"/>
    <w:uiPriority w:val="89"/>
    <w:semiHidden/>
    <w:rsid w:val="00B56C27"/>
    <w:rPr>
      <w:i/>
      <w:iCs/>
    </w:rPr>
  </w:style>
  <w:style w:type="character" w:customStyle="1" w:styleId="HTMLAddressChar">
    <w:name w:val="HTML Address Char"/>
    <w:basedOn w:val="DefaultParagraphFont"/>
    <w:link w:val="HTMLAddress"/>
    <w:uiPriority w:val="89"/>
    <w:semiHidden/>
    <w:rsid w:val="009A0F4F"/>
    <w:rPr>
      <w:i/>
      <w:iCs/>
      <w:sz w:val="24"/>
      <w:szCs w:val="24"/>
    </w:rPr>
  </w:style>
  <w:style w:type="paragraph" w:styleId="HTMLPreformatted">
    <w:name w:val="HTML Preformatted"/>
    <w:basedOn w:val="Normal"/>
    <w:link w:val="HTMLPreformattedChar"/>
    <w:uiPriority w:val="89"/>
    <w:semiHidden/>
    <w:rsid w:val="00B56C27"/>
    <w:rPr>
      <w:rFonts w:ascii="Consolas" w:hAnsi="Consolas" w:cs="Consolas"/>
      <w:sz w:val="20"/>
      <w:szCs w:val="20"/>
    </w:rPr>
  </w:style>
  <w:style w:type="character" w:customStyle="1" w:styleId="HTMLPreformattedChar">
    <w:name w:val="HTML Preformatted Char"/>
    <w:basedOn w:val="DefaultParagraphFont"/>
    <w:link w:val="HTMLPreformatted"/>
    <w:uiPriority w:val="89"/>
    <w:semiHidden/>
    <w:rsid w:val="009A0F4F"/>
    <w:rPr>
      <w:rFonts w:ascii="Consolas" w:hAnsi="Consolas" w:cs="Consolas"/>
    </w:rPr>
  </w:style>
  <w:style w:type="paragraph" w:styleId="Index1">
    <w:name w:val="index 1"/>
    <w:basedOn w:val="Normal"/>
    <w:next w:val="Normal"/>
    <w:uiPriority w:val="19"/>
    <w:semiHidden/>
    <w:rsid w:val="00B56C27"/>
    <w:pPr>
      <w:ind w:left="240" w:hanging="240"/>
    </w:pPr>
  </w:style>
  <w:style w:type="paragraph" w:styleId="Index2">
    <w:name w:val="index 2"/>
    <w:basedOn w:val="Normal"/>
    <w:next w:val="Normal"/>
    <w:uiPriority w:val="19"/>
    <w:semiHidden/>
    <w:rsid w:val="00B56C27"/>
    <w:pPr>
      <w:ind w:left="480" w:hanging="240"/>
    </w:pPr>
  </w:style>
  <w:style w:type="paragraph" w:styleId="Index3">
    <w:name w:val="index 3"/>
    <w:basedOn w:val="Normal"/>
    <w:next w:val="Normal"/>
    <w:uiPriority w:val="19"/>
    <w:semiHidden/>
    <w:rsid w:val="00B56C27"/>
    <w:pPr>
      <w:ind w:left="720" w:hanging="240"/>
    </w:pPr>
  </w:style>
  <w:style w:type="paragraph" w:styleId="Index4">
    <w:name w:val="index 4"/>
    <w:basedOn w:val="Normal"/>
    <w:next w:val="Normal"/>
    <w:uiPriority w:val="19"/>
    <w:semiHidden/>
    <w:rsid w:val="00B56C27"/>
    <w:pPr>
      <w:ind w:left="960" w:hanging="240"/>
    </w:pPr>
  </w:style>
  <w:style w:type="paragraph" w:styleId="Index5">
    <w:name w:val="index 5"/>
    <w:basedOn w:val="Normal"/>
    <w:next w:val="Normal"/>
    <w:uiPriority w:val="19"/>
    <w:semiHidden/>
    <w:rsid w:val="00B56C27"/>
    <w:pPr>
      <w:ind w:left="1200" w:hanging="240"/>
    </w:pPr>
  </w:style>
  <w:style w:type="paragraph" w:styleId="Index6">
    <w:name w:val="index 6"/>
    <w:basedOn w:val="Normal"/>
    <w:next w:val="Normal"/>
    <w:uiPriority w:val="19"/>
    <w:semiHidden/>
    <w:rsid w:val="00B56C27"/>
    <w:pPr>
      <w:ind w:left="1440" w:hanging="240"/>
    </w:pPr>
  </w:style>
  <w:style w:type="paragraph" w:styleId="Index7">
    <w:name w:val="index 7"/>
    <w:basedOn w:val="Normal"/>
    <w:next w:val="Normal"/>
    <w:uiPriority w:val="19"/>
    <w:semiHidden/>
    <w:rsid w:val="00B56C27"/>
    <w:pPr>
      <w:ind w:left="1680" w:hanging="240"/>
    </w:pPr>
  </w:style>
  <w:style w:type="paragraph" w:styleId="Index8">
    <w:name w:val="index 8"/>
    <w:basedOn w:val="Normal"/>
    <w:next w:val="Normal"/>
    <w:uiPriority w:val="19"/>
    <w:semiHidden/>
    <w:rsid w:val="00B56C27"/>
    <w:pPr>
      <w:ind w:left="1920" w:hanging="240"/>
    </w:pPr>
  </w:style>
  <w:style w:type="paragraph" w:styleId="Index9">
    <w:name w:val="index 9"/>
    <w:basedOn w:val="Normal"/>
    <w:next w:val="Normal"/>
    <w:uiPriority w:val="19"/>
    <w:semiHidden/>
    <w:rsid w:val="00B56C27"/>
    <w:pPr>
      <w:ind w:left="2160" w:hanging="240"/>
    </w:pPr>
  </w:style>
  <w:style w:type="paragraph" w:styleId="IndexHeading">
    <w:name w:val="index heading"/>
    <w:basedOn w:val="Normal"/>
    <w:next w:val="Index1"/>
    <w:uiPriority w:val="99"/>
    <w:semiHidden/>
    <w:rsid w:val="00B56C27"/>
    <w:rPr>
      <w:rFonts w:asciiTheme="majorHAnsi" w:eastAsiaTheme="majorEastAsia" w:hAnsiTheme="majorHAnsi" w:cstheme="majorBidi"/>
      <w:b/>
      <w:bCs/>
    </w:rPr>
  </w:style>
  <w:style w:type="paragraph" w:styleId="IntenseQuote">
    <w:name w:val="Intense Quote"/>
    <w:basedOn w:val="Normal"/>
    <w:next w:val="Normal"/>
    <w:link w:val="IntenseQuoteChar"/>
    <w:uiPriority w:val="89"/>
    <w:semiHidden/>
    <w:rsid w:val="00B56C27"/>
    <w:pPr>
      <w:pBdr>
        <w:bottom w:val="single" w:sz="4" w:space="4" w:color="5A3C84" w:themeColor="accent1"/>
      </w:pBdr>
      <w:spacing w:before="200" w:after="280"/>
      <w:ind w:left="936" w:right="936"/>
    </w:pPr>
    <w:rPr>
      <w:b/>
      <w:bCs/>
      <w:i/>
      <w:iCs/>
      <w:color w:val="5A3C84" w:themeColor="accent1"/>
    </w:rPr>
  </w:style>
  <w:style w:type="character" w:customStyle="1" w:styleId="IntenseQuoteChar">
    <w:name w:val="Intense Quote Char"/>
    <w:basedOn w:val="DefaultParagraphFont"/>
    <w:link w:val="IntenseQuote"/>
    <w:uiPriority w:val="89"/>
    <w:semiHidden/>
    <w:rsid w:val="009A0F4F"/>
    <w:rPr>
      <w:b/>
      <w:bCs/>
      <w:i/>
      <w:iCs/>
      <w:color w:val="5A3C84" w:themeColor="accent1"/>
      <w:sz w:val="24"/>
      <w:szCs w:val="24"/>
    </w:rPr>
  </w:style>
  <w:style w:type="paragraph" w:styleId="List">
    <w:name w:val="List"/>
    <w:basedOn w:val="Normal"/>
    <w:uiPriority w:val="89"/>
    <w:semiHidden/>
    <w:rsid w:val="00B56C27"/>
    <w:pPr>
      <w:ind w:left="283" w:hanging="283"/>
      <w:contextualSpacing/>
    </w:pPr>
  </w:style>
  <w:style w:type="paragraph" w:styleId="List2">
    <w:name w:val="List 2"/>
    <w:basedOn w:val="Normal"/>
    <w:uiPriority w:val="89"/>
    <w:semiHidden/>
    <w:rsid w:val="00B56C27"/>
    <w:pPr>
      <w:ind w:left="566" w:hanging="283"/>
      <w:contextualSpacing/>
    </w:pPr>
  </w:style>
  <w:style w:type="paragraph" w:styleId="List3">
    <w:name w:val="List 3"/>
    <w:basedOn w:val="Normal"/>
    <w:uiPriority w:val="89"/>
    <w:semiHidden/>
    <w:rsid w:val="00B56C27"/>
    <w:pPr>
      <w:ind w:left="849" w:hanging="283"/>
      <w:contextualSpacing/>
    </w:pPr>
  </w:style>
  <w:style w:type="paragraph" w:styleId="List4">
    <w:name w:val="List 4"/>
    <w:basedOn w:val="Normal"/>
    <w:uiPriority w:val="89"/>
    <w:semiHidden/>
    <w:rsid w:val="00B56C27"/>
    <w:pPr>
      <w:ind w:left="1132" w:hanging="283"/>
      <w:contextualSpacing/>
    </w:pPr>
  </w:style>
  <w:style w:type="paragraph" w:styleId="List5">
    <w:name w:val="List 5"/>
    <w:basedOn w:val="Normal"/>
    <w:uiPriority w:val="89"/>
    <w:semiHidden/>
    <w:rsid w:val="00B56C27"/>
    <w:pPr>
      <w:ind w:left="1415" w:hanging="283"/>
      <w:contextualSpacing/>
    </w:pPr>
  </w:style>
  <w:style w:type="paragraph" w:styleId="ListBullet">
    <w:name w:val="List Bullet"/>
    <w:basedOn w:val="Normal"/>
    <w:uiPriority w:val="89"/>
    <w:semiHidden/>
    <w:rsid w:val="00B56C27"/>
    <w:pPr>
      <w:numPr>
        <w:numId w:val="3"/>
      </w:numPr>
      <w:contextualSpacing/>
    </w:pPr>
  </w:style>
  <w:style w:type="paragraph" w:styleId="ListBullet2">
    <w:name w:val="List Bullet 2"/>
    <w:basedOn w:val="Normal"/>
    <w:uiPriority w:val="89"/>
    <w:semiHidden/>
    <w:rsid w:val="00B56C27"/>
    <w:pPr>
      <w:numPr>
        <w:numId w:val="4"/>
      </w:numPr>
      <w:contextualSpacing/>
    </w:pPr>
  </w:style>
  <w:style w:type="paragraph" w:styleId="ListBullet3">
    <w:name w:val="List Bullet 3"/>
    <w:basedOn w:val="Normal"/>
    <w:uiPriority w:val="89"/>
    <w:semiHidden/>
    <w:rsid w:val="00B56C27"/>
    <w:pPr>
      <w:numPr>
        <w:numId w:val="5"/>
      </w:numPr>
      <w:contextualSpacing/>
    </w:pPr>
  </w:style>
  <w:style w:type="paragraph" w:styleId="ListBullet4">
    <w:name w:val="List Bullet 4"/>
    <w:basedOn w:val="Normal"/>
    <w:uiPriority w:val="89"/>
    <w:semiHidden/>
    <w:rsid w:val="00B56C27"/>
    <w:pPr>
      <w:numPr>
        <w:numId w:val="6"/>
      </w:numPr>
      <w:contextualSpacing/>
    </w:pPr>
  </w:style>
  <w:style w:type="paragraph" w:styleId="ListBullet5">
    <w:name w:val="List Bullet 5"/>
    <w:basedOn w:val="Normal"/>
    <w:uiPriority w:val="89"/>
    <w:semiHidden/>
    <w:rsid w:val="00B56C27"/>
    <w:pPr>
      <w:numPr>
        <w:numId w:val="7"/>
      </w:numPr>
      <w:contextualSpacing/>
    </w:pPr>
  </w:style>
  <w:style w:type="paragraph" w:styleId="ListContinue">
    <w:name w:val="List Continue"/>
    <w:basedOn w:val="Normal"/>
    <w:uiPriority w:val="89"/>
    <w:semiHidden/>
    <w:rsid w:val="00B56C27"/>
    <w:pPr>
      <w:spacing w:after="120"/>
      <w:ind w:left="283"/>
      <w:contextualSpacing/>
    </w:pPr>
  </w:style>
  <w:style w:type="paragraph" w:styleId="ListContinue2">
    <w:name w:val="List Continue 2"/>
    <w:basedOn w:val="Normal"/>
    <w:uiPriority w:val="89"/>
    <w:semiHidden/>
    <w:rsid w:val="00B56C27"/>
    <w:pPr>
      <w:spacing w:after="120"/>
      <w:ind w:left="566"/>
      <w:contextualSpacing/>
    </w:pPr>
  </w:style>
  <w:style w:type="paragraph" w:styleId="ListContinue3">
    <w:name w:val="List Continue 3"/>
    <w:basedOn w:val="Normal"/>
    <w:uiPriority w:val="89"/>
    <w:semiHidden/>
    <w:rsid w:val="00B56C27"/>
    <w:pPr>
      <w:spacing w:after="120"/>
      <w:ind w:left="849"/>
      <w:contextualSpacing/>
    </w:pPr>
  </w:style>
  <w:style w:type="paragraph" w:styleId="ListContinue4">
    <w:name w:val="List Continue 4"/>
    <w:basedOn w:val="Normal"/>
    <w:uiPriority w:val="89"/>
    <w:semiHidden/>
    <w:rsid w:val="00B56C27"/>
    <w:pPr>
      <w:spacing w:after="120"/>
      <w:ind w:left="1132"/>
      <w:contextualSpacing/>
    </w:pPr>
  </w:style>
  <w:style w:type="paragraph" w:styleId="ListContinue5">
    <w:name w:val="List Continue 5"/>
    <w:basedOn w:val="Normal"/>
    <w:uiPriority w:val="89"/>
    <w:semiHidden/>
    <w:rsid w:val="00B56C27"/>
    <w:pPr>
      <w:spacing w:after="120"/>
      <w:ind w:left="1415"/>
      <w:contextualSpacing/>
    </w:pPr>
  </w:style>
  <w:style w:type="paragraph" w:styleId="ListNumber">
    <w:name w:val="List Number"/>
    <w:basedOn w:val="Normal"/>
    <w:uiPriority w:val="89"/>
    <w:semiHidden/>
    <w:rsid w:val="00B56C27"/>
    <w:pPr>
      <w:numPr>
        <w:numId w:val="8"/>
      </w:numPr>
      <w:contextualSpacing/>
    </w:pPr>
  </w:style>
  <w:style w:type="paragraph" w:styleId="ListNumber2">
    <w:name w:val="List Number 2"/>
    <w:basedOn w:val="Normal"/>
    <w:uiPriority w:val="89"/>
    <w:semiHidden/>
    <w:rsid w:val="00B56C27"/>
    <w:pPr>
      <w:numPr>
        <w:numId w:val="9"/>
      </w:numPr>
      <w:contextualSpacing/>
    </w:pPr>
  </w:style>
  <w:style w:type="paragraph" w:styleId="ListNumber3">
    <w:name w:val="List Number 3"/>
    <w:basedOn w:val="Normal"/>
    <w:uiPriority w:val="89"/>
    <w:semiHidden/>
    <w:rsid w:val="00B56C27"/>
    <w:pPr>
      <w:numPr>
        <w:numId w:val="10"/>
      </w:numPr>
      <w:contextualSpacing/>
    </w:pPr>
  </w:style>
  <w:style w:type="paragraph" w:styleId="ListNumber4">
    <w:name w:val="List Number 4"/>
    <w:basedOn w:val="Normal"/>
    <w:uiPriority w:val="89"/>
    <w:semiHidden/>
    <w:rsid w:val="00B56C27"/>
    <w:pPr>
      <w:numPr>
        <w:numId w:val="11"/>
      </w:numPr>
      <w:contextualSpacing/>
    </w:pPr>
  </w:style>
  <w:style w:type="paragraph" w:styleId="ListNumber5">
    <w:name w:val="List Number 5"/>
    <w:basedOn w:val="Normal"/>
    <w:uiPriority w:val="89"/>
    <w:semiHidden/>
    <w:rsid w:val="00B56C27"/>
    <w:pPr>
      <w:numPr>
        <w:numId w:val="12"/>
      </w:numPr>
      <w:contextualSpacing/>
    </w:pPr>
  </w:style>
  <w:style w:type="paragraph" w:styleId="ListParagraph">
    <w:name w:val="List Paragraph"/>
    <w:aliases w:val="Bullet 1,Bullet Points,Colorful List - Accent 11,Dot pt,F5 List Paragraph,Indicator Text,L,List Paragraph Char Char Char,List Paragraph1,List Paragraph11,List Paragraph12,MAIN CONTENT,No Spacing1,Normal numbered,Numbered Para 1,OBC Bullet"/>
    <w:basedOn w:val="Normal"/>
    <w:uiPriority w:val="34"/>
    <w:qFormat/>
    <w:rsid w:val="00B56C27"/>
    <w:pPr>
      <w:ind w:left="720"/>
      <w:contextualSpacing/>
    </w:pPr>
  </w:style>
  <w:style w:type="paragraph" w:styleId="MacroText">
    <w:name w:val="macro"/>
    <w:link w:val="MacroTextChar"/>
    <w:uiPriority w:val="89"/>
    <w:semiHidden/>
    <w:rsid w:val="00B56C27"/>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rPr>
  </w:style>
  <w:style w:type="character" w:customStyle="1" w:styleId="MacroTextChar">
    <w:name w:val="Macro Text Char"/>
    <w:basedOn w:val="DefaultParagraphFont"/>
    <w:link w:val="MacroText"/>
    <w:uiPriority w:val="89"/>
    <w:semiHidden/>
    <w:rsid w:val="009A0F4F"/>
    <w:rPr>
      <w:rFonts w:ascii="Consolas" w:hAnsi="Consolas" w:cs="Consolas"/>
    </w:rPr>
  </w:style>
  <w:style w:type="paragraph" w:styleId="MessageHeader">
    <w:name w:val="Message Header"/>
    <w:basedOn w:val="Normal"/>
    <w:link w:val="MessageHeaderChar"/>
    <w:uiPriority w:val="89"/>
    <w:semiHidden/>
    <w:rsid w:val="00B56C27"/>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89"/>
    <w:semiHidden/>
    <w:rsid w:val="009A0F4F"/>
    <w:rPr>
      <w:rFonts w:asciiTheme="majorHAnsi" w:eastAsiaTheme="majorEastAsia" w:hAnsiTheme="majorHAnsi" w:cstheme="majorBidi"/>
      <w:sz w:val="24"/>
      <w:szCs w:val="24"/>
      <w:shd w:val="pct20" w:color="auto" w:fill="auto"/>
    </w:rPr>
  </w:style>
  <w:style w:type="paragraph" w:styleId="NoSpacing">
    <w:name w:val="No Spacing"/>
    <w:uiPriority w:val="89"/>
    <w:semiHidden/>
    <w:rsid w:val="00B56C27"/>
    <w:rPr>
      <w:sz w:val="24"/>
      <w:szCs w:val="24"/>
    </w:rPr>
  </w:style>
  <w:style w:type="paragraph" w:styleId="NormalWeb">
    <w:name w:val="Normal (Web)"/>
    <w:basedOn w:val="Normal"/>
    <w:uiPriority w:val="99"/>
    <w:semiHidden/>
    <w:rsid w:val="00B56C27"/>
    <w:rPr>
      <w:rFonts w:ascii="Times New Roman" w:hAnsi="Times New Roman"/>
    </w:rPr>
  </w:style>
  <w:style w:type="paragraph" w:styleId="NormalIndent">
    <w:name w:val="Normal Indent"/>
    <w:basedOn w:val="Normal"/>
    <w:uiPriority w:val="89"/>
    <w:semiHidden/>
    <w:rsid w:val="00B56C27"/>
    <w:pPr>
      <w:ind w:left="720"/>
    </w:pPr>
  </w:style>
  <w:style w:type="paragraph" w:styleId="PlainText">
    <w:name w:val="Plain Text"/>
    <w:basedOn w:val="Normal"/>
    <w:link w:val="PlainTextChar"/>
    <w:uiPriority w:val="89"/>
    <w:semiHidden/>
    <w:rsid w:val="00B56C27"/>
    <w:rPr>
      <w:rFonts w:ascii="Consolas" w:hAnsi="Consolas" w:cs="Consolas"/>
      <w:sz w:val="21"/>
      <w:szCs w:val="21"/>
    </w:rPr>
  </w:style>
  <w:style w:type="character" w:customStyle="1" w:styleId="PlainTextChar">
    <w:name w:val="Plain Text Char"/>
    <w:basedOn w:val="DefaultParagraphFont"/>
    <w:link w:val="PlainText"/>
    <w:uiPriority w:val="89"/>
    <w:semiHidden/>
    <w:rsid w:val="009A0F4F"/>
    <w:rPr>
      <w:rFonts w:ascii="Consolas" w:hAnsi="Consolas" w:cs="Consolas"/>
      <w:sz w:val="21"/>
      <w:szCs w:val="21"/>
    </w:rPr>
  </w:style>
  <w:style w:type="paragraph" w:styleId="Salutation">
    <w:name w:val="Salutation"/>
    <w:basedOn w:val="Normal"/>
    <w:next w:val="Normal"/>
    <w:link w:val="SalutationChar"/>
    <w:uiPriority w:val="89"/>
    <w:semiHidden/>
    <w:rsid w:val="00B56C27"/>
  </w:style>
  <w:style w:type="character" w:customStyle="1" w:styleId="SalutationChar">
    <w:name w:val="Salutation Char"/>
    <w:basedOn w:val="DefaultParagraphFont"/>
    <w:link w:val="Salutation"/>
    <w:uiPriority w:val="89"/>
    <w:semiHidden/>
    <w:rsid w:val="009A0F4F"/>
    <w:rPr>
      <w:sz w:val="24"/>
      <w:szCs w:val="24"/>
    </w:rPr>
  </w:style>
  <w:style w:type="paragraph" w:styleId="Signature">
    <w:name w:val="Signature"/>
    <w:basedOn w:val="Normal"/>
    <w:link w:val="SignatureChar"/>
    <w:uiPriority w:val="89"/>
    <w:semiHidden/>
    <w:rsid w:val="00B56C27"/>
    <w:pPr>
      <w:ind w:left="4252"/>
    </w:pPr>
  </w:style>
  <w:style w:type="character" w:customStyle="1" w:styleId="SignatureChar">
    <w:name w:val="Signature Char"/>
    <w:basedOn w:val="DefaultParagraphFont"/>
    <w:link w:val="Signature"/>
    <w:uiPriority w:val="89"/>
    <w:semiHidden/>
    <w:rsid w:val="009A0F4F"/>
    <w:rPr>
      <w:sz w:val="24"/>
      <w:szCs w:val="24"/>
    </w:rPr>
  </w:style>
  <w:style w:type="paragraph" w:styleId="Subtitle">
    <w:name w:val="Subtitle"/>
    <w:basedOn w:val="Normal"/>
    <w:next w:val="Normal"/>
    <w:link w:val="SubtitleChar"/>
    <w:uiPriority w:val="99"/>
    <w:semiHidden/>
    <w:rsid w:val="00B56C27"/>
    <w:pPr>
      <w:numPr>
        <w:ilvl w:val="1"/>
      </w:numPr>
      <w:spacing w:line="290" w:lineRule="atLeast"/>
      <w:jc w:val="center"/>
    </w:pPr>
    <w:rPr>
      <w:rFonts w:asciiTheme="majorHAnsi" w:eastAsiaTheme="majorEastAsia" w:hAnsiTheme="majorHAnsi" w:cstheme="majorBidi"/>
      <w:iCs/>
      <w:spacing w:val="15"/>
    </w:rPr>
  </w:style>
  <w:style w:type="character" w:customStyle="1" w:styleId="SubtitleChar">
    <w:name w:val="Subtitle Char"/>
    <w:basedOn w:val="DefaultParagraphFont"/>
    <w:link w:val="Subtitle"/>
    <w:uiPriority w:val="99"/>
    <w:semiHidden/>
    <w:rsid w:val="009A0F4F"/>
    <w:rPr>
      <w:rFonts w:asciiTheme="majorHAnsi" w:eastAsiaTheme="majorEastAsia" w:hAnsiTheme="majorHAnsi" w:cstheme="majorBidi"/>
      <w:iCs/>
      <w:spacing w:val="15"/>
      <w:sz w:val="24"/>
      <w:szCs w:val="24"/>
    </w:rPr>
  </w:style>
  <w:style w:type="paragraph" w:styleId="TableofAuthorities">
    <w:name w:val="table of authorities"/>
    <w:basedOn w:val="Normal"/>
    <w:next w:val="Normal"/>
    <w:uiPriority w:val="89"/>
    <w:semiHidden/>
    <w:rsid w:val="00B56C27"/>
    <w:pPr>
      <w:ind w:left="240" w:hanging="240"/>
    </w:pPr>
  </w:style>
  <w:style w:type="paragraph" w:styleId="TableofFigures">
    <w:name w:val="table of figures"/>
    <w:basedOn w:val="Normal"/>
    <w:next w:val="Normal"/>
    <w:uiPriority w:val="89"/>
    <w:semiHidden/>
    <w:rsid w:val="00B56C27"/>
  </w:style>
  <w:style w:type="paragraph" w:styleId="TOAHeading">
    <w:name w:val="toa heading"/>
    <w:basedOn w:val="Normal"/>
    <w:next w:val="Normal"/>
    <w:uiPriority w:val="99"/>
    <w:semiHidden/>
    <w:rsid w:val="00B56C27"/>
    <w:pPr>
      <w:spacing w:before="120"/>
    </w:pPr>
    <w:rPr>
      <w:rFonts w:asciiTheme="majorHAnsi" w:eastAsiaTheme="majorEastAsia" w:hAnsiTheme="majorHAnsi" w:cstheme="majorBidi"/>
      <w:b/>
      <w:bCs/>
    </w:rPr>
  </w:style>
  <w:style w:type="paragraph" w:styleId="TOC5">
    <w:name w:val="toc 5"/>
    <w:basedOn w:val="Normal"/>
    <w:next w:val="Normal"/>
    <w:uiPriority w:val="89"/>
    <w:semiHidden/>
    <w:rsid w:val="00B56C27"/>
    <w:pPr>
      <w:spacing w:after="100"/>
      <w:ind w:left="960"/>
    </w:pPr>
  </w:style>
  <w:style w:type="paragraph" w:styleId="TOC6">
    <w:name w:val="toc 6"/>
    <w:basedOn w:val="Normal"/>
    <w:next w:val="Normal"/>
    <w:uiPriority w:val="89"/>
    <w:semiHidden/>
    <w:rsid w:val="00B56C27"/>
    <w:pPr>
      <w:spacing w:after="100"/>
      <w:ind w:left="1200"/>
    </w:pPr>
  </w:style>
  <w:style w:type="paragraph" w:styleId="TOC7">
    <w:name w:val="toc 7"/>
    <w:basedOn w:val="Normal"/>
    <w:next w:val="Normal"/>
    <w:uiPriority w:val="89"/>
    <w:semiHidden/>
    <w:rsid w:val="00B56C27"/>
    <w:pPr>
      <w:spacing w:after="100"/>
      <w:ind w:left="1440"/>
    </w:pPr>
  </w:style>
  <w:style w:type="paragraph" w:styleId="TOC8">
    <w:name w:val="toc 8"/>
    <w:basedOn w:val="Normal"/>
    <w:next w:val="Normal"/>
    <w:uiPriority w:val="89"/>
    <w:semiHidden/>
    <w:rsid w:val="00B56C27"/>
    <w:pPr>
      <w:spacing w:after="100"/>
      <w:ind w:left="1680"/>
    </w:pPr>
  </w:style>
  <w:style w:type="paragraph" w:styleId="TOC9">
    <w:name w:val="toc 9"/>
    <w:basedOn w:val="Normal"/>
    <w:next w:val="Normal"/>
    <w:uiPriority w:val="89"/>
    <w:semiHidden/>
    <w:rsid w:val="00B56C27"/>
    <w:pPr>
      <w:spacing w:after="100"/>
      <w:ind w:left="1920"/>
    </w:pPr>
  </w:style>
  <w:style w:type="paragraph" w:styleId="TOCHeading">
    <w:name w:val="TOC Heading"/>
    <w:basedOn w:val="Heading1"/>
    <w:next w:val="Normal"/>
    <w:uiPriority w:val="39"/>
    <w:semiHidden/>
    <w:qFormat/>
    <w:rsid w:val="00B56C27"/>
    <w:pPr>
      <w:keepNext/>
      <w:pBdr>
        <w:bottom w:val="none" w:sz="0" w:space="0" w:color="auto"/>
        <w:between w:val="none" w:sz="0" w:space="0" w:color="auto"/>
      </w:pBdr>
      <w:spacing w:before="480" w:after="0" w:line="240" w:lineRule="auto"/>
      <w:outlineLvl w:val="9"/>
    </w:pPr>
    <w:rPr>
      <w:b/>
      <w:color w:val="432D62" w:themeColor="accent1" w:themeShade="BF"/>
      <w:sz w:val="28"/>
    </w:rPr>
  </w:style>
  <w:style w:type="paragraph" w:customStyle="1" w:styleId="Logo">
    <w:name w:val="Logo"/>
    <w:basedOn w:val="Normal"/>
    <w:semiHidden/>
    <w:rsid w:val="00952C89"/>
  </w:style>
  <w:style w:type="character" w:customStyle="1" w:styleId="HyperlinkEmphasis">
    <w:name w:val="Hyperlink Emphasis"/>
    <w:basedOn w:val="Hyperlink"/>
    <w:uiPriority w:val="18"/>
    <w:qFormat/>
    <w:rsid w:val="004B0E75"/>
    <w:rPr>
      <w:i/>
      <w:color w:val="0000FF"/>
      <w:u w:val="single"/>
    </w:rPr>
  </w:style>
  <w:style w:type="character" w:styleId="Strong">
    <w:name w:val="Strong"/>
    <w:basedOn w:val="DefaultParagraphFont"/>
    <w:uiPriority w:val="16"/>
    <w:qFormat/>
    <w:rsid w:val="00EA68D2"/>
    <w:rPr>
      <w:b/>
      <w:bCs/>
    </w:rPr>
  </w:style>
  <w:style w:type="character" w:styleId="Emphasis">
    <w:name w:val="Emphasis"/>
    <w:basedOn w:val="DefaultParagraphFont"/>
    <w:uiPriority w:val="20"/>
    <w:qFormat/>
    <w:rsid w:val="00EA68D2"/>
    <w:rPr>
      <w:i/>
      <w:iCs/>
    </w:rPr>
  </w:style>
  <w:style w:type="paragraph" w:customStyle="1" w:styleId="BoxUnorderedList2">
    <w:name w:val="Box Unordered List 2"/>
    <w:basedOn w:val="UnorderedList2"/>
    <w:uiPriority w:val="45"/>
    <w:qFormat/>
    <w:rsid w:val="0036464E"/>
    <w:pPr>
      <w:numPr>
        <w:numId w:val="14"/>
      </w:numPr>
    </w:pPr>
  </w:style>
  <w:style w:type="paragraph" w:customStyle="1" w:styleId="Cover">
    <w:name w:val="Cover"/>
    <w:uiPriority w:val="52"/>
    <w:qFormat/>
    <w:rsid w:val="002B5F6B"/>
    <w:pPr>
      <w:pBdr>
        <w:top w:val="single" w:sz="4" w:space="10" w:color="auto"/>
        <w:left w:val="single" w:sz="4" w:space="10" w:color="auto"/>
        <w:bottom w:val="single" w:sz="4" w:space="10" w:color="auto"/>
        <w:right w:val="single" w:sz="4" w:space="10" w:color="auto"/>
      </w:pBdr>
      <w:spacing w:before="360" w:after="360" w:line="312" w:lineRule="auto"/>
    </w:pPr>
    <w:rPr>
      <w:spacing w:val="-3"/>
      <w:sz w:val="24"/>
      <w:szCs w:val="24"/>
      <w:lang w:eastAsia="en-US"/>
    </w:rPr>
  </w:style>
  <w:style w:type="paragraph" w:customStyle="1" w:styleId="OrderedList1">
    <w:name w:val="Ordered List 1"/>
    <w:basedOn w:val="Para"/>
    <w:uiPriority w:val="12"/>
    <w:semiHidden/>
    <w:qFormat/>
    <w:rsid w:val="00EC3FBB"/>
    <w:pPr>
      <w:numPr>
        <w:ilvl w:val="5"/>
        <w:numId w:val="16"/>
      </w:numPr>
    </w:pPr>
  </w:style>
  <w:style w:type="paragraph" w:customStyle="1" w:styleId="BoxOrderedList1">
    <w:name w:val="Box Ordered List 1"/>
    <w:basedOn w:val="Para"/>
    <w:uiPriority w:val="46"/>
    <w:semiHidden/>
    <w:qFormat/>
    <w:rsid w:val="004570F6"/>
    <w:pPr>
      <w:numPr>
        <w:ilvl w:val="5"/>
        <w:numId w:val="14"/>
      </w:numPr>
    </w:pPr>
  </w:style>
  <w:style w:type="paragraph" w:customStyle="1" w:styleId="AppendixOrderedList1">
    <w:name w:val="Appendix Ordered List 1"/>
    <w:basedOn w:val="Para"/>
    <w:uiPriority w:val="39"/>
    <w:semiHidden/>
    <w:qFormat/>
    <w:rsid w:val="008C59B7"/>
    <w:pPr>
      <w:numPr>
        <w:ilvl w:val="5"/>
        <w:numId w:val="13"/>
      </w:numPr>
    </w:pPr>
  </w:style>
  <w:style w:type="character" w:styleId="CommentReference">
    <w:name w:val="annotation reference"/>
    <w:basedOn w:val="DefaultParagraphFont"/>
    <w:uiPriority w:val="99"/>
    <w:semiHidden/>
    <w:rsid w:val="00F57449"/>
    <w:rPr>
      <w:sz w:val="16"/>
      <w:szCs w:val="16"/>
    </w:rPr>
  </w:style>
  <w:style w:type="paragraph" w:styleId="Revision">
    <w:name w:val="Revision"/>
    <w:hidden/>
    <w:uiPriority w:val="99"/>
    <w:semiHidden/>
    <w:rsid w:val="00F57449"/>
    <w:rPr>
      <w:sz w:val="24"/>
      <w:szCs w:val="24"/>
    </w:rPr>
  </w:style>
  <w:style w:type="table" w:styleId="LightList">
    <w:name w:val="Light List"/>
    <w:basedOn w:val="TableNormal"/>
    <w:uiPriority w:val="61"/>
    <w:semiHidden/>
    <w:unhideWhenUsed/>
    <w:rsid w:val="00C3783D"/>
    <w:pPr>
      <w:widowControl w:val="0"/>
    </w:pPr>
    <w:rPr>
      <w:rFonts w:eastAsiaTheme="minorHAnsi" w:cstheme="minorBidi"/>
      <w:sz w:val="22"/>
      <w:szCs w:val="22"/>
      <w:lang w:val="en-US" w:eastAsia="en-US"/>
    </w:rPr>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AppendixParaContinued">
    <w:name w:val="Appendix Para Continued"/>
    <w:basedOn w:val="AppendixPara"/>
    <w:uiPriority w:val="36"/>
    <w:qFormat/>
    <w:rsid w:val="000D3DF6"/>
    <w:pPr>
      <w:ind w:left="578"/>
    </w:pPr>
  </w:style>
  <w:style w:type="paragraph" w:customStyle="1" w:styleId="SummaryHeading">
    <w:name w:val="Summary Heading"/>
    <w:basedOn w:val="Heading1"/>
    <w:next w:val="Para"/>
    <w:semiHidden/>
    <w:rsid w:val="00DB628B"/>
  </w:style>
  <w:style w:type="paragraph" w:customStyle="1" w:styleId="Member">
    <w:name w:val="Member"/>
    <w:basedOn w:val="AppendixPara"/>
    <w:uiPriority w:val="53"/>
    <w:semiHidden/>
    <w:locked/>
    <w:rsid w:val="00E65FAF"/>
    <w:pPr>
      <w:spacing w:after="0"/>
    </w:pPr>
  </w:style>
  <w:style w:type="paragraph" w:customStyle="1" w:styleId="Interest">
    <w:name w:val="Interest"/>
    <w:basedOn w:val="Member"/>
    <w:next w:val="Member"/>
    <w:uiPriority w:val="53"/>
    <w:semiHidden/>
    <w:locked/>
    <w:rsid w:val="00316ABE"/>
    <w:pPr>
      <w:ind w:left="578"/>
    </w:pPr>
    <w:rPr>
      <w:i/>
    </w:rPr>
  </w:style>
  <w:style w:type="paragraph" w:customStyle="1" w:styleId="AppendixCaption">
    <w:name w:val="Appendix Caption"/>
    <w:basedOn w:val="Caption"/>
    <w:uiPriority w:val="40"/>
    <w:rsid w:val="00316ABE"/>
  </w:style>
  <w:style w:type="paragraph" w:customStyle="1" w:styleId="SLSCInfo">
    <w:name w:val="SLSC Info"/>
    <w:basedOn w:val="Para"/>
    <w:uiPriority w:val="54"/>
    <w:semiHidden/>
    <w:rsid w:val="007046D3"/>
    <w:pPr>
      <w:jc w:val="right"/>
    </w:pPr>
    <w:rPr>
      <w:b/>
      <w:i/>
    </w:rPr>
  </w:style>
  <w:style w:type="paragraph" w:customStyle="1" w:styleId="SLSCSummary">
    <w:name w:val="SLSC Summary"/>
    <w:basedOn w:val="ParaContinued"/>
    <w:uiPriority w:val="54"/>
    <w:semiHidden/>
    <w:rsid w:val="007046D3"/>
    <w:rPr>
      <w:i/>
    </w:rPr>
  </w:style>
  <w:style w:type="paragraph" w:styleId="NoteHeading">
    <w:name w:val="Note Heading"/>
    <w:basedOn w:val="Normal"/>
    <w:next w:val="Normal"/>
    <w:link w:val="NoteHeadingChar"/>
    <w:uiPriority w:val="89"/>
    <w:semiHidden/>
    <w:unhideWhenUsed/>
    <w:rsid w:val="00782E6C"/>
  </w:style>
  <w:style w:type="character" w:customStyle="1" w:styleId="NoteHeadingChar">
    <w:name w:val="Note Heading Char"/>
    <w:basedOn w:val="DefaultParagraphFont"/>
    <w:link w:val="NoteHeading"/>
    <w:uiPriority w:val="89"/>
    <w:semiHidden/>
    <w:rsid w:val="00782E6C"/>
    <w:rPr>
      <w:sz w:val="24"/>
      <w:szCs w:val="24"/>
    </w:rPr>
  </w:style>
  <w:style w:type="character" w:customStyle="1" w:styleId="Strikethrough">
    <w:name w:val="Strikethrough"/>
    <w:basedOn w:val="DefaultParagraphFont"/>
    <w:uiPriority w:val="98"/>
    <w:qFormat/>
    <w:rsid w:val="00A75B0C"/>
    <w:rPr>
      <w:strike/>
      <w:dstrike w:val="0"/>
    </w:rPr>
  </w:style>
  <w:style w:type="character" w:customStyle="1" w:styleId="Subscript">
    <w:name w:val="Subscript"/>
    <w:basedOn w:val="DefaultParagraphFont"/>
    <w:uiPriority w:val="98"/>
    <w:rsid w:val="00A75B0C"/>
    <w:rPr>
      <w:vertAlign w:val="subscript"/>
    </w:rPr>
  </w:style>
  <w:style w:type="character" w:styleId="UnresolvedMention">
    <w:name w:val="Unresolved Mention"/>
    <w:basedOn w:val="DefaultParagraphFont"/>
    <w:uiPriority w:val="99"/>
    <w:semiHidden/>
    <w:unhideWhenUsed/>
    <w:rsid w:val="002471C6"/>
    <w:rPr>
      <w:color w:val="808080"/>
      <w:shd w:val="clear" w:color="auto" w:fill="E6E6E6"/>
    </w:rPr>
  </w:style>
  <w:style w:type="character" w:styleId="FollowedHyperlink">
    <w:name w:val="FollowedHyperlink"/>
    <w:basedOn w:val="DefaultParagraphFont"/>
    <w:uiPriority w:val="11"/>
    <w:semiHidden/>
    <w:unhideWhenUsed/>
    <w:rsid w:val="00955CF5"/>
    <w:rPr>
      <w:color w:val="800080" w:themeColor="followedHyperlink"/>
      <w:u w:val="single"/>
    </w:rPr>
  </w:style>
  <w:style w:type="character" w:styleId="EndnoteReference">
    <w:name w:val="endnote reference"/>
    <w:basedOn w:val="DefaultParagraphFont"/>
    <w:uiPriority w:val="11"/>
    <w:semiHidden/>
    <w:unhideWhenUsed/>
    <w:rsid w:val="00DC12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52980">
      <w:bodyDiv w:val="1"/>
      <w:marLeft w:val="0"/>
      <w:marRight w:val="0"/>
      <w:marTop w:val="0"/>
      <w:marBottom w:val="0"/>
      <w:divBdr>
        <w:top w:val="none" w:sz="0" w:space="0" w:color="auto"/>
        <w:left w:val="none" w:sz="0" w:space="0" w:color="auto"/>
        <w:bottom w:val="none" w:sz="0" w:space="0" w:color="auto"/>
        <w:right w:val="none" w:sz="0" w:space="0" w:color="auto"/>
      </w:divBdr>
    </w:div>
    <w:div w:id="100953296">
      <w:bodyDiv w:val="1"/>
      <w:marLeft w:val="0"/>
      <w:marRight w:val="0"/>
      <w:marTop w:val="0"/>
      <w:marBottom w:val="0"/>
      <w:divBdr>
        <w:top w:val="none" w:sz="0" w:space="0" w:color="auto"/>
        <w:left w:val="none" w:sz="0" w:space="0" w:color="auto"/>
        <w:bottom w:val="none" w:sz="0" w:space="0" w:color="auto"/>
        <w:right w:val="none" w:sz="0" w:space="0" w:color="auto"/>
      </w:divBdr>
    </w:div>
    <w:div w:id="262492915">
      <w:bodyDiv w:val="1"/>
      <w:marLeft w:val="0"/>
      <w:marRight w:val="0"/>
      <w:marTop w:val="0"/>
      <w:marBottom w:val="0"/>
      <w:divBdr>
        <w:top w:val="none" w:sz="0" w:space="0" w:color="auto"/>
        <w:left w:val="none" w:sz="0" w:space="0" w:color="auto"/>
        <w:bottom w:val="none" w:sz="0" w:space="0" w:color="auto"/>
        <w:right w:val="none" w:sz="0" w:space="0" w:color="auto"/>
      </w:divBdr>
    </w:div>
    <w:div w:id="347875514">
      <w:bodyDiv w:val="1"/>
      <w:marLeft w:val="0"/>
      <w:marRight w:val="0"/>
      <w:marTop w:val="0"/>
      <w:marBottom w:val="0"/>
      <w:divBdr>
        <w:top w:val="none" w:sz="0" w:space="0" w:color="auto"/>
        <w:left w:val="none" w:sz="0" w:space="0" w:color="auto"/>
        <w:bottom w:val="none" w:sz="0" w:space="0" w:color="auto"/>
        <w:right w:val="none" w:sz="0" w:space="0" w:color="auto"/>
      </w:divBdr>
    </w:div>
    <w:div w:id="348334910">
      <w:bodyDiv w:val="1"/>
      <w:marLeft w:val="0"/>
      <w:marRight w:val="0"/>
      <w:marTop w:val="0"/>
      <w:marBottom w:val="0"/>
      <w:divBdr>
        <w:top w:val="none" w:sz="0" w:space="0" w:color="auto"/>
        <w:left w:val="none" w:sz="0" w:space="0" w:color="auto"/>
        <w:bottom w:val="none" w:sz="0" w:space="0" w:color="auto"/>
        <w:right w:val="none" w:sz="0" w:space="0" w:color="auto"/>
      </w:divBdr>
    </w:div>
    <w:div w:id="454107199">
      <w:bodyDiv w:val="1"/>
      <w:marLeft w:val="0"/>
      <w:marRight w:val="0"/>
      <w:marTop w:val="0"/>
      <w:marBottom w:val="0"/>
      <w:divBdr>
        <w:top w:val="none" w:sz="0" w:space="0" w:color="auto"/>
        <w:left w:val="none" w:sz="0" w:space="0" w:color="auto"/>
        <w:bottom w:val="none" w:sz="0" w:space="0" w:color="auto"/>
        <w:right w:val="none" w:sz="0" w:space="0" w:color="auto"/>
      </w:divBdr>
    </w:div>
    <w:div w:id="567959177">
      <w:bodyDiv w:val="1"/>
      <w:marLeft w:val="0"/>
      <w:marRight w:val="0"/>
      <w:marTop w:val="0"/>
      <w:marBottom w:val="0"/>
      <w:divBdr>
        <w:top w:val="none" w:sz="0" w:space="0" w:color="auto"/>
        <w:left w:val="none" w:sz="0" w:space="0" w:color="auto"/>
        <w:bottom w:val="none" w:sz="0" w:space="0" w:color="auto"/>
        <w:right w:val="none" w:sz="0" w:space="0" w:color="auto"/>
      </w:divBdr>
      <w:divsChild>
        <w:div w:id="1852136198">
          <w:marLeft w:val="0"/>
          <w:marRight w:val="0"/>
          <w:marTop w:val="0"/>
          <w:marBottom w:val="0"/>
          <w:divBdr>
            <w:top w:val="none" w:sz="0" w:space="0" w:color="auto"/>
            <w:left w:val="none" w:sz="0" w:space="0" w:color="auto"/>
            <w:bottom w:val="none" w:sz="0" w:space="0" w:color="auto"/>
            <w:right w:val="none" w:sz="0" w:space="0" w:color="auto"/>
          </w:divBdr>
          <w:divsChild>
            <w:div w:id="2068409077">
              <w:marLeft w:val="0"/>
              <w:marRight w:val="0"/>
              <w:marTop w:val="0"/>
              <w:marBottom w:val="0"/>
              <w:divBdr>
                <w:top w:val="none" w:sz="0" w:space="0" w:color="auto"/>
                <w:left w:val="none" w:sz="0" w:space="0" w:color="auto"/>
                <w:bottom w:val="none" w:sz="0" w:space="0" w:color="auto"/>
                <w:right w:val="none" w:sz="0" w:space="0" w:color="auto"/>
              </w:divBdr>
              <w:divsChild>
                <w:div w:id="1282103819">
                  <w:marLeft w:val="0"/>
                  <w:marRight w:val="0"/>
                  <w:marTop w:val="0"/>
                  <w:marBottom w:val="0"/>
                  <w:divBdr>
                    <w:top w:val="none" w:sz="0" w:space="0" w:color="auto"/>
                    <w:left w:val="none" w:sz="0" w:space="0" w:color="auto"/>
                    <w:bottom w:val="none" w:sz="0" w:space="0" w:color="auto"/>
                    <w:right w:val="none" w:sz="0" w:space="0" w:color="auto"/>
                  </w:divBdr>
                  <w:divsChild>
                    <w:div w:id="611598709">
                      <w:marLeft w:val="0"/>
                      <w:marRight w:val="0"/>
                      <w:marTop w:val="0"/>
                      <w:marBottom w:val="0"/>
                      <w:divBdr>
                        <w:top w:val="none" w:sz="0" w:space="0" w:color="auto"/>
                        <w:left w:val="none" w:sz="0" w:space="0" w:color="auto"/>
                        <w:bottom w:val="none" w:sz="0" w:space="0" w:color="auto"/>
                        <w:right w:val="none" w:sz="0" w:space="0" w:color="auto"/>
                      </w:divBdr>
                      <w:divsChild>
                        <w:div w:id="747272111">
                          <w:marLeft w:val="0"/>
                          <w:marRight w:val="0"/>
                          <w:marTop w:val="0"/>
                          <w:marBottom w:val="0"/>
                          <w:divBdr>
                            <w:top w:val="none" w:sz="0" w:space="0" w:color="auto"/>
                            <w:left w:val="none" w:sz="0" w:space="0" w:color="auto"/>
                            <w:bottom w:val="none" w:sz="0" w:space="0" w:color="auto"/>
                            <w:right w:val="none" w:sz="0" w:space="0" w:color="auto"/>
                          </w:divBdr>
                          <w:divsChild>
                            <w:div w:id="983001313">
                              <w:marLeft w:val="0"/>
                              <w:marRight w:val="0"/>
                              <w:marTop w:val="0"/>
                              <w:marBottom w:val="0"/>
                              <w:divBdr>
                                <w:top w:val="none" w:sz="0" w:space="0" w:color="auto"/>
                                <w:left w:val="none" w:sz="0" w:space="0" w:color="auto"/>
                                <w:bottom w:val="none" w:sz="0" w:space="0" w:color="auto"/>
                                <w:right w:val="none" w:sz="0" w:space="0" w:color="auto"/>
                              </w:divBdr>
                              <w:divsChild>
                                <w:div w:id="735275000">
                                  <w:marLeft w:val="0"/>
                                  <w:marRight w:val="0"/>
                                  <w:marTop w:val="0"/>
                                  <w:marBottom w:val="0"/>
                                  <w:divBdr>
                                    <w:top w:val="none" w:sz="0" w:space="0" w:color="auto"/>
                                    <w:left w:val="none" w:sz="0" w:space="0" w:color="auto"/>
                                    <w:bottom w:val="none" w:sz="0" w:space="0" w:color="auto"/>
                                    <w:right w:val="none" w:sz="0" w:space="0" w:color="auto"/>
                                  </w:divBdr>
                                  <w:divsChild>
                                    <w:div w:id="725026160">
                                      <w:marLeft w:val="0"/>
                                      <w:marRight w:val="0"/>
                                      <w:marTop w:val="0"/>
                                      <w:marBottom w:val="0"/>
                                      <w:divBdr>
                                        <w:top w:val="none" w:sz="0" w:space="0" w:color="auto"/>
                                        <w:left w:val="none" w:sz="0" w:space="0" w:color="auto"/>
                                        <w:bottom w:val="none" w:sz="0" w:space="0" w:color="auto"/>
                                        <w:right w:val="none" w:sz="0" w:space="0" w:color="auto"/>
                                      </w:divBdr>
                                      <w:divsChild>
                                        <w:div w:id="1650355219">
                                          <w:marLeft w:val="0"/>
                                          <w:marRight w:val="0"/>
                                          <w:marTop w:val="0"/>
                                          <w:marBottom w:val="0"/>
                                          <w:divBdr>
                                            <w:top w:val="none" w:sz="0" w:space="0" w:color="auto"/>
                                            <w:left w:val="none" w:sz="0" w:space="0" w:color="auto"/>
                                            <w:bottom w:val="none" w:sz="0" w:space="0" w:color="auto"/>
                                            <w:right w:val="none" w:sz="0" w:space="0" w:color="auto"/>
                                          </w:divBdr>
                                          <w:divsChild>
                                            <w:div w:id="1167092983">
                                              <w:marLeft w:val="0"/>
                                              <w:marRight w:val="0"/>
                                              <w:marTop w:val="0"/>
                                              <w:marBottom w:val="0"/>
                                              <w:divBdr>
                                                <w:top w:val="none" w:sz="0" w:space="0" w:color="auto"/>
                                                <w:left w:val="none" w:sz="0" w:space="0" w:color="auto"/>
                                                <w:bottom w:val="none" w:sz="0" w:space="0" w:color="auto"/>
                                                <w:right w:val="none" w:sz="0" w:space="0" w:color="auto"/>
                                              </w:divBdr>
                                              <w:divsChild>
                                                <w:div w:id="657422530">
                                                  <w:marLeft w:val="0"/>
                                                  <w:marRight w:val="0"/>
                                                  <w:marTop w:val="0"/>
                                                  <w:marBottom w:val="0"/>
                                                  <w:divBdr>
                                                    <w:top w:val="none" w:sz="0" w:space="0" w:color="auto"/>
                                                    <w:left w:val="none" w:sz="0" w:space="0" w:color="auto"/>
                                                    <w:bottom w:val="none" w:sz="0" w:space="0" w:color="auto"/>
                                                    <w:right w:val="none" w:sz="0" w:space="0" w:color="auto"/>
                                                  </w:divBdr>
                                                  <w:divsChild>
                                                    <w:div w:id="1053043309">
                                                      <w:marLeft w:val="0"/>
                                                      <w:marRight w:val="0"/>
                                                      <w:marTop w:val="0"/>
                                                      <w:marBottom w:val="0"/>
                                                      <w:divBdr>
                                                        <w:top w:val="single" w:sz="6" w:space="0" w:color="ABABAB"/>
                                                        <w:left w:val="single" w:sz="6" w:space="0" w:color="ABABAB"/>
                                                        <w:bottom w:val="none" w:sz="0" w:space="0" w:color="auto"/>
                                                        <w:right w:val="single" w:sz="6" w:space="0" w:color="ABABAB"/>
                                                      </w:divBdr>
                                                      <w:divsChild>
                                                        <w:div w:id="1086657809">
                                                          <w:marLeft w:val="0"/>
                                                          <w:marRight w:val="0"/>
                                                          <w:marTop w:val="0"/>
                                                          <w:marBottom w:val="0"/>
                                                          <w:divBdr>
                                                            <w:top w:val="none" w:sz="0" w:space="0" w:color="auto"/>
                                                            <w:left w:val="none" w:sz="0" w:space="0" w:color="auto"/>
                                                            <w:bottom w:val="none" w:sz="0" w:space="0" w:color="auto"/>
                                                            <w:right w:val="none" w:sz="0" w:space="0" w:color="auto"/>
                                                          </w:divBdr>
                                                          <w:divsChild>
                                                            <w:div w:id="1408453609">
                                                              <w:marLeft w:val="0"/>
                                                              <w:marRight w:val="0"/>
                                                              <w:marTop w:val="0"/>
                                                              <w:marBottom w:val="0"/>
                                                              <w:divBdr>
                                                                <w:top w:val="none" w:sz="0" w:space="0" w:color="auto"/>
                                                                <w:left w:val="none" w:sz="0" w:space="0" w:color="auto"/>
                                                                <w:bottom w:val="none" w:sz="0" w:space="0" w:color="auto"/>
                                                                <w:right w:val="none" w:sz="0" w:space="0" w:color="auto"/>
                                                              </w:divBdr>
                                                              <w:divsChild>
                                                                <w:div w:id="717702241">
                                                                  <w:marLeft w:val="0"/>
                                                                  <w:marRight w:val="0"/>
                                                                  <w:marTop w:val="0"/>
                                                                  <w:marBottom w:val="0"/>
                                                                  <w:divBdr>
                                                                    <w:top w:val="none" w:sz="0" w:space="0" w:color="auto"/>
                                                                    <w:left w:val="none" w:sz="0" w:space="0" w:color="auto"/>
                                                                    <w:bottom w:val="none" w:sz="0" w:space="0" w:color="auto"/>
                                                                    <w:right w:val="none" w:sz="0" w:space="0" w:color="auto"/>
                                                                  </w:divBdr>
                                                                  <w:divsChild>
                                                                    <w:div w:id="725298884">
                                                                      <w:marLeft w:val="0"/>
                                                                      <w:marRight w:val="0"/>
                                                                      <w:marTop w:val="0"/>
                                                                      <w:marBottom w:val="0"/>
                                                                      <w:divBdr>
                                                                        <w:top w:val="none" w:sz="0" w:space="0" w:color="auto"/>
                                                                        <w:left w:val="none" w:sz="0" w:space="0" w:color="auto"/>
                                                                        <w:bottom w:val="none" w:sz="0" w:space="0" w:color="auto"/>
                                                                        <w:right w:val="none" w:sz="0" w:space="0" w:color="auto"/>
                                                                      </w:divBdr>
                                                                      <w:divsChild>
                                                                        <w:div w:id="1309365388">
                                                                          <w:marLeft w:val="0"/>
                                                                          <w:marRight w:val="0"/>
                                                                          <w:marTop w:val="0"/>
                                                                          <w:marBottom w:val="0"/>
                                                                          <w:divBdr>
                                                                            <w:top w:val="none" w:sz="0" w:space="0" w:color="auto"/>
                                                                            <w:left w:val="none" w:sz="0" w:space="0" w:color="auto"/>
                                                                            <w:bottom w:val="none" w:sz="0" w:space="0" w:color="auto"/>
                                                                            <w:right w:val="none" w:sz="0" w:space="0" w:color="auto"/>
                                                                          </w:divBdr>
                                                                          <w:divsChild>
                                                                            <w:div w:id="945965727">
                                                                              <w:marLeft w:val="0"/>
                                                                              <w:marRight w:val="0"/>
                                                                              <w:marTop w:val="0"/>
                                                                              <w:marBottom w:val="0"/>
                                                                              <w:divBdr>
                                                                                <w:top w:val="none" w:sz="0" w:space="0" w:color="auto"/>
                                                                                <w:left w:val="none" w:sz="0" w:space="0" w:color="auto"/>
                                                                                <w:bottom w:val="none" w:sz="0" w:space="0" w:color="auto"/>
                                                                                <w:right w:val="none" w:sz="0" w:space="0" w:color="auto"/>
                                                                              </w:divBdr>
                                                                              <w:divsChild>
                                                                                <w:div w:id="123628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5605856">
      <w:bodyDiv w:val="1"/>
      <w:marLeft w:val="0"/>
      <w:marRight w:val="0"/>
      <w:marTop w:val="0"/>
      <w:marBottom w:val="0"/>
      <w:divBdr>
        <w:top w:val="none" w:sz="0" w:space="0" w:color="auto"/>
        <w:left w:val="none" w:sz="0" w:space="0" w:color="auto"/>
        <w:bottom w:val="none" w:sz="0" w:space="0" w:color="auto"/>
        <w:right w:val="none" w:sz="0" w:space="0" w:color="auto"/>
      </w:divBdr>
    </w:div>
    <w:div w:id="637491251">
      <w:bodyDiv w:val="1"/>
      <w:marLeft w:val="0"/>
      <w:marRight w:val="0"/>
      <w:marTop w:val="0"/>
      <w:marBottom w:val="0"/>
      <w:divBdr>
        <w:top w:val="none" w:sz="0" w:space="0" w:color="auto"/>
        <w:left w:val="none" w:sz="0" w:space="0" w:color="auto"/>
        <w:bottom w:val="none" w:sz="0" w:space="0" w:color="auto"/>
        <w:right w:val="none" w:sz="0" w:space="0" w:color="auto"/>
      </w:divBdr>
      <w:divsChild>
        <w:div w:id="1416241839">
          <w:marLeft w:val="0"/>
          <w:marRight w:val="0"/>
          <w:marTop w:val="0"/>
          <w:marBottom w:val="0"/>
          <w:divBdr>
            <w:top w:val="none" w:sz="0" w:space="0" w:color="auto"/>
            <w:left w:val="none" w:sz="0" w:space="0" w:color="auto"/>
            <w:bottom w:val="none" w:sz="0" w:space="0" w:color="auto"/>
            <w:right w:val="none" w:sz="0" w:space="0" w:color="auto"/>
          </w:divBdr>
          <w:divsChild>
            <w:div w:id="807817230">
              <w:marLeft w:val="0"/>
              <w:marRight w:val="0"/>
              <w:marTop w:val="0"/>
              <w:marBottom w:val="0"/>
              <w:divBdr>
                <w:top w:val="none" w:sz="0" w:space="0" w:color="auto"/>
                <w:left w:val="none" w:sz="0" w:space="0" w:color="auto"/>
                <w:bottom w:val="none" w:sz="0" w:space="0" w:color="auto"/>
                <w:right w:val="none" w:sz="0" w:space="0" w:color="auto"/>
              </w:divBdr>
              <w:divsChild>
                <w:div w:id="1590459031">
                  <w:marLeft w:val="0"/>
                  <w:marRight w:val="0"/>
                  <w:marTop w:val="0"/>
                  <w:marBottom w:val="0"/>
                  <w:divBdr>
                    <w:top w:val="none" w:sz="0" w:space="0" w:color="auto"/>
                    <w:left w:val="none" w:sz="0" w:space="0" w:color="auto"/>
                    <w:bottom w:val="none" w:sz="0" w:space="0" w:color="auto"/>
                    <w:right w:val="none" w:sz="0" w:space="0" w:color="auto"/>
                  </w:divBdr>
                  <w:divsChild>
                    <w:div w:id="727925177">
                      <w:marLeft w:val="0"/>
                      <w:marRight w:val="0"/>
                      <w:marTop w:val="0"/>
                      <w:marBottom w:val="0"/>
                      <w:divBdr>
                        <w:top w:val="none" w:sz="0" w:space="0" w:color="auto"/>
                        <w:left w:val="none" w:sz="0" w:space="0" w:color="auto"/>
                        <w:bottom w:val="none" w:sz="0" w:space="0" w:color="auto"/>
                        <w:right w:val="none" w:sz="0" w:space="0" w:color="auto"/>
                      </w:divBdr>
                      <w:divsChild>
                        <w:div w:id="551231982">
                          <w:marLeft w:val="0"/>
                          <w:marRight w:val="0"/>
                          <w:marTop w:val="0"/>
                          <w:marBottom w:val="0"/>
                          <w:divBdr>
                            <w:top w:val="none" w:sz="0" w:space="0" w:color="auto"/>
                            <w:left w:val="none" w:sz="0" w:space="0" w:color="auto"/>
                            <w:bottom w:val="none" w:sz="0" w:space="0" w:color="auto"/>
                            <w:right w:val="none" w:sz="0" w:space="0" w:color="auto"/>
                          </w:divBdr>
                          <w:divsChild>
                            <w:div w:id="1187057826">
                              <w:marLeft w:val="0"/>
                              <w:marRight w:val="0"/>
                              <w:marTop w:val="0"/>
                              <w:marBottom w:val="0"/>
                              <w:divBdr>
                                <w:top w:val="none" w:sz="0" w:space="0" w:color="auto"/>
                                <w:left w:val="none" w:sz="0" w:space="0" w:color="auto"/>
                                <w:bottom w:val="none" w:sz="0" w:space="0" w:color="auto"/>
                                <w:right w:val="none" w:sz="0" w:space="0" w:color="auto"/>
                              </w:divBdr>
                              <w:divsChild>
                                <w:div w:id="1736584634">
                                  <w:marLeft w:val="0"/>
                                  <w:marRight w:val="0"/>
                                  <w:marTop w:val="0"/>
                                  <w:marBottom w:val="0"/>
                                  <w:divBdr>
                                    <w:top w:val="none" w:sz="0" w:space="0" w:color="auto"/>
                                    <w:left w:val="none" w:sz="0" w:space="0" w:color="auto"/>
                                    <w:bottom w:val="none" w:sz="0" w:space="0" w:color="auto"/>
                                    <w:right w:val="none" w:sz="0" w:space="0" w:color="auto"/>
                                  </w:divBdr>
                                  <w:divsChild>
                                    <w:div w:id="370425339">
                                      <w:marLeft w:val="0"/>
                                      <w:marRight w:val="0"/>
                                      <w:marTop w:val="0"/>
                                      <w:marBottom w:val="0"/>
                                      <w:divBdr>
                                        <w:top w:val="none" w:sz="0" w:space="0" w:color="auto"/>
                                        <w:left w:val="none" w:sz="0" w:space="0" w:color="auto"/>
                                        <w:bottom w:val="none" w:sz="0" w:space="0" w:color="auto"/>
                                        <w:right w:val="none" w:sz="0" w:space="0" w:color="auto"/>
                                      </w:divBdr>
                                      <w:divsChild>
                                        <w:div w:id="1882401879">
                                          <w:marLeft w:val="0"/>
                                          <w:marRight w:val="0"/>
                                          <w:marTop w:val="0"/>
                                          <w:marBottom w:val="0"/>
                                          <w:divBdr>
                                            <w:top w:val="none" w:sz="0" w:space="0" w:color="auto"/>
                                            <w:left w:val="none" w:sz="0" w:space="0" w:color="auto"/>
                                            <w:bottom w:val="none" w:sz="0" w:space="0" w:color="auto"/>
                                            <w:right w:val="none" w:sz="0" w:space="0" w:color="auto"/>
                                          </w:divBdr>
                                          <w:divsChild>
                                            <w:div w:id="1048187137">
                                              <w:marLeft w:val="0"/>
                                              <w:marRight w:val="0"/>
                                              <w:marTop w:val="0"/>
                                              <w:marBottom w:val="0"/>
                                              <w:divBdr>
                                                <w:top w:val="none" w:sz="0" w:space="0" w:color="auto"/>
                                                <w:left w:val="none" w:sz="0" w:space="0" w:color="auto"/>
                                                <w:bottom w:val="none" w:sz="0" w:space="0" w:color="auto"/>
                                                <w:right w:val="none" w:sz="0" w:space="0" w:color="auto"/>
                                              </w:divBdr>
                                              <w:divsChild>
                                                <w:div w:id="1105273283">
                                                  <w:marLeft w:val="0"/>
                                                  <w:marRight w:val="0"/>
                                                  <w:marTop w:val="0"/>
                                                  <w:marBottom w:val="0"/>
                                                  <w:divBdr>
                                                    <w:top w:val="none" w:sz="0" w:space="0" w:color="auto"/>
                                                    <w:left w:val="none" w:sz="0" w:space="0" w:color="auto"/>
                                                    <w:bottom w:val="none" w:sz="0" w:space="0" w:color="auto"/>
                                                    <w:right w:val="none" w:sz="0" w:space="0" w:color="auto"/>
                                                  </w:divBdr>
                                                  <w:divsChild>
                                                    <w:div w:id="259024188">
                                                      <w:marLeft w:val="0"/>
                                                      <w:marRight w:val="0"/>
                                                      <w:marTop w:val="0"/>
                                                      <w:marBottom w:val="0"/>
                                                      <w:divBdr>
                                                        <w:top w:val="single" w:sz="6" w:space="0" w:color="ABABAB"/>
                                                        <w:left w:val="single" w:sz="6" w:space="0" w:color="ABABAB"/>
                                                        <w:bottom w:val="none" w:sz="0" w:space="0" w:color="auto"/>
                                                        <w:right w:val="single" w:sz="6" w:space="0" w:color="ABABAB"/>
                                                      </w:divBdr>
                                                      <w:divsChild>
                                                        <w:div w:id="1755542279">
                                                          <w:marLeft w:val="0"/>
                                                          <w:marRight w:val="0"/>
                                                          <w:marTop w:val="0"/>
                                                          <w:marBottom w:val="0"/>
                                                          <w:divBdr>
                                                            <w:top w:val="none" w:sz="0" w:space="0" w:color="auto"/>
                                                            <w:left w:val="none" w:sz="0" w:space="0" w:color="auto"/>
                                                            <w:bottom w:val="none" w:sz="0" w:space="0" w:color="auto"/>
                                                            <w:right w:val="none" w:sz="0" w:space="0" w:color="auto"/>
                                                          </w:divBdr>
                                                          <w:divsChild>
                                                            <w:div w:id="2007586608">
                                                              <w:marLeft w:val="0"/>
                                                              <w:marRight w:val="0"/>
                                                              <w:marTop w:val="0"/>
                                                              <w:marBottom w:val="0"/>
                                                              <w:divBdr>
                                                                <w:top w:val="none" w:sz="0" w:space="0" w:color="auto"/>
                                                                <w:left w:val="none" w:sz="0" w:space="0" w:color="auto"/>
                                                                <w:bottom w:val="none" w:sz="0" w:space="0" w:color="auto"/>
                                                                <w:right w:val="none" w:sz="0" w:space="0" w:color="auto"/>
                                                              </w:divBdr>
                                                              <w:divsChild>
                                                                <w:div w:id="1563759934">
                                                                  <w:marLeft w:val="0"/>
                                                                  <w:marRight w:val="0"/>
                                                                  <w:marTop w:val="0"/>
                                                                  <w:marBottom w:val="0"/>
                                                                  <w:divBdr>
                                                                    <w:top w:val="none" w:sz="0" w:space="0" w:color="auto"/>
                                                                    <w:left w:val="none" w:sz="0" w:space="0" w:color="auto"/>
                                                                    <w:bottom w:val="none" w:sz="0" w:space="0" w:color="auto"/>
                                                                    <w:right w:val="none" w:sz="0" w:space="0" w:color="auto"/>
                                                                  </w:divBdr>
                                                                  <w:divsChild>
                                                                    <w:div w:id="1295211992">
                                                                      <w:marLeft w:val="0"/>
                                                                      <w:marRight w:val="0"/>
                                                                      <w:marTop w:val="0"/>
                                                                      <w:marBottom w:val="0"/>
                                                                      <w:divBdr>
                                                                        <w:top w:val="none" w:sz="0" w:space="0" w:color="auto"/>
                                                                        <w:left w:val="none" w:sz="0" w:space="0" w:color="auto"/>
                                                                        <w:bottom w:val="none" w:sz="0" w:space="0" w:color="auto"/>
                                                                        <w:right w:val="none" w:sz="0" w:space="0" w:color="auto"/>
                                                                      </w:divBdr>
                                                                      <w:divsChild>
                                                                        <w:div w:id="1325161047">
                                                                          <w:marLeft w:val="0"/>
                                                                          <w:marRight w:val="0"/>
                                                                          <w:marTop w:val="0"/>
                                                                          <w:marBottom w:val="0"/>
                                                                          <w:divBdr>
                                                                            <w:top w:val="none" w:sz="0" w:space="0" w:color="auto"/>
                                                                            <w:left w:val="none" w:sz="0" w:space="0" w:color="auto"/>
                                                                            <w:bottom w:val="none" w:sz="0" w:space="0" w:color="auto"/>
                                                                            <w:right w:val="none" w:sz="0" w:space="0" w:color="auto"/>
                                                                          </w:divBdr>
                                                                          <w:divsChild>
                                                                            <w:div w:id="1291352281">
                                                                              <w:marLeft w:val="0"/>
                                                                              <w:marRight w:val="0"/>
                                                                              <w:marTop w:val="0"/>
                                                                              <w:marBottom w:val="0"/>
                                                                              <w:divBdr>
                                                                                <w:top w:val="none" w:sz="0" w:space="0" w:color="auto"/>
                                                                                <w:left w:val="none" w:sz="0" w:space="0" w:color="auto"/>
                                                                                <w:bottom w:val="none" w:sz="0" w:space="0" w:color="auto"/>
                                                                                <w:right w:val="none" w:sz="0" w:space="0" w:color="auto"/>
                                                                              </w:divBdr>
                                                                              <w:divsChild>
                                                                                <w:div w:id="12537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9553588">
      <w:bodyDiv w:val="1"/>
      <w:marLeft w:val="0"/>
      <w:marRight w:val="0"/>
      <w:marTop w:val="0"/>
      <w:marBottom w:val="0"/>
      <w:divBdr>
        <w:top w:val="none" w:sz="0" w:space="0" w:color="auto"/>
        <w:left w:val="none" w:sz="0" w:space="0" w:color="auto"/>
        <w:bottom w:val="none" w:sz="0" w:space="0" w:color="auto"/>
        <w:right w:val="none" w:sz="0" w:space="0" w:color="auto"/>
      </w:divBdr>
    </w:div>
    <w:div w:id="706952501">
      <w:bodyDiv w:val="1"/>
      <w:marLeft w:val="0"/>
      <w:marRight w:val="0"/>
      <w:marTop w:val="0"/>
      <w:marBottom w:val="0"/>
      <w:divBdr>
        <w:top w:val="none" w:sz="0" w:space="0" w:color="auto"/>
        <w:left w:val="none" w:sz="0" w:space="0" w:color="auto"/>
        <w:bottom w:val="none" w:sz="0" w:space="0" w:color="auto"/>
        <w:right w:val="none" w:sz="0" w:space="0" w:color="auto"/>
      </w:divBdr>
    </w:div>
    <w:div w:id="709063891">
      <w:bodyDiv w:val="1"/>
      <w:marLeft w:val="0"/>
      <w:marRight w:val="0"/>
      <w:marTop w:val="0"/>
      <w:marBottom w:val="0"/>
      <w:divBdr>
        <w:top w:val="none" w:sz="0" w:space="0" w:color="auto"/>
        <w:left w:val="none" w:sz="0" w:space="0" w:color="auto"/>
        <w:bottom w:val="none" w:sz="0" w:space="0" w:color="auto"/>
        <w:right w:val="none" w:sz="0" w:space="0" w:color="auto"/>
      </w:divBdr>
    </w:div>
    <w:div w:id="775757043">
      <w:bodyDiv w:val="1"/>
      <w:marLeft w:val="0"/>
      <w:marRight w:val="0"/>
      <w:marTop w:val="0"/>
      <w:marBottom w:val="0"/>
      <w:divBdr>
        <w:top w:val="none" w:sz="0" w:space="0" w:color="auto"/>
        <w:left w:val="none" w:sz="0" w:space="0" w:color="auto"/>
        <w:bottom w:val="none" w:sz="0" w:space="0" w:color="auto"/>
        <w:right w:val="none" w:sz="0" w:space="0" w:color="auto"/>
      </w:divBdr>
    </w:div>
    <w:div w:id="986394034">
      <w:bodyDiv w:val="1"/>
      <w:marLeft w:val="0"/>
      <w:marRight w:val="0"/>
      <w:marTop w:val="0"/>
      <w:marBottom w:val="0"/>
      <w:divBdr>
        <w:top w:val="none" w:sz="0" w:space="0" w:color="auto"/>
        <w:left w:val="none" w:sz="0" w:space="0" w:color="auto"/>
        <w:bottom w:val="none" w:sz="0" w:space="0" w:color="auto"/>
        <w:right w:val="none" w:sz="0" w:space="0" w:color="auto"/>
      </w:divBdr>
      <w:divsChild>
        <w:div w:id="395470817">
          <w:marLeft w:val="0"/>
          <w:marRight w:val="0"/>
          <w:marTop w:val="0"/>
          <w:marBottom w:val="0"/>
          <w:divBdr>
            <w:top w:val="none" w:sz="0" w:space="0" w:color="auto"/>
            <w:left w:val="none" w:sz="0" w:space="0" w:color="auto"/>
            <w:bottom w:val="none" w:sz="0" w:space="0" w:color="auto"/>
            <w:right w:val="none" w:sz="0" w:space="0" w:color="auto"/>
          </w:divBdr>
          <w:divsChild>
            <w:div w:id="736167887">
              <w:marLeft w:val="0"/>
              <w:marRight w:val="0"/>
              <w:marTop w:val="0"/>
              <w:marBottom w:val="0"/>
              <w:divBdr>
                <w:top w:val="none" w:sz="0" w:space="0" w:color="auto"/>
                <w:left w:val="none" w:sz="0" w:space="0" w:color="auto"/>
                <w:bottom w:val="none" w:sz="0" w:space="0" w:color="auto"/>
                <w:right w:val="none" w:sz="0" w:space="0" w:color="auto"/>
              </w:divBdr>
              <w:divsChild>
                <w:div w:id="1793135345">
                  <w:marLeft w:val="0"/>
                  <w:marRight w:val="0"/>
                  <w:marTop w:val="0"/>
                  <w:marBottom w:val="0"/>
                  <w:divBdr>
                    <w:top w:val="none" w:sz="0" w:space="0" w:color="auto"/>
                    <w:left w:val="none" w:sz="0" w:space="0" w:color="auto"/>
                    <w:bottom w:val="none" w:sz="0" w:space="0" w:color="auto"/>
                    <w:right w:val="none" w:sz="0" w:space="0" w:color="auto"/>
                  </w:divBdr>
                  <w:divsChild>
                    <w:div w:id="31927859">
                      <w:marLeft w:val="0"/>
                      <w:marRight w:val="0"/>
                      <w:marTop w:val="0"/>
                      <w:marBottom w:val="0"/>
                      <w:divBdr>
                        <w:top w:val="none" w:sz="0" w:space="0" w:color="auto"/>
                        <w:left w:val="none" w:sz="0" w:space="0" w:color="auto"/>
                        <w:bottom w:val="none" w:sz="0" w:space="0" w:color="auto"/>
                        <w:right w:val="none" w:sz="0" w:space="0" w:color="auto"/>
                      </w:divBdr>
                      <w:divsChild>
                        <w:div w:id="1599288981">
                          <w:marLeft w:val="0"/>
                          <w:marRight w:val="0"/>
                          <w:marTop w:val="0"/>
                          <w:marBottom w:val="0"/>
                          <w:divBdr>
                            <w:top w:val="none" w:sz="0" w:space="0" w:color="auto"/>
                            <w:left w:val="none" w:sz="0" w:space="0" w:color="auto"/>
                            <w:bottom w:val="none" w:sz="0" w:space="0" w:color="auto"/>
                            <w:right w:val="none" w:sz="0" w:space="0" w:color="auto"/>
                          </w:divBdr>
                          <w:divsChild>
                            <w:div w:id="2072073508">
                              <w:marLeft w:val="0"/>
                              <w:marRight w:val="0"/>
                              <w:marTop w:val="0"/>
                              <w:marBottom w:val="0"/>
                              <w:divBdr>
                                <w:top w:val="none" w:sz="0" w:space="0" w:color="auto"/>
                                <w:left w:val="none" w:sz="0" w:space="0" w:color="auto"/>
                                <w:bottom w:val="none" w:sz="0" w:space="0" w:color="auto"/>
                                <w:right w:val="none" w:sz="0" w:space="0" w:color="auto"/>
                              </w:divBdr>
                              <w:divsChild>
                                <w:div w:id="710960392">
                                  <w:marLeft w:val="0"/>
                                  <w:marRight w:val="0"/>
                                  <w:marTop w:val="0"/>
                                  <w:marBottom w:val="0"/>
                                  <w:divBdr>
                                    <w:top w:val="none" w:sz="0" w:space="0" w:color="auto"/>
                                    <w:left w:val="none" w:sz="0" w:space="0" w:color="auto"/>
                                    <w:bottom w:val="none" w:sz="0" w:space="0" w:color="auto"/>
                                    <w:right w:val="none" w:sz="0" w:space="0" w:color="auto"/>
                                  </w:divBdr>
                                  <w:divsChild>
                                    <w:div w:id="1060133592">
                                      <w:marLeft w:val="0"/>
                                      <w:marRight w:val="0"/>
                                      <w:marTop w:val="0"/>
                                      <w:marBottom w:val="0"/>
                                      <w:divBdr>
                                        <w:top w:val="none" w:sz="0" w:space="0" w:color="auto"/>
                                        <w:left w:val="none" w:sz="0" w:space="0" w:color="auto"/>
                                        <w:bottom w:val="none" w:sz="0" w:space="0" w:color="auto"/>
                                        <w:right w:val="none" w:sz="0" w:space="0" w:color="auto"/>
                                      </w:divBdr>
                                      <w:divsChild>
                                        <w:div w:id="1923175018">
                                          <w:marLeft w:val="0"/>
                                          <w:marRight w:val="0"/>
                                          <w:marTop w:val="0"/>
                                          <w:marBottom w:val="0"/>
                                          <w:divBdr>
                                            <w:top w:val="none" w:sz="0" w:space="0" w:color="auto"/>
                                            <w:left w:val="none" w:sz="0" w:space="0" w:color="auto"/>
                                            <w:bottom w:val="none" w:sz="0" w:space="0" w:color="auto"/>
                                            <w:right w:val="none" w:sz="0" w:space="0" w:color="auto"/>
                                          </w:divBdr>
                                          <w:divsChild>
                                            <w:div w:id="756177429">
                                              <w:marLeft w:val="0"/>
                                              <w:marRight w:val="0"/>
                                              <w:marTop w:val="0"/>
                                              <w:marBottom w:val="0"/>
                                              <w:divBdr>
                                                <w:top w:val="none" w:sz="0" w:space="0" w:color="auto"/>
                                                <w:left w:val="none" w:sz="0" w:space="0" w:color="auto"/>
                                                <w:bottom w:val="none" w:sz="0" w:space="0" w:color="auto"/>
                                                <w:right w:val="none" w:sz="0" w:space="0" w:color="auto"/>
                                              </w:divBdr>
                                              <w:divsChild>
                                                <w:div w:id="2072842759">
                                                  <w:marLeft w:val="0"/>
                                                  <w:marRight w:val="0"/>
                                                  <w:marTop w:val="0"/>
                                                  <w:marBottom w:val="0"/>
                                                  <w:divBdr>
                                                    <w:top w:val="none" w:sz="0" w:space="0" w:color="auto"/>
                                                    <w:left w:val="none" w:sz="0" w:space="0" w:color="auto"/>
                                                    <w:bottom w:val="none" w:sz="0" w:space="0" w:color="auto"/>
                                                    <w:right w:val="none" w:sz="0" w:space="0" w:color="auto"/>
                                                  </w:divBdr>
                                                  <w:divsChild>
                                                    <w:div w:id="1908102403">
                                                      <w:marLeft w:val="0"/>
                                                      <w:marRight w:val="0"/>
                                                      <w:marTop w:val="0"/>
                                                      <w:marBottom w:val="0"/>
                                                      <w:divBdr>
                                                        <w:top w:val="single" w:sz="6" w:space="0" w:color="ABABAB"/>
                                                        <w:left w:val="single" w:sz="6" w:space="0" w:color="ABABAB"/>
                                                        <w:bottom w:val="none" w:sz="0" w:space="0" w:color="auto"/>
                                                        <w:right w:val="single" w:sz="6" w:space="0" w:color="ABABAB"/>
                                                      </w:divBdr>
                                                      <w:divsChild>
                                                        <w:div w:id="1900364961">
                                                          <w:marLeft w:val="0"/>
                                                          <w:marRight w:val="0"/>
                                                          <w:marTop w:val="0"/>
                                                          <w:marBottom w:val="0"/>
                                                          <w:divBdr>
                                                            <w:top w:val="none" w:sz="0" w:space="0" w:color="auto"/>
                                                            <w:left w:val="none" w:sz="0" w:space="0" w:color="auto"/>
                                                            <w:bottom w:val="none" w:sz="0" w:space="0" w:color="auto"/>
                                                            <w:right w:val="none" w:sz="0" w:space="0" w:color="auto"/>
                                                          </w:divBdr>
                                                          <w:divsChild>
                                                            <w:div w:id="1475609276">
                                                              <w:marLeft w:val="0"/>
                                                              <w:marRight w:val="0"/>
                                                              <w:marTop w:val="0"/>
                                                              <w:marBottom w:val="0"/>
                                                              <w:divBdr>
                                                                <w:top w:val="none" w:sz="0" w:space="0" w:color="auto"/>
                                                                <w:left w:val="none" w:sz="0" w:space="0" w:color="auto"/>
                                                                <w:bottom w:val="none" w:sz="0" w:space="0" w:color="auto"/>
                                                                <w:right w:val="none" w:sz="0" w:space="0" w:color="auto"/>
                                                              </w:divBdr>
                                                              <w:divsChild>
                                                                <w:div w:id="1088622442">
                                                                  <w:marLeft w:val="0"/>
                                                                  <w:marRight w:val="0"/>
                                                                  <w:marTop w:val="0"/>
                                                                  <w:marBottom w:val="0"/>
                                                                  <w:divBdr>
                                                                    <w:top w:val="none" w:sz="0" w:space="0" w:color="auto"/>
                                                                    <w:left w:val="none" w:sz="0" w:space="0" w:color="auto"/>
                                                                    <w:bottom w:val="none" w:sz="0" w:space="0" w:color="auto"/>
                                                                    <w:right w:val="none" w:sz="0" w:space="0" w:color="auto"/>
                                                                  </w:divBdr>
                                                                  <w:divsChild>
                                                                    <w:div w:id="894662139">
                                                                      <w:marLeft w:val="0"/>
                                                                      <w:marRight w:val="0"/>
                                                                      <w:marTop w:val="0"/>
                                                                      <w:marBottom w:val="0"/>
                                                                      <w:divBdr>
                                                                        <w:top w:val="none" w:sz="0" w:space="0" w:color="auto"/>
                                                                        <w:left w:val="none" w:sz="0" w:space="0" w:color="auto"/>
                                                                        <w:bottom w:val="none" w:sz="0" w:space="0" w:color="auto"/>
                                                                        <w:right w:val="none" w:sz="0" w:space="0" w:color="auto"/>
                                                                      </w:divBdr>
                                                                      <w:divsChild>
                                                                        <w:div w:id="2020962790">
                                                                          <w:marLeft w:val="0"/>
                                                                          <w:marRight w:val="0"/>
                                                                          <w:marTop w:val="0"/>
                                                                          <w:marBottom w:val="0"/>
                                                                          <w:divBdr>
                                                                            <w:top w:val="none" w:sz="0" w:space="0" w:color="auto"/>
                                                                            <w:left w:val="none" w:sz="0" w:space="0" w:color="auto"/>
                                                                            <w:bottom w:val="none" w:sz="0" w:space="0" w:color="auto"/>
                                                                            <w:right w:val="none" w:sz="0" w:space="0" w:color="auto"/>
                                                                          </w:divBdr>
                                                                          <w:divsChild>
                                                                            <w:div w:id="596402506">
                                                                              <w:marLeft w:val="0"/>
                                                                              <w:marRight w:val="0"/>
                                                                              <w:marTop w:val="0"/>
                                                                              <w:marBottom w:val="0"/>
                                                                              <w:divBdr>
                                                                                <w:top w:val="none" w:sz="0" w:space="0" w:color="auto"/>
                                                                                <w:left w:val="none" w:sz="0" w:space="0" w:color="auto"/>
                                                                                <w:bottom w:val="none" w:sz="0" w:space="0" w:color="auto"/>
                                                                                <w:right w:val="none" w:sz="0" w:space="0" w:color="auto"/>
                                                                              </w:divBdr>
                                                                              <w:divsChild>
                                                                                <w:div w:id="55909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28140952">
      <w:bodyDiv w:val="1"/>
      <w:marLeft w:val="0"/>
      <w:marRight w:val="0"/>
      <w:marTop w:val="0"/>
      <w:marBottom w:val="0"/>
      <w:divBdr>
        <w:top w:val="none" w:sz="0" w:space="0" w:color="auto"/>
        <w:left w:val="none" w:sz="0" w:space="0" w:color="auto"/>
        <w:bottom w:val="none" w:sz="0" w:space="0" w:color="auto"/>
        <w:right w:val="none" w:sz="0" w:space="0" w:color="auto"/>
      </w:divBdr>
    </w:div>
    <w:div w:id="1031954308">
      <w:bodyDiv w:val="1"/>
      <w:marLeft w:val="0"/>
      <w:marRight w:val="0"/>
      <w:marTop w:val="0"/>
      <w:marBottom w:val="0"/>
      <w:divBdr>
        <w:top w:val="none" w:sz="0" w:space="0" w:color="auto"/>
        <w:left w:val="none" w:sz="0" w:space="0" w:color="auto"/>
        <w:bottom w:val="none" w:sz="0" w:space="0" w:color="auto"/>
        <w:right w:val="none" w:sz="0" w:space="0" w:color="auto"/>
      </w:divBdr>
    </w:div>
    <w:div w:id="1041319432">
      <w:bodyDiv w:val="1"/>
      <w:marLeft w:val="0"/>
      <w:marRight w:val="0"/>
      <w:marTop w:val="0"/>
      <w:marBottom w:val="0"/>
      <w:divBdr>
        <w:top w:val="none" w:sz="0" w:space="0" w:color="auto"/>
        <w:left w:val="none" w:sz="0" w:space="0" w:color="auto"/>
        <w:bottom w:val="none" w:sz="0" w:space="0" w:color="auto"/>
        <w:right w:val="none" w:sz="0" w:space="0" w:color="auto"/>
      </w:divBdr>
    </w:div>
    <w:div w:id="1070083538">
      <w:bodyDiv w:val="1"/>
      <w:marLeft w:val="0"/>
      <w:marRight w:val="0"/>
      <w:marTop w:val="0"/>
      <w:marBottom w:val="0"/>
      <w:divBdr>
        <w:top w:val="none" w:sz="0" w:space="0" w:color="auto"/>
        <w:left w:val="none" w:sz="0" w:space="0" w:color="auto"/>
        <w:bottom w:val="none" w:sz="0" w:space="0" w:color="auto"/>
        <w:right w:val="none" w:sz="0" w:space="0" w:color="auto"/>
      </w:divBdr>
      <w:divsChild>
        <w:div w:id="129399611">
          <w:marLeft w:val="0"/>
          <w:marRight w:val="0"/>
          <w:marTop w:val="0"/>
          <w:marBottom w:val="0"/>
          <w:divBdr>
            <w:top w:val="none" w:sz="0" w:space="0" w:color="auto"/>
            <w:left w:val="none" w:sz="0" w:space="0" w:color="auto"/>
            <w:bottom w:val="none" w:sz="0" w:space="0" w:color="auto"/>
            <w:right w:val="none" w:sz="0" w:space="0" w:color="auto"/>
          </w:divBdr>
          <w:divsChild>
            <w:div w:id="66074201">
              <w:marLeft w:val="0"/>
              <w:marRight w:val="0"/>
              <w:marTop w:val="0"/>
              <w:marBottom w:val="0"/>
              <w:divBdr>
                <w:top w:val="none" w:sz="0" w:space="0" w:color="auto"/>
                <w:left w:val="none" w:sz="0" w:space="0" w:color="auto"/>
                <w:bottom w:val="none" w:sz="0" w:space="0" w:color="auto"/>
                <w:right w:val="none" w:sz="0" w:space="0" w:color="auto"/>
              </w:divBdr>
              <w:divsChild>
                <w:div w:id="1629042825">
                  <w:marLeft w:val="0"/>
                  <w:marRight w:val="0"/>
                  <w:marTop w:val="0"/>
                  <w:marBottom w:val="0"/>
                  <w:divBdr>
                    <w:top w:val="none" w:sz="0" w:space="0" w:color="auto"/>
                    <w:left w:val="none" w:sz="0" w:space="0" w:color="auto"/>
                    <w:bottom w:val="none" w:sz="0" w:space="0" w:color="auto"/>
                    <w:right w:val="none" w:sz="0" w:space="0" w:color="auto"/>
                  </w:divBdr>
                  <w:divsChild>
                    <w:div w:id="1321231550">
                      <w:marLeft w:val="0"/>
                      <w:marRight w:val="0"/>
                      <w:marTop w:val="0"/>
                      <w:marBottom w:val="0"/>
                      <w:divBdr>
                        <w:top w:val="none" w:sz="0" w:space="0" w:color="auto"/>
                        <w:left w:val="none" w:sz="0" w:space="0" w:color="auto"/>
                        <w:bottom w:val="none" w:sz="0" w:space="0" w:color="auto"/>
                        <w:right w:val="none" w:sz="0" w:space="0" w:color="auto"/>
                      </w:divBdr>
                      <w:divsChild>
                        <w:div w:id="1997680378">
                          <w:marLeft w:val="0"/>
                          <w:marRight w:val="0"/>
                          <w:marTop w:val="0"/>
                          <w:marBottom w:val="0"/>
                          <w:divBdr>
                            <w:top w:val="none" w:sz="0" w:space="0" w:color="auto"/>
                            <w:left w:val="none" w:sz="0" w:space="0" w:color="auto"/>
                            <w:bottom w:val="none" w:sz="0" w:space="0" w:color="auto"/>
                            <w:right w:val="none" w:sz="0" w:space="0" w:color="auto"/>
                          </w:divBdr>
                          <w:divsChild>
                            <w:div w:id="108668700">
                              <w:marLeft w:val="0"/>
                              <w:marRight w:val="0"/>
                              <w:marTop w:val="0"/>
                              <w:marBottom w:val="0"/>
                              <w:divBdr>
                                <w:top w:val="none" w:sz="0" w:space="0" w:color="auto"/>
                                <w:left w:val="none" w:sz="0" w:space="0" w:color="auto"/>
                                <w:bottom w:val="none" w:sz="0" w:space="0" w:color="auto"/>
                                <w:right w:val="none" w:sz="0" w:space="0" w:color="auto"/>
                              </w:divBdr>
                              <w:divsChild>
                                <w:div w:id="1747218864">
                                  <w:marLeft w:val="0"/>
                                  <w:marRight w:val="0"/>
                                  <w:marTop w:val="0"/>
                                  <w:marBottom w:val="0"/>
                                  <w:divBdr>
                                    <w:top w:val="none" w:sz="0" w:space="0" w:color="auto"/>
                                    <w:left w:val="none" w:sz="0" w:space="0" w:color="auto"/>
                                    <w:bottom w:val="none" w:sz="0" w:space="0" w:color="auto"/>
                                    <w:right w:val="none" w:sz="0" w:space="0" w:color="auto"/>
                                  </w:divBdr>
                                  <w:divsChild>
                                    <w:div w:id="1402287694">
                                      <w:marLeft w:val="0"/>
                                      <w:marRight w:val="0"/>
                                      <w:marTop w:val="0"/>
                                      <w:marBottom w:val="0"/>
                                      <w:divBdr>
                                        <w:top w:val="none" w:sz="0" w:space="0" w:color="auto"/>
                                        <w:left w:val="none" w:sz="0" w:space="0" w:color="auto"/>
                                        <w:bottom w:val="none" w:sz="0" w:space="0" w:color="auto"/>
                                        <w:right w:val="none" w:sz="0" w:space="0" w:color="auto"/>
                                      </w:divBdr>
                                      <w:divsChild>
                                        <w:div w:id="198588115">
                                          <w:marLeft w:val="0"/>
                                          <w:marRight w:val="0"/>
                                          <w:marTop w:val="0"/>
                                          <w:marBottom w:val="0"/>
                                          <w:divBdr>
                                            <w:top w:val="none" w:sz="0" w:space="0" w:color="auto"/>
                                            <w:left w:val="none" w:sz="0" w:space="0" w:color="auto"/>
                                            <w:bottom w:val="none" w:sz="0" w:space="0" w:color="auto"/>
                                            <w:right w:val="none" w:sz="0" w:space="0" w:color="auto"/>
                                          </w:divBdr>
                                          <w:divsChild>
                                            <w:div w:id="1145586997">
                                              <w:marLeft w:val="0"/>
                                              <w:marRight w:val="0"/>
                                              <w:marTop w:val="0"/>
                                              <w:marBottom w:val="0"/>
                                              <w:divBdr>
                                                <w:top w:val="none" w:sz="0" w:space="0" w:color="auto"/>
                                                <w:left w:val="none" w:sz="0" w:space="0" w:color="auto"/>
                                                <w:bottom w:val="none" w:sz="0" w:space="0" w:color="auto"/>
                                                <w:right w:val="none" w:sz="0" w:space="0" w:color="auto"/>
                                              </w:divBdr>
                                              <w:divsChild>
                                                <w:div w:id="1456876032">
                                                  <w:marLeft w:val="0"/>
                                                  <w:marRight w:val="0"/>
                                                  <w:marTop w:val="0"/>
                                                  <w:marBottom w:val="0"/>
                                                  <w:divBdr>
                                                    <w:top w:val="none" w:sz="0" w:space="0" w:color="auto"/>
                                                    <w:left w:val="none" w:sz="0" w:space="0" w:color="auto"/>
                                                    <w:bottom w:val="none" w:sz="0" w:space="0" w:color="auto"/>
                                                    <w:right w:val="none" w:sz="0" w:space="0" w:color="auto"/>
                                                  </w:divBdr>
                                                  <w:divsChild>
                                                    <w:div w:id="825785245">
                                                      <w:marLeft w:val="0"/>
                                                      <w:marRight w:val="0"/>
                                                      <w:marTop w:val="0"/>
                                                      <w:marBottom w:val="0"/>
                                                      <w:divBdr>
                                                        <w:top w:val="single" w:sz="6" w:space="0" w:color="ABABAB"/>
                                                        <w:left w:val="single" w:sz="6" w:space="0" w:color="ABABAB"/>
                                                        <w:bottom w:val="none" w:sz="0" w:space="0" w:color="auto"/>
                                                        <w:right w:val="single" w:sz="6" w:space="0" w:color="ABABAB"/>
                                                      </w:divBdr>
                                                      <w:divsChild>
                                                        <w:div w:id="1801341435">
                                                          <w:marLeft w:val="0"/>
                                                          <w:marRight w:val="0"/>
                                                          <w:marTop w:val="0"/>
                                                          <w:marBottom w:val="0"/>
                                                          <w:divBdr>
                                                            <w:top w:val="none" w:sz="0" w:space="0" w:color="auto"/>
                                                            <w:left w:val="none" w:sz="0" w:space="0" w:color="auto"/>
                                                            <w:bottom w:val="none" w:sz="0" w:space="0" w:color="auto"/>
                                                            <w:right w:val="none" w:sz="0" w:space="0" w:color="auto"/>
                                                          </w:divBdr>
                                                          <w:divsChild>
                                                            <w:div w:id="1091318667">
                                                              <w:marLeft w:val="0"/>
                                                              <w:marRight w:val="0"/>
                                                              <w:marTop w:val="0"/>
                                                              <w:marBottom w:val="0"/>
                                                              <w:divBdr>
                                                                <w:top w:val="none" w:sz="0" w:space="0" w:color="auto"/>
                                                                <w:left w:val="none" w:sz="0" w:space="0" w:color="auto"/>
                                                                <w:bottom w:val="none" w:sz="0" w:space="0" w:color="auto"/>
                                                                <w:right w:val="none" w:sz="0" w:space="0" w:color="auto"/>
                                                              </w:divBdr>
                                                              <w:divsChild>
                                                                <w:div w:id="1767456597">
                                                                  <w:marLeft w:val="0"/>
                                                                  <w:marRight w:val="0"/>
                                                                  <w:marTop w:val="0"/>
                                                                  <w:marBottom w:val="0"/>
                                                                  <w:divBdr>
                                                                    <w:top w:val="none" w:sz="0" w:space="0" w:color="auto"/>
                                                                    <w:left w:val="none" w:sz="0" w:space="0" w:color="auto"/>
                                                                    <w:bottom w:val="none" w:sz="0" w:space="0" w:color="auto"/>
                                                                    <w:right w:val="none" w:sz="0" w:space="0" w:color="auto"/>
                                                                  </w:divBdr>
                                                                  <w:divsChild>
                                                                    <w:div w:id="1704357111">
                                                                      <w:marLeft w:val="0"/>
                                                                      <w:marRight w:val="0"/>
                                                                      <w:marTop w:val="0"/>
                                                                      <w:marBottom w:val="0"/>
                                                                      <w:divBdr>
                                                                        <w:top w:val="none" w:sz="0" w:space="0" w:color="auto"/>
                                                                        <w:left w:val="none" w:sz="0" w:space="0" w:color="auto"/>
                                                                        <w:bottom w:val="none" w:sz="0" w:space="0" w:color="auto"/>
                                                                        <w:right w:val="none" w:sz="0" w:space="0" w:color="auto"/>
                                                                      </w:divBdr>
                                                                      <w:divsChild>
                                                                        <w:div w:id="175274032">
                                                                          <w:marLeft w:val="0"/>
                                                                          <w:marRight w:val="0"/>
                                                                          <w:marTop w:val="0"/>
                                                                          <w:marBottom w:val="0"/>
                                                                          <w:divBdr>
                                                                            <w:top w:val="none" w:sz="0" w:space="0" w:color="auto"/>
                                                                            <w:left w:val="none" w:sz="0" w:space="0" w:color="auto"/>
                                                                            <w:bottom w:val="none" w:sz="0" w:space="0" w:color="auto"/>
                                                                            <w:right w:val="none" w:sz="0" w:space="0" w:color="auto"/>
                                                                          </w:divBdr>
                                                                          <w:divsChild>
                                                                            <w:div w:id="45494716">
                                                                              <w:marLeft w:val="0"/>
                                                                              <w:marRight w:val="0"/>
                                                                              <w:marTop w:val="0"/>
                                                                              <w:marBottom w:val="0"/>
                                                                              <w:divBdr>
                                                                                <w:top w:val="none" w:sz="0" w:space="0" w:color="auto"/>
                                                                                <w:left w:val="none" w:sz="0" w:space="0" w:color="auto"/>
                                                                                <w:bottom w:val="none" w:sz="0" w:space="0" w:color="auto"/>
                                                                                <w:right w:val="none" w:sz="0" w:space="0" w:color="auto"/>
                                                                              </w:divBdr>
                                                                              <w:divsChild>
                                                                                <w:div w:id="175775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2920046">
      <w:bodyDiv w:val="1"/>
      <w:marLeft w:val="0"/>
      <w:marRight w:val="0"/>
      <w:marTop w:val="0"/>
      <w:marBottom w:val="0"/>
      <w:divBdr>
        <w:top w:val="none" w:sz="0" w:space="0" w:color="auto"/>
        <w:left w:val="none" w:sz="0" w:space="0" w:color="auto"/>
        <w:bottom w:val="none" w:sz="0" w:space="0" w:color="auto"/>
        <w:right w:val="none" w:sz="0" w:space="0" w:color="auto"/>
      </w:divBdr>
    </w:div>
    <w:div w:id="1172523907">
      <w:bodyDiv w:val="1"/>
      <w:marLeft w:val="0"/>
      <w:marRight w:val="0"/>
      <w:marTop w:val="0"/>
      <w:marBottom w:val="0"/>
      <w:divBdr>
        <w:top w:val="none" w:sz="0" w:space="0" w:color="auto"/>
        <w:left w:val="none" w:sz="0" w:space="0" w:color="auto"/>
        <w:bottom w:val="none" w:sz="0" w:space="0" w:color="auto"/>
        <w:right w:val="none" w:sz="0" w:space="0" w:color="auto"/>
      </w:divBdr>
    </w:div>
    <w:div w:id="1282566998">
      <w:bodyDiv w:val="1"/>
      <w:marLeft w:val="0"/>
      <w:marRight w:val="0"/>
      <w:marTop w:val="0"/>
      <w:marBottom w:val="0"/>
      <w:divBdr>
        <w:top w:val="none" w:sz="0" w:space="0" w:color="auto"/>
        <w:left w:val="none" w:sz="0" w:space="0" w:color="auto"/>
        <w:bottom w:val="none" w:sz="0" w:space="0" w:color="auto"/>
        <w:right w:val="none" w:sz="0" w:space="0" w:color="auto"/>
      </w:divBdr>
      <w:divsChild>
        <w:div w:id="46416305">
          <w:marLeft w:val="0"/>
          <w:marRight w:val="0"/>
          <w:marTop w:val="0"/>
          <w:marBottom w:val="0"/>
          <w:divBdr>
            <w:top w:val="none" w:sz="0" w:space="0" w:color="auto"/>
            <w:left w:val="none" w:sz="0" w:space="0" w:color="auto"/>
            <w:bottom w:val="none" w:sz="0" w:space="0" w:color="auto"/>
            <w:right w:val="none" w:sz="0" w:space="0" w:color="auto"/>
          </w:divBdr>
          <w:divsChild>
            <w:div w:id="174420456">
              <w:marLeft w:val="0"/>
              <w:marRight w:val="0"/>
              <w:marTop w:val="0"/>
              <w:marBottom w:val="0"/>
              <w:divBdr>
                <w:top w:val="none" w:sz="0" w:space="0" w:color="auto"/>
                <w:left w:val="none" w:sz="0" w:space="0" w:color="auto"/>
                <w:bottom w:val="none" w:sz="0" w:space="0" w:color="auto"/>
                <w:right w:val="none" w:sz="0" w:space="0" w:color="auto"/>
              </w:divBdr>
              <w:divsChild>
                <w:div w:id="1727410677">
                  <w:marLeft w:val="0"/>
                  <w:marRight w:val="0"/>
                  <w:marTop w:val="0"/>
                  <w:marBottom w:val="0"/>
                  <w:divBdr>
                    <w:top w:val="none" w:sz="0" w:space="0" w:color="auto"/>
                    <w:left w:val="none" w:sz="0" w:space="0" w:color="auto"/>
                    <w:bottom w:val="none" w:sz="0" w:space="0" w:color="auto"/>
                    <w:right w:val="none" w:sz="0" w:space="0" w:color="auto"/>
                  </w:divBdr>
                  <w:divsChild>
                    <w:div w:id="1873684072">
                      <w:marLeft w:val="0"/>
                      <w:marRight w:val="0"/>
                      <w:marTop w:val="0"/>
                      <w:marBottom w:val="0"/>
                      <w:divBdr>
                        <w:top w:val="none" w:sz="0" w:space="0" w:color="auto"/>
                        <w:left w:val="none" w:sz="0" w:space="0" w:color="auto"/>
                        <w:bottom w:val="none" w:sz="0" w:space="0" w:color="auto"/>
                        <w:right w:val="none" w:sz="0" w:space="0" w:color="auto"/>
                      </w:divBdr>
                      <w:divsChild>
                        <w:div w:id="9643243">
                          <w:marLeft w:val="0"/>
                          <w:marRight w:val="0"/>
                          <w:marTop w:val="0"/>
                          <w:marBottom w:val="0"/>
                          <w:divBdr>
                            <w:top w:val="none" w:sz="0" w:space="0" w:color="auto"/>
                            <w:left w:val="none" w:sz="0" w:space="0" w:color="auto"/>
                            <w:bottom w:val="none" w:sz="0" w:space="0" w:color="auto"/>
                            <w:right w:val="none" w:sz="0" w:space="0" w:color="auto"/>
                          </w:divBdr>
                          <w:divsChild>
                            <w:div w:id="1564556899">
                              <w:marLeft w:val="0"/>
                              <w:marRight w:val="0"/>
                              <w:marTop w:val="0"/>
                              <w:marBottom w:val="0"/>
                              <w:divBdr>
                                <w:top w:val="none" w:sz="0" w:space="0" w:color="auto"/>
                                <w:left w:val="none" w:sz="0" w:space="0" w:color="auto"/>
                                <w:bottom w:val="none" w:sz="0" w:space="0" w:color="auto"/>
                                <w:right w:val="none" w:sz="0" w:space="0" w:color="auto"/>
                              </w:divBdr>
                              <w:divsChild>
                                <w:div w:id="272787536">
                                  <w:marLeft w:val="0"/>
                                  <w:marRight w:val="0"/>
                                  <w:marTop w:val="0"/>
                                  <w:marBottom w:val="0"/>
                                  <w:divBdr>
                                    <w:top w:val="none" w:sz="0" w:space="0" w:color="auto"/>
                                    <w:left w:val="none" w:sz="0" w:space="0" w:color="auto"/>
                                    <w:bottom w:val="none" w:sz="0" w:space="0" w:color="auto"/>
                                    <w:right w:val="none" w:sz="0" w:space="0" w:color="auto"/>
                                  </w:divBdr>
                                  <w:divsChild>
                                    <w:div w:id="135419303">
                                      <w:marLeft w:val="0"/>
                                      <w:marRight w:val="0"/>
                                      <w:marTop w:val="0"/>
                                      <w:marBottom w:val="0"/>
                                      <w:divBdr>
                                        <w:top w:val="none" w:sz="0" w:space="0" w:color="auto"/>
                                        <w:left w:val="none" w:sz="0" w:space="0" w:color="auto"/>
                                        <w:bottom w:val="none" w:sz="0" w:space="0" w:color="auto"/>
                                        <w:right w:val="none" w:sz="0" w:space="0" w:color="auto"/>
                                      </w:divBdr>
                                      <w:divsChild>
                                        <w:div w:id="347367461">
                                          <w:marLeft w:val="0"/>
                                          <w:marRight w:val="0"/>
                                          <w:marTop w:val="0"/>
                                          <w:marBottom w:val="0"/>
                                          <w:divBdr>
                                            <w:top w:val="none" w:sz="0" w:space="0" w:color="auto"/>
                                            <w:left w:val="none" w:sz="0" w:space="0" w:color="auto"/>
                                            <w:bottom w:val="none" w:sz="0" w:space="0" w:color="auto"/>
                                            <w:right w:val="none" w:sz="0" w:space="0" w:color="auto"/>
                                          </w:divBdr>
                                          <w:divsChild>
                                            <w:div w:id="623466402">
                                              <w:marLeft w:val="0"/>
                                              <w:marRight w:val="0"/>
                                              <w:marTop w:val="0"/>
                                              <w:marBottom w:val="0"/>
                                              <w:divBdr>
                                                <w:top w:val="none" w:sz="0" w:space="0" w:color="auto"/>
                                                <w:left w:val="none" w:sz="0" w:space="0" w:color="auto"/>
                                                <w:bottom w:val="none" w:sz="0" w:space="0" w:color="auto"/>
                                                <w:right w:val="none" w:sz="0" w:space="0" w:color="auto"/>
                                              </w:divBdr>
                                              <w:divsChild>
                                                <w:div w:id="1181822149">
                                                  <w:marLeft w:val="0"/>
                                                  <w:marRight w:val="0"/>
                                                  <w:marTop w:val="0"/>
                                                  <w:marBottom w:val="0"/>
                                                  <w:divBdr>
                                                    <w:top w:val="none" w:sz="0" w:space="0" w:color="auto"/>
                                                    <w:left w:val="none" w:sz="0" w:space="0" w:color="auto"/>
                                                    <w:bottom w:val="none" w:sz="0" w:space="0" w:color="auto"/>
                                                    <w:right w:val="none" w:sz="0" w:space="0" w:color="auto"/>
                                                  </w:divBdr>
                                                  <w:divsChild>
                                                    <w:div w:id="495074620">
                                                      <w:marLeft w:val="0"/>
                                                      <w:marRight w:val="0"/>
                                                      <w:marTop w:val="0"/>
                                                      <w:marBottom w:val="0"/>
                                                      <w:divBdr>
                                                        <w:top w:val="single" w:sz="6" w:space="0" w:color="ABABAB"/>
                                                        <w:left w:val="single" w:sz="6" w:space="0" w:color="ABABAB"/>
                                                        <w:bottom w:val="none" w:sz="0" w:space="0" w:color="auto"/>
                                                        <w:right w:val="single" w:sz="6" w:space="0" w:color="ABABAB"/>
                                                      </w:divBdr>
                                                      <w:divsChild>
                                                        <w:div w:id="1975326802">
                                                          <w:marLeft w:val="0"/>
                                                          <w:marRight w:val="0"/>
                                                          <w:marTop w:val="0"/>
                                                          <w:marBottom w:val="0"/>
                                                          <w:divBdr>
                                                            <w:top w:val="none" w:sz="0" w:space="0" w:color="auto"/>
                                                            <w:left w:val="none" w:sz="0" w:space="0" w:color="auto"/>
                                                            <w:bottom w:val="none" w:sz="0" w:space="0" w:color="auto"/>
                                                            <w:right w:val="none" w:sz="0" w:space="0" w:color="auto"/>
                                                          </w:divBdr>
                                                          <w:divsChild>
                                                            <w:div w:id="1085759821">
                                                              <w:marLeft w:val="0"/>
                                                              <w:marRight w:val="0"/>
                                                              <w:marTop w:val="0"/>
                                                              <w:marBottom w:val="0"/>
                                                              <w:divBdr>
                                                                <w:top w:val="none" w:sz="0" w:space="0" w:color="auto"/>
                                                                <w:left w:val="none" w:sz="0" w:space="0" w:color="auto"/>
                                                                <w:bottom w:val="none" w:sz="0" w:space="0" w:color="auto"/>
                                                                <w:right w:val="none" w:sz="0" w:space="0" w:color="auto"/>
                                                              </w:divBdr>
                                                              <w:divsChild>
                                                                <w:div w:id="1207790828">
                                                                  <w:marLeft w:val="0"/>
                                                                  <w:marRight w:val="0"/>
                                                                  <w:marTop w:val="0"/>
                                                                  <w:marBottom w:val="0"/>
                                                                  <w:divBdr>
                                                                    <w:top w:val="none" w:sz="0" w:space="0" w:color="auto"/>
                                                                    <w:left w:val="none" w:sz="0" w:space="0" w:color="auto"/>
                                                                    <w:bottom w:val="none" w:sz="0" w:space="0" w:color="auto"/>
                                                                    <w:right w:val="none" w:sz="0" w:space="0" w:color="auto"/>
                                                                  </w:divBdr>
                                                                  <w:divsChild>
                                                                    <w:div w:id="1978412454">
                                                                      <w:marLeft w:val="0"/>
                                                                      <w:marRight w:val="0"/>
                                                                      <w:marTop w:val="0"/>
                                                                      <w:marBottom w:val="0"/>
                                                                      <w:divBdr>
                                                                        <w:top w:val="none" w:sz="0" w:space="0" w:color="auto"/>
                                                                        <w:left w:val="none" w:sz="0" w:space="0" w:color="auto"/>
                                                                        <w:bottom w:val="none" w:sz="0" w:space="0" w:color="auto"/>
                                                                        <w:right w:val="none" w:sz="0" w:space="0" w:color="auto"/>
                                                                      </w:divBdr>
                                                                      <w:divsChild>
                                                                        <w:div w:id="1257326907">
                                                                          <w:marLeft w:val="0"/>
                                                                          <w:marRight w:val="0"/>
                                                                          <w:marTop w:val="0"/>
                                                                          <w:marBottom w:val="0"/>
                                                                          <w:divBdr>
                                                                            <w:top w:val="none" w:sz="0" w:space="0" w:color="auto"/>
                                                                            <w:left w:val="none" w:sz="0" w:space="0" w:color="auto"/>
                                                                            <w:bottom w:val="none" w:sz="0" w:space="0" w:color="auto"/>
                                                                            <w:right w:val="none" w:sz="0" w:space="0" w:color="auto"/>
                                                                          </w:divBdr>
                                                                          <w:divsChild>
                                                                            <w:div w:id="1162698237">
                                                                              <w:marLeft w:val="0"/>
                                                                              <w:marRight w:val="0"/>
                                                                              <w:marTop w:val="0"/>
                                                                              <w:marBottom w:val="0"/>
                                                                              <w:divBdr>
                                                                                <w:top w:val="none" w:sz="0" w:space="0" w:color="auto"/>
                                                                                <w:left w:val="none" w:sz="0" w:space="0" w:color="auto"/>
                                                                                <w:bottom w:val="none" w:sz="0" w:space="0" w:color="auto"/>
                                                                                <w:right w:val="none" w:sz="0" w:space="0" w:color="auto"/>
                                                                              </w:divBdr>
                                                                              <w:divsChild>
                                                                                <w:div w:id="7289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9122021">
      <w:bodyDiv w:val="1"/>
      <w:marLeft w:val="0"/>
      <w:marRight w:val="0"/>
      <w:marTop w:val="0"/>
      <w:marBottom w:val="0"/>
      <w:divBdr>
        <w:top w:val="none" w:sz="0" w:space="0" w:color="auto"/>
        <w:left w:val="none" w:sz="0" w:space="0" w:color="auto"/>
        <w:bottom w:val="none" w:sz="0" w:space="0" w:color="auto"/>
        <w:right w:val="none" w:sz="0" w:space="0" w:color="auto"/>
      </w:divBdr>
      <w:divsChild>
        <w:div w:id="202718714">
          <w:marLeft w:val="0"/>
          <w:marRight w:val="0"/>
          <w:marTop w:val="0"/>
          <w:marBottom w:val="0"/>
          <w:divBdr>
            <w:top w:val="none" w:sz="0" w:space="0" w:color="auto"/>
            <w:left w:val="none" w:sz="0" w:space="0" w:color="auto"/>
            <w:bottom w:val="none" w:sz="0" w:space="0" w:color="auto"/>
            <w:right w:val="none" w:sz="0" w:space="0" w:color="auto"/>
          </w:divBdr>
          <w:divsChild>
            <w:div w:id="2113552329">
              <w:marLeft w:val="0"/>
              <w:marRight w:val="0"/>
              <w:marTop w:val="0"/>
              <w:marBottom w:val="0"/>
              <w:divBdr>
                <w:top w:val="none" w:sz="0" w:space="0" w:color="auto"/>
                <w:left w:val="none" w:sz="0" w:space="0" w:color="auto"/>
                <w:bottom w:val="none" w:sz="0" w:space="0" w:color="auto"/>
                <w:right w:val="none" w:sz="0" w:space="0" w:color="auto"/>
              </w:divBdr>
              <w:divsChild>
                <w:div w:id="194538310">
                  <w:marLeft w:val="0"/>
                  <w:marRight w:val="0"/>
                  <w:marTop w:val="0"/>
                  <w:marBottom w:val="0"/>
                  <w:divBdr>
                    <w:top w:val="none" w:sz="0" w:space="0" w:color="auto"/>
                    <w:left w:val="none" w:sz="0" w:space="0" w:color="auto"/>
                    <w:bottom w:val="none" w:sz="0" w:space="0" w:color="auto"/>
                    <w:right w:val="none" w:sz="0" w:space="0" w:color="auto"/>
                  </w:divBdr>
                  <w:divsChild>
                    <w:div w:id="385029235">
                      <w:marLeft w:val="0"/>
                      <w:marRight w:val="0"/>
                      <w:marTop w:val="0"/>
                      <w:marBottom w:val="0"/>
                      <w:divBdr>
                        <w:top w:val="none" w:sz="0" w:space="0" w:color="auto"/>
                        <w:left w:val="none" w:sz="0" w:space="0" w:color="auto"/>
                        <w:bottom w:val="none" w:sz="0" w:space="0" w:color="auto"/>
                        <w:right w:val="none" w:sz="0" w:space="0" w:color="auto"/>
                      </w:divBdr>
                      <w:divsChild>
                        <w:div w:id="588738522">
                          <w:marLeft w:val="0"/>
                          <w:marRight w:val="0"/>
                          <w:marTop w:val="0"/>
                          <w:marBottom w:val="0"/>
                          <w:divBdr>
                            <w:top w:val="none" w:sz="0" w:space="0" w:color="auto"/>
                            <w:left w:val="none" w:sz="0" w:space="0" w:color="auto"/>
                            <w:bottom w:val="none" w:sz="0" w:space="0" w:color="auto"/>
                            <w:right w:val="none" w:sz="0" w:space="0" w:color="auto"/>
                          </w:divBdr>
                          <w:divsChild>
                            <w:div w:id="1032069096">
                              <w:marLeft w:val="0"/>
                              <w:marRight w:val="0"/>
                              <w:marTop w:val="0"/>
                              <w:marBottom w:val="0"/>
                              <w:divBdr>
                                <w:top w:val="none" w:sz="0" w:space="0" w:color="auto"/>
                                <w:left w:val="none" w:sz="0" w:space="0" w:color="auto"/>
                                <w:bottom w:val="none" w:sz="0" w:space="0" w:color="auto"/>
                                <w:right w:val="none" w:sz="0" w:space="0" w:color="auto"/>
                              </w:divBdr>
                              <w:divsChild>
                                <w:div w:id="1766222607">
                                  <w:marLeft w:val="0"/>
                                  <w:marRight w:val="0"/>
                                  <w:marTop w:val="0"/>
                                  <w:marBottom w:val="0"/>
                                  <w:divBdr>
                                    <w:top w:val="none" w:sz="0" w:space="0" w:color="auto"/>
                                    <w:left w:val="none" w:sz="0" w:space="0" w:color="auto"/>
                                    <w:bottom w:val="none" w:sz="0" w:space="0" w:color="auto"/>
                                    <w:right w:val="none" w:sz="0" w:space="0" w:color="auto"/>
                                  </w:divBdr>
                                  <w:divsChild>
                                    <w:div w:id="1155223497">
                                      <w:marLeft w:val="0"/>
                                      <w:marRight w:val="0"/>
                                      <w:marTop w:val="0"/>
                                      <w:marBottom w:val="0"/>
                                      <w:divBdr>
                                        <w:top w:val="none" w:sz="0" w:space="0" w:color="auto"/>
                                        <w:left w:val="none" w:sz="0" w:space="0" w:color="auto"/>
                                        <w:bottom w:val="none" w:sz="0" w:space="0" w:color="auto"/>
                                        <w:right w:val="none" w:sz="0" w:space="0" w:color="auto"/>
                                      </w:divBdr>
                                      <w:divsChild>
                                        <w:div w:id="551235686">
                                          <w:marLeft w:val="0"/>
                                          <w:marRight w:val="0"/>
                                          <w:marTop w:val="0"/>
                                          <w:marBottom w:val="0"/>
                                          <w:divBdr>
                                            <w:top w:val="none" w:sz="0" w:space="0" w:color="auto"/>
                                            <w:left w:val="none" w:sz="0" w:space="0" w:color="auto"/>
                                            <w:bottom w:val="none" w:sz="0" w:space="0" w:color="auto"/>
                                            <w:right w:val="none" w:sz="0" w:space="0" w:color="auto"/>
                                          </w:divBdr>
                                          <w:divsChild>
                                            <w:div w:id="859859796">
                                              <w:marLeft w:val="0"/>
                                              <w:marRight w:val="0"/>
                                              <w:marTop w:val="0"/>
                                              <w:marBottom w:val="0"/>
                                              <w:divBdr>
                                                <w:top w:val="none" w:sz="0" w:space="0" w:color="auto"/>
                                                <w:left w:val="none" w:sz="0" w:space="0" w:color="auto"/>
                                                <w:bottom w:val="none" w:sz="0" w:space="0" w:color="auto"/>
                                                <w:right w:val="none" w:sz="0" w:space="0" w:color="auto"/>
                                              </w:divBdr>
                                              <w:divsChild>
                                                <w:div w:id="472064000">
                                                  <w:marLeft w:val="0"/>
                                                  <w:marRight w:val="0"/>
                                                  <w:marTop w:val="0"/>
                                                  <w:marBottom w:val="0"/>
                                                  <w:divBdr>
                                                    <w:top w:val="none" w:sz="0" w:space="0" w:color="auto"/>
                                                    <w:left w:val="none" w:sz="0" w:space="0" w:color="auto"/>
                                                    <w:bottom w:val="none" w:sz="0" w:space="0" w:color="auto"/>
                                                    <w:right w:val="none" w:sz="0" w:space="0" w:color="auto"/>
                                                  </w:divBdr>
                                                  <w:divsChild>
                                                    <w:div w:id="34813696">
                                                      <w:marLeft w:val="0"/>
                                                      <w:marRight w:val="0"/>
                                                      <w:marTop w:val="0"/>
                                                      <w:marBottom w:val="0"/>
                                                      <w:divBdr>
                                                        <w:top w:val="single" w:sz="6" w:space="0" w:color="ABABAB"/>
                                                        <w:left w:val="single" w:sz="6" w:space="0" w:color="ABABAB"/>
                                                        <w:bottom w:val="none" w:sz="0" w:space="0" w:color="auto"/>
                                                        <w:right w:val="single" w:sz="6" w:space="0" w:color="ABABAB"/>
                                                      </w:divBdr>
                                                      <w:divsChild>
                                                        <w:div w:id="1207335698">
                                                          <w:marLeft w:val="0"/>
                                                          <w:marRight w:val="0"/>
                                                          <w:marTop w:val="0"/>
                                                          <w:marBottom w:val="0"/>
                                                          <w:divBdr>
                                                            <w:top w:val="none" w:sz="0" w:space="0" w:color="auto"/>
                                                            <w:left w:val="none" w:sz="0" w:space="0" w:color="auto"/>
                                                            <w:bottom w:val="none" w:sz="0" w:space="0" w:color="auto"/>
                                                            <w:right w:val="none" w:sz="0" w:space="0" w:color="auto"/>
                                                          </w:divBdr>
                                                          <w:divsChild>
                                                            <w:div w:id="2077238593">
                                                              <w:marLeft w:val="0"/>
                                                              <w:marRight w:val="0"/>
                                                              <w:marTop w:val="0"/>
                                                              <w:marBottom w:val="0"/>
                                                              <w:divBdr>
                                                                <w:top w:val="none" w:sz="0" w:space="0" w:color="auto"/>
                                                                <w:left w:val="none" w:sz="0" w:space="0" w:color="auto"/>
                                                                <w:bottom w:val="none" w:sz="0" w:space="0" w:color="auto"/>
                                                                <w:right w:val="none" w:sz="0" w:space="0" w:color="auto"/>
                                                              </w:divBdr>
                                                              <w:divsChild>
                                                                <w:div w:id="1555896512">
                                                                  <w:marLeft w:val="0"/>
                                                                  <w:marRight w:val="0"/>
                                                                  <w:marTop w:val="0"/>
                                                                  <w:marBottom w:val="0"/>
                                                                  <w:divBdr>
                                                                    <w:top w:val="none" w:sz="0" w:space="0" w:color="auto"/>
                                                                    <w:left w:val="none" w:sz="0" w:space="0" w:color="auto"/>
                                                                    <w:bottom w:val="none" w:sz="0" w:space="0" w:color="auto"/>
                                                                    <w:right w:val="none" w:sz="0" w:space="0" w:color="auto"/>
                                                                  </w:divBdr>
                                                                  <w:divsChild>
                                                                    <w:div w:id="641740936">
                                                                      <w:marLeft w:val="0"/>
                                                                      <w:marRight w:val="0"/>
                                                                      <w:marTop w:val="0"/>
                                                                      <w:marBottom w:val="0"/>
                                                                      <w:divBdr>
                                                                        <w:top w:val="none" w:sz="0" w:space="0" w:color="auto"/>
                                                                        <w:left w:val="none" w:sz="0" w:space="0" w:color="auto"/>
                                                                        <w:bottom w:val="none" w:sz="0" w:space="0" w:color="auto"/>
                                                                        <w:right w:val="none" w:sz="0" w:space="0" w:color="auto"/>
                                                                      </w:divBdr>
                                                                      <w:divsChild>
                                                                        <w:div w:id="23602593">
                                                                          <w:marLeft w:val="0"/>
                                                                          <w:marRight w:val="0"/>
                                                                          <w:marTop w:val="0"/>
                                                                          <w:marBottom w:val="0"/>
                                                                          <w:divBdr>
                                                                            <w:top w:val="none" w:sz="0" w:space="0" w:color="auto"/>
                                                                            <w:left w:val="none" w:sz="0" w:space="0" w:color="auto"/>
                                                                            <w:bottom w:val="none" w:sz="0" w:space="0" w:color="auto"/>
                                                                            <w:right w:val="none" w:sz="0" w:space="0" w:color="auto"/>
                                                                          </w:divBdr>
                                                                          <w:divsChild>
                                                                            <w:div w:id="1629700110">
                                                                              <w:marLeft w:val="0"/>
                                                                              <w:marRight w:val="0"/>
                                                                              <w:marTop w:val="0"/>
                                                                              <w:marBottom w:val="0"/>
                                                                              <w:divBdr>
                                                                                <w:top w:val="none" w:sz="0" w:space="0" w:color="auto"/>
                                                                                <w:left w:val="none" w:sz="0" w:space="0" w:color="auto"/>
                                                                                <w:bottom w:val="none" w:sz="0" w:space="0" w:color="auto"/>
                                                                                <w:right w:val="none" w:sz="0" w:space="0" w:color="auto"/>
                                                                              </w:divBdr>
                                                                              <w:divsChild>
                                                                                <w:div w:id="114080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238479">
      <w:bodyDiv w:val="1"/>
      <w:marLeft w:val="0"/>
      <w:marRight w:val="0"/>
      <w:marTop w:val="0"/>
      <w:marBottom w:val="0"/>
      <w:divBdr>
        <w:top w:val="none" w:sz="0" w:space="0" w:color="auto"/>
        <w:left w:val="none" w:sz="0" w:space="0" w:color="auto"/>
        <w:bottom w:val="none" w:sz="0" w:space="0" w:color="auto"/>
        <w:right w:val="none" w:sz="0" w:space="0" w:color="auto"/>
      </w:divBdr>
    </w:div>
    <w:div w:id="1371229236">
      <w:bodyDiv w:val="1"/>
      <w:marLeft w:val="0"/>
      <w:marRight w:val="0"/>
      <w:marTop w:val="0"/>
      <w:marBottom w:val="0"/>
      <w:divBdr>
        <w:top w:val="none" w:sz="0" w:space="0" w:color="auto"/>
        <w:left w:val="none" w:sz="0" w:space="0" w:color="auto"/>
        <w:bottom w:val="none" w:sz="0" w:space="0" w:color="auto"/>
        <w:right w:val="none" w:sz="0" w:space="0" w:color="auto"/>
      </w:divBdr>
    </w:div>
    <w:div w:id="1392927621">
      <w:bodyDiv w:val="1"/>
      <w:marLeft w:val="0"/>
      <w:marRight w:val="0"/>
      <w:marTop w:val="0"/>
      <w:marBottom w:val="0"/>
      <w:divBdr>
        <w:top w:val="none" w:sz="0" w:space="0" w:color="auto"/>
        <w:left w:val="none" w:sz="0" w:space="0" w:color="auto"/>
        <w:bottom w:val="none" w:sz="0" w:space="0" w:color="auto"/>
        <w:right w:val="none" w:sz="0" w:space="0" w:color="auto"/>
      </w:divBdr>
      <w:divsChild>
        <w:div w:id="1787385224">
          <w:marLeft w:val="0"/>
          <w:marRight w:val="0"/>
          <w:marTop w:val="0"/>
          <w:marBottom w:val="0"/>
          <w:divBdr>
            <w:top w:val="none" w:sz="0" w:space="0" w:color="auto"/>
            <w:left w:val="none" w:sz="0" w:space="0" w:color="auto"/>
            <w:bottom w:val="none" w:sz="0" w:space="0" w:color="auto"/>
            <w:right w:val="none" w:sz="0" w:space="0" w:color="auto"/>
          </w:divBdr>
          <w:divsChild>
            <w:div w:id="354624017">
              <w:marLeft w:val="0"/>
              <w:marRight w:val="0"/>
              <w:marTop w:val="0"/>
              <w:marBottom w:val="0"/>
              <w:divBdr>
                <w:top w:val="none" w:sz="0" w:space="0" w:color="auto"/>
                <w:left w:val="none" w:sz="0" w:space="0" w:color="auto"/>
                <w:bottom w:val="none" w:sz="0" w:space="0" w:color="auto"/>
                <w:right w:val="none" w:sz="0" w:space="0" w:color="auto"/>
              </w:divBdr>
              <w:divsChild>
                <w:div w:id="633604494">
                  <w:marLeft w:val="0"/>
                  <w:marRight w:val="0"/>
                  <w:marTop w:val="0"/>
                  <w:marBottom w:val="0"/>
                  <w:divBdr>
                    <w:top w:val="none" w:sz="0" w:space="0" w:color="auto"/>
                    <w:left w:val="none" w:sz="0" w:space="0" w:color="auto"/>
                    <w:bottom w:val="none" w:sz="0" w:space="0" w:color="auto"/>
                    <w:right w:val="none" w:sz="0" w:space="0" w:color="auto"/>
                  </w:divBdr>
                  <w:divsChild>
                    <w:div w:id="1832867470">
                      <w:marLeft w:val="0"/>
                      <w:marRight w:val="0"/>
                      <w:marTop w:val="0"/>
                      <w:marBottom w:val="0"/>
                      <w:divBdr>
                        <w:top w:val="none" w:sz="0" w:space="0" w:color="auto"/>
                        <w:left w:val="none" w:sz="0" w:space="0" w:color="auto"/>
                        <w:bottom w:val="none" w:sz="0" w:space="0" w:color="auto"/>
                        <w:right w:val="none" w:sz="0" w:space="0" w:color="auto"/>
                      </w:divBdr>
                      <w:divsChild>
                        <w:div w:id="1276985445">
                          <w:marLeft w:val="0"/>
                          <w:marRight w:val="0"/>
                          <w:marTop w:val="0"/>
                          <w:marBottom w:val="0"/>
                          <w:divBdr>
                            <w:top w:val="none" w:sz="0" w:space="0" w:color="auto"/>
                            <w:left w:val="none" w:sz="0" w:space="0" w:color="auto"/>
                            <w:bottom w:val="none" w:sz="0" w:space="0" w:color="auto"/>
                            <w:right w:val="none" w:sz="0" w:space="0" w:color="auto"/>
                          </w:divBdr>
                          <w:divsChild>
                            <w:div w:id="437066496">
                              <w:marLeft w:val="0"/>
                              <w:marRight w:val="0"/>
                              <w:marTop w:val="0"/>
                              <w:marBottom w:val="0"/>
                              <w:divBdr>
                                <w:top w:val="none" w:sz="0" w:space="0" w:color="auto"/>
                                <w:left w:val="none" w:sz="0" w:space="0" w:color="auto"/>
                                <w:bottom w:val="none" w:sz="0" w:space="0" w:color="auto"/>
                                <w:right w:val="none" w:sz="0" w:space="0" w:color="auto"/>
                              </w:divBdr>
                              <w:divsChild>
                                <w:div w:id="948126178">
                                  <w:marLeft w:val="0"/>
                                  <w:marRight w:val="0"/>
                                  <w:marTop w:val="0"/>
                                  <w:marBottom w:val="0"/>
                                  <w:divBdr>
                                    <w:top w:val="none" w:sz="0" w:space="0" w:color="auto"/>
                                    <w:left w:val="none" w:sz="0" w:space="0" w:color="auto"/>
                                    <w:bottom w:val="none" w:sz="0" w:space="0" w:color="auto"/>
                                    <w:right w:val="none" w:sz="0" w:space="0" w:color="auto"/>
                                  </w:divBdr>
                                  <w:divsChild>
                                    <w:div w:id="828404929">
                                      <w:marLeft w:val="0"/>
                                      <w:marRight w:val="0"/>
                                      <w:marTop w:val="0"/>
                                      <w:marBottom w:val="0"/>
                                      <w:divBdr>
                                        <w:top w:val="none" w:sz="0" w:space="0" w:color="auto"/>
                                        <w:left w:val="none" w:sz="0" w:space="0" w:color="auto"/>
                                        <w:bottom w:val="none" w:sz="0" w:space="0" w:color="auto"/>
                                        <w:right w:val="none" w:sz="0" w:space="0" w:color="auto"/>
                                      </w:divBdr>
                                      <w:divsChild>
                                        <w:div w:id="1954944860">
                                          <w:marLeft w:val="0"/>
                                          <w:marRight w:val="0"/>
                                          <w:marTop w:val="0"/>
                                          <w:marBottom w:val="0"/>
                                          <w:divBdr>
                                            <w:top w:val="none" w:sz="0" w:space="0" w:color="auto"/>
                                            <w:left w:val="none" w:sz="0" w:space="0" w:color="auto"/>
                                            <w:bottom w:val="none" w:sz="0" w:space="0" w:color="auto"/>
                                            <w:right w:val="none" w:sz="0" w:space="0" w:color="auto"/>
                                          </w:divBdr>
                                          <w:divsChild>
                                            <w:div w:id="1709798278">
                                              <w:marLeft w:val="0"/>
                                              <w:marRight w:val="0"/>
                                              <w:marTop w:val="0"/>
                                              <w:marBottom w:val="0"/>
                                              <w:divBdr>
                                                <w:top w:val="none" w:sz="0" w:space="0" w:color="auto"/>
                                                <w:left w:val="none" w:sz="0" w:space="0" w:color="auto"/>
                                                <w:bottom w:val="none" w:sz="0" w:space="0" w:color="auto"/>
                                                <w:right w:val="none" w:sz="0" w:space="0" w:color="auto"/>
                                              </w:divBdr>
                                              <w:divsChild>
                                                <w:div w:id="643850273">
                                                  <w:marLeft w:val="0"/>
                                                  <w:marRight w:val="0"/>
                                                  <w:marTop w:val="0"/>
                                                  <w:marBottom w:val="0"/>
                                                  <w:divBdr>
                                                    <w:top w:val="none" w:sz="0" w:space="0" w:color="auto"/>
                                                    <w:left w:val="none" w:sz="0" w:space="0" w:color="auto"/>
                                                    <w:bottom w:val="none" w:sz="0" w:space="0" w:color="auto"/>
                                                    <w:right w:val="none" w:sz="0" w:space="0" w:color="auto"/>
                                                  </w:divBdr>
                                                  <w:divsChild>
                                                    <w:div w:id="1243224494">
                                                      <w:marLeft w:val="0"/>
                                                      <w:marRight w:val="0"/>
                                                      <w:marTop w:val="0"/>
                                                      <w:marBottom w:val="0"/>
                                                      <w:divBdr>
                                                        <w:top w:val="single" w:sz="6" w:space="0" w:color="ABABAB"/>
                                                        <w:left w:val="single" w:sz="6" w:space="0" w:color="ABABAB"/>
                                                        <w:bottom w:val="none" w:sz="0" w:space="0" w:color="auto"/>
                                                        <w:right w:val="single" w:sz="6" w:space="0" w:color="ABABAB"/>
                                                      </w:divBdr>
                                                      <w:divsChild>
                                                        <w:div w:id="655382312">
                                                          <w:marLeft w:val="0"/>
                                                          <w:marRight w:val="0"/>
                                                          <w:marTop w:val="0"/>
                                                          <w:marBottom w:val="0"/>
                                                          <w:divBdr>
                                                            <w:top w:val="none" w:sz="0" w:space="0" w:color="auto"/>
                                                            <w:left w:val="none" w:sz="0" w:space="0" w:color="auto"/>
                                                            <w:bottom w:val="none" w:sz="0" w:space="0" w:color="auto"/>
                                                            <w:right w:val="none" w:sz="0" w:space="0" w:color="auto"/>
                                                          </w:divBdr>
                                                          <w:divsChild>
                                                            <w:div w:id="1373991508">
                                                              <w:marLeft w:val="0"/>
                                                              <w:marRight w:val="0"/>
                                                              <w:marTop w:val="0"/>
                                                              <w:marBottom w:val="0"/>
                                                              <w:divBdr>
                                                                <w:top w:val="none" w:sz="0" w:space="0" w:color="auto"/>
                                                                <w:left w:val="none" w:sz="0" w:space="0" w:color="auto"/>
                                                                <w:bottom w:val="none" w:sz="0" w:space="0" w:color="auto"/>
                                                                <w:right w:val="none" w:sz="0" w:space="0" w:color="auto"/>
                                                              </w:divBdr>
                                                              <w:divsChild>
                                                                <w:div w:id="1388917722">
                                                                  <w:marLeft w:val="0"/>
                                                                  <w:marRight w:val="0"/>
                                                                  <w:marTop w:val="0"/>
                                                                  <w:marBottom w:val="0"/>
                                                                  <w:divBdr>
                                                                    <w:top w:val="none" w:sz="0" w:space="0" w:color="auto"/>
                                                                    <w:left w:val="none" w:sz="0" w:space="0" w:color="auto"/>
                                                                    <w:bottom w:val="none" w:sz="0" w:space="0" w:color="auto"/>
                                                                    <w:right w:val="none" w:sz="0" w:space="0" w:color="auto"/>
                                                                  </w:divBdr>
                                                                  <w:divsChild>
                                                                    <w:div w:id="766656178">
                                                                      <w:marLeft w:val="0"/>
                                                                      <w:marRight w:val="0"/>
                                                                      <w:marTop w:val="0"/>
                                                                      <w:marBottom w:val="0"/>
                                                                      <w:divBdr>
                                                                        <w:top w:val="none" w:sz="0" w:space="0" w:color="auto"/>
                                                                        <w:left w:val="none" w:sz="0" w:space="0" w:color="auto"/>
                                                                        <w:bottom w:val="none" w:sz="0" w:space="0" w:color="auto"/>
                                                                        <w:right w:val="none" w:sz="0" w:space="0" w:color="auto"/>
                                                                      </w:divBdr>
                                                                      <w:divsChild>
                                                                        <w:div w:id="65611189">
                                                                          <w:marLeft w:val="0"/>
                                                                          <w:marRight w:val="0"/>
                                                                          <w:marTop w:val="0"/>
                                                                          <w:marBottom w:val="0"/>
                                                                          <w:divBdr>
                                                                            <w:top w:val="none" w:sz="0" w:space="0" w:color="auto"/>
                                                                            <w:left w:val="none" w:sz="0" w:space="0" w:color="auto"/>
                                                                            <w:bottom w:val="none" w:sz="0" w:space="0" w:color="auto"/>
                                                                            <w:right w:val="none" w:sz="0" w:space="0" w:color="auto"/>
                                                                          </w:divBdr>
                                                                          <w:divsChild>
                                                                            <w:div w:id="2004359700">
                                                                              <w:marLeft w:val="0"/>
                                                                              <w:marRight w:val="0"/>
                                                                              <w:marTop w:val="0"/>
                                                                              <w:marBottom w:val="0"/>
                                                                              <w:divBdr>
                                                                                <w:top w:val="none" w:sz="0" w:space="0" w:color="auto"/>
                                                                                <w:left w:val="none" w:sz="0" w:space="0" w:color="auto"/>
                                                                                <w:bottom w:val="none" w:sz="0" w:space="0" w:color="auto"/>
                                                                                <w:right w:val="none" w:sz="0" w:space="0" w:color="auto"/>
                                                                              </w:divBdr>
                                                                              <w:divsChild>
                                                                                <w:div w:id="27460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7916604">
      <w:bodyDiv w:val="1"/>
      <w:marLeft w:val="0"/>
      <w:marRight w:val="0"/>
      <w:marTop w:val="0"/>
      <w:marBottom w:val="0"/>
      <w:divBdr>
        <w:top w:val="none" w:sz="0" w:space="0" w:color="auto"/>
        <w:left w:val="none" w:sz="0" w:space="0" w:color="auto"/>
        <w:bottom w:val="none" w:sz="0" w:space="0" w:color="auto"/>
        <w:right w:val="none" w:sz="0" w:space="0" w:color="auto"/>
      </w:divBdr>
    </w:div>
    <w:div w:id="1462187753">
      <w:bodyDiv w:val="1"/>
      <w:marLeft w:val="0"/>
      <w:marRight w:val="0"/>
      <w:marTop w:val="0"/>
      <w:marBottom w:val="0"/>
      <w:divBdr>
        <w:top w:val="none" w:sz="0" w:space="0" w:color="auto"/>
        <w:left w:val="none" w:sz="0" w:space="0" w:color="auto"/>
        <w:bottom w:val="none" w:sz="0" w:space="0" w:color="auto"/>
        <w:right w:val="none" w:sz="0" w:space="0" w:color="auto"/>
      </w:divBdr>
    </w:div>
    <w:div w:id="1529026684">
      <w:bodyDiv w:val="1"/>
      <w:marLeft w:val="0"/>
      <w:marRight w:val="0"/>
      <w:marTop w:val="0"/>
      <w:marBottom w:val="0"/>
      <w:divBdr>
        <w:top w:val="none" w:sz="0" w:space="0" w:color="auto"/>
        <w:left w:val="none" w:sz="0" w:space="0" w:color="auto"/>
        <w:bottom w:val="none" w:sz="0" w:space="0" w:color="auto"/>
        <w:right w:val="none" w:sz="0" w:space="0" w:color="auto"/>
      </w:divBdr>
      <w:divsChild>
        <w:div w:id="1513644628">
          <w:marLeft w:val="0"/>
          <w:marRight w:val="0"/>
          <w:marTop w:val="0"/>
          <w:marBottom w:val="0"/>
          <w:divBdr>
            <w:top w:val="none" w:sz="0" w:space="0" w:color="auto"/>
            <w:left w:val="none" w:sz="0" w:space="0" w:color="auto"/>
            <w:bottom w:val="none" w:sz="0" w:space="0" w:color="auto"/>
            <w:right w:val="none" w:sz="0" w:space="0" w:color="auto"/>
          </w:divBdr>
          <w:divsChild>
            <w:div w:id="466241210">
              <w:marLeft w:val="0"/>
              <w:marRight w:val="0"/>
              <w:marTop w:val="0"/>
              <w:marBottom w:val="0"/>
              <w:divBdr>
                <w:top w:val="none" w:sz="0" w:space="0" w:color="auto"/>
                <w:left w:val="none" w:sz="0" w:space="0" w:color="auto"/>
                <w:bottom w:val="none" w:sz="0" w:space="0" w:color="auto"/>
                <w:right w:val="none" w:sz="0" w:space="0" w:color="auto"/>
              </w:divBdr>
              <w:divsChild>
                <w:div w:id="718744486">
                  <w:marLeft w:val="0"/>
                  <w:marRight w:val="0"/>
                  <w:marTop w:val="0"/>
                  <w:marBottom w:val="0"/>
                  <w:divBdr>
                    <w:top w:val="none" w:sz="0" w:space="0" w:color="auto"/>
                    <w:left w:val="none" w:sz="0" w:space="0" w:color="auto"/>
                    <w:bottom w:val="none" w:sz="0" w:space="0" w:color="auto"/>
                    <w:right w:val="none" w:sz="0" w:space="0" w:color="auto"/>
                  </w:divBdr>
                  <w:divsChild>
                    <w:div w:id="147325760">
                      <w:marLeft w:val="0"/>
                      <w:marRight w:val="0"/>
                      <w:marTop w:val="0"/>
                      <w:marBottom w:val="0"/>
                      <w:divBdr>
                        <w:top w:val="none" w:sz="0" w:space="0" w:color="auto"/>
                        <w:left w:val="none" w:sz="0" w:space="0" w:color="auto"/>
                        <w:bottom w:val="none" w:sz="0" w:space="0" w:color="auto"/>
                        <w:right w:val="none" w:sz="0" w:space="0" w:color="auto"/>
                      </w:divBdr>
                      <w:divsChild>
                        <w:div w:id="1080836928">
                          <w:marLeft w:val="0"/>
                          <w:marRight w:val="0"/>
                          <w:marTop w:val="0"/>
                          <w:marBottom w:val="0"/>
                          <w:divBdr>
                            <w:top w:val="none" w:sz="0" w:space="0" w:color="auto"/>
                            <w:left w:val="none" w:sz="0" w:space="0" w:color="auto"/>
                            <w:bottom w:val="none" w:sz="0" w:space="0" w:color="auto"/>
                            <w:right w:val="none" w:sz="0" w:space="0" w:color="auto"/>
                          </w:divBdr>
                          <w:divsChild>
                            <w:div w:id="216168088">
                              <w:marLeft w:val="0"/>
                              <w:marRight w:val="0"/>
                              <w:marTop w:val="0"/>
                              <w:marBottom w:val="0"/>
                              <w:divBdr>
                                <w:top w:val="none" w:sz="0" w:space="0" w:color="auto"/>
                                <w:left w:val="none" w:sz="0" w:space="0" w:color="auto"/>
                                <w:bottom w:val="none" w:sz="0" w:space="0" w:color="auto"/>
                                <w:right w:val="none" w:sz="0" w:space="0" w:color="auto"/>
                              </w:divBdr>
                              <w:divsChild>
                                <w:div w:id="1851405279">
                                  <w:marLeft w:val="0"/>
                                  <w:marRight w:val="0"/>
                                  <w:marTop w:val="0"/>
                                  <w:marBottom w:val="0"/>
                                  <w:divBdr>
                                    <w:top w:val="none" w:sz="0" w:space="0" w:color="auto"/>
                                    <w:left w:val="none" w:sz="0" w:space="0" w:color="auto"/>
                                    <w:bottom w:val="none" w:sz="0" w:space="0" w:color="auto"/>
                                    <w:right w:val="none" w:sz="0" w:space="0" w:color="auto"/>
                                  </w:divBdr>
                                  <w:divsChild>
                                    <w:div w:id="2098135480">
                                      <w:marLeft w:val="0"/>
                                      <w:marRight w:val="0"/>
                                      <w:marTop w:val="0"/>
                                      <w:marBottom w:val="0"/>
                                      <w:divBdr>
                                        <w:top w:val="none" w:sz="0" w:space="0" w:color="auto"/>
                                        <w:left w:val="none" w:sz="0" w:space="0" w:color="auto"/>
                                        <w:bottom w:val="none" w:sz="0" w:space="0" w:color="auto"/>
                                        <w:right w:val="none" w:sz="0" w:space="0" w:color="auto"/>
                                      </w:divBdr>
                                      <w:divsChild>
                                        <w:div w:id="1381785697">
                                          <w:marLeft w:val="0"/>
                                          <w:marRight w:val="0"/>
                                          <w:marTop w:val="0"/>
                                          <w:marBottom w:val="0"/>
                                          <w:divBdr>
                                            <w:top w:val="none" w:sz="0" w:space="0" w:color="auto"/>
                                            <w:left w:val="none" w:sz="0" w:space="0" w:color="auto"/>
                                            <w:bottom w:val="none" w:sz="0" w:space="0" w:color="auto"/>
                                            <w:right w:val="none" w:sz="0" w:space="0" w:color="auto"/>
                                          </w:divBdr>
                                          <w:divsChild>
                                            <w:div w:id="498889788">
                                              <w:marLeft w:val="0"/>
                                              <w:marRight w:val="0"/>
                                              <w:marTop w:val="0"/>
                                              <w:marBottom w:val="0"/>
                                              <w:divBdr>
                                                <w:top w:val="none" w:sz="0" w:space="0" w:color="auto"/>
                                                <w:left w:val="none" w:sz="0" w:space="0" w:color="auto"/>
                                                <w:bottom w:val="none" w:sz="0" w:space="0" w:color="auto"/>
                                                <w:right w:val="none" w:sz="0" w:space="0" w:color="auto"/>
                                              </w:divBdr>
                                              <w:divsChild>
                                                <w:div w:id="1811284986">
                                                  <w:marLeft w:val="0"/>
                                                  <w:marRight w:val="0"/>
                                                  <w:marTop w:val="0"/>
                                                  <w:marBottom w:val="0"/>
                                                  <w:divBdr>
                                                    <w:top w:val="none" w:sz="0" w:space="0" w:color="auto"/>
                                                    <w:left w:val="none" w:sz="0" w:space="0" w:color="auto"/>
                                                    <w:bottom w:val="none" w:sz="0" w:space="0" w:color="auto"/>
                                                    <w:right w:val="none" w:sz="0" w:space="0" w:color="auto"/>
                                                  </w:divBdr>
                                                  <w:divsChild>
                                                    <w:div w:id="918370374">
                                                      <w:marLeft w:val="0"/>
                                                      <w:marRight w:val="0"/>
                                                      <w:marTop w:val="0"/>
                                                      <w:marBottom w:val="0"/>
                                                      <w:divBdr>
                                                        <w:top w:val="single" w:sz="6" w:space="0" w:color="ABABAB"/>
                                                        <w:left w:val="single" w:sz="6" w:space="0" w:color="ABABAB"/>
                                                        <w:bottom w:val="none" w:sz="0" w:space="0" w:color="auto"/>
                                                        <w:right w:val="single" w:sz="6" w:space="0" w:color="ABABAB"/>
                                                      </w:divBdr>
                                                      <w:divsChild>
                                                        <w:div w:id="681858569">
                                                          <w:marLeft w:val="0"/>
                                                          <w:marRight w:val="0"/>
                                                          <w:marTop w:val="0"/>
                                                          <w:marBottom w:val="0"/>
                                                          <w:divBdr>
                                                            <w:top w:val="none" w:sz="0" w:space="0" w:color="auto"/>
                                                            <w:left w:val="none" w:sz="0" w:space="0" w:color="auto"/>
                                                            <w:bottom w:val="none" w:sz="0" w:space="0" w:color="auto"/>
                                                            <w:right w:val="none" w:sz="0" w:space="0" w:color="auto"/>
                                                          </w:divBdr>
                                                          <w:divsChild>
                                                            <w:div w:id="1386753979">
                                                              <w:marLeft w:val="0"/>
                                                              <w:marRight w:val="0"/>
                                                              <w:marTop w:val="0"/>
                                                              <w:marBottom w:val="0"/>
                                                              <w:divBdr>
                                                                <w:top w:val="none" w:sz="0" w:space="0" w:color="auto"/>
                                                                <w:left w:val="none" w:sz="0" w:space="0" w:color="auto"/>
                                                                <w:bottom w:val="none" w:sz="0" w:space="0" w:color="auto"/>
                                                                <w:right w:val="none" w:sz="0" w:space="0" w:color="auto"/>
                                                              </w:divBdr>
                                                              <w:divsChild>
                                                                <w:div w:id="889418408">
                                                                  <w:marLeft w:val="0"/>
                                                                  <w:marRight w:val="0"/>
                                                                  <w:marTop w:val="0"/>
                                                                  <w:marBottom w:val="0"/>
                                                                  <w:divBdr>
                                                                    <w:top w:val="none" w:sz="0" w:space="0" w:color="auto"/>
                                                                    <w:left w:val="none" w:sz="0" w:space="0" w:color="auto"/>
                                                                    <w:bottom w:val="none" w:sz="0" w:space="0" w:color="auto"/>
                                                                    <w:right w:val="none" w:sz="0" w:space="0" w:color="auto"/>
                                                                  </w:divBdr>
                                                                  <w:divsChild>
                                                                    <w:div w:id="907765505">
                                                                      <w:marLeft w:val="0"/>
                                                                      <w:marRight w:val="0"/>
                                                                      <w:marTop w:val="0"/>
                                                                      <w:marBottom w:val="0"/>
                                                                      <w:divBdr>
                                                                        <w:top w:val="none" w:sz="0" w:space="0" w:color="auto"/>
                                                                        <w:left w:val="none" w:sz="0" w:space="0" w:color="auto"/>
                                                                        <w:bottom w:val="none" w:sz="0" w:space="0" w:color="auto"/>
                                                                        <w:right w:val="none" w:sz="0" w:space="0" w:color="auto"/>
                                                                      </w:divBdr>
                                                                      <w:divsChild>
                                                                        <w:div w:id="1007558326">
                                                                          <w:marLeft w:val="0"/>
                                                                          <w:marRight w:val="0"/>
                                                                          <w:marTop w:val="0"/>
                                                                          <w:marBottom w:val="0"/>
                                                                          <w:divBdr>
                                                                            <w:top w:val="none" w:sz="0" w:space="0" w:color="auto"/>
                                                                            <w:left w:val="none" w:sz="0" w:space="0" w:color="auto"/>
                                                                            <w:bottom w:val="none" w:sz="0" w:space="0" w:color="auto"/>
                                                                            <w:right w:val="none" w:sz="0" w:space="0" w:color="auto"/>
                                                                          </w:divBdr>
                                                                          <w:divsChild>
                                                                            <w:div w:id="1070931681">
                                                                              <w:marLeft w:val="0"/>
                                                                              <w:marRight w:val="0"/>
                                                                              <w:marTop w:val="0"/>
                                                                              <w:marBottom w:val="0"/>
                                                                              <w:divBdr>
                                                                                <w:top w:val="none" w:sz="0" w:space="0" w:color="auto"/>
                                                                                <w:left w:val="none" w:sz="0" w:space="0" w:color="auto"/>
                                                                                <w:bottom w:val="none" w:sz="0" w:space="0" w:color="auto"/>
                                                                                <w:right w:val="none" w:sz="0" w:space="0" w:color="auto"/>
                                                                              </w:divBdr>
                                                                              <w:divsChild>
                                                                                <w:div w:id="648094984">
                                                                                  <w:marLeft w:val="0"/>
                                                                                  <w:marRight w:val="0"/>
                                                                                  <w:marTop w:val="0"/>
                                                                                  <w:marBottom w:val="0"/>
                                                                                  <w:divBdr>
                                                                                    <w:top w:val="none" w:sz="0" w:space="0" w:color="auto"/>
                                                                                    <w:left w:val="none" w:sz="0" w:space="0" w:color="auto"/>
                                                                                    <w:bottom w:val="none" w:sz="0" w:space="0" w:color="auto"/>
                                                                                    <w:right w:val="none" w:sz="0" w:space="0" w:color="auto"/>
                                                                                  </w:divBdr>
                                                                                  <w:divsChild>
                                                                                    <w:div w:id="1225024293">
                                                                                      <w:marLeft w:val="0"/>
                                                                                      <w:marRight w:val="0"/>
                                                                                      <w:marTop w:val="0"/>
                                                                                      <w:marBottom w:val="0"/>
                                                                                      <w:divBdr>
                                                                                        <w:top w:val="none" w:sz="0" w:space="0" w:color="auto"/>
                                                                                        <w:left w:val="none" w:sz="0" w:space="0" w:color="auto"/>
                                                                                        <w:bottom w:val="none" w:sz="0" w:space="0" w:color="auto"/>
                                                                                        <w:right w:val="none" w:sz="0" w:space="0" w:color="auto"/>
                                                                                      </w:divBdr>
                                                                                    </w:div>
                                                                                  </w:divsChild>
                                                                                </w:div>
                                                                                <w:div w:id="878708980">
                                                                                  <w:marLeft w:val="0"/>
                                                                                  <w:marRight w:val="0"/>
                                                                                  <w:marTop w:val="0"/>
                                                                                  <w:marBottom w:val="0"/>
                                                                                  <w:divBdr>
                                                                                    <w:top w:val="none" w:sz="0" w:space="0" w:color="auto"/>
                                                                                    <w:left w:val="none" w:sz="0" w:space="0" w:color="auto"/>
                                                                                    <w:bottom w:val="none" w:sz="0" w:space="0" w:color="auto"/>
                                                                                    <w:right w:val="none" w:sz="0" w:space="0" w:color="auto"/>
                                                                                  </w:divBdr>
                                                                                  <w:divsChild>
                                                                                    <w:div w:id="1769354372">
                                                                                      <w:marLeft w:val="0"/>
                                                                                      <w:marRight w:val="0"/>
                                                                                      <w:marTop w:val="0"/>
                                                                                      <w:marBottom w:val="0"/>
                                                                                      <w:divBdr>
                                                                                        <w:top w:val="none" w:sz="0" w:space="0" w:color="auto"/>
                                                                                        <w:left w:val="none" w:sz="0" w:space="0" w:color="auto"/>
                                                                                        <w:bottom w:val="none" w:sz="0" w:space="0" w:color="auto"/>
                                                                                        <w:right w:val="none" w:sz="0" w:space="0" w:color="auto"/>
                                                                                      </w:divBdr>
                                                                                    </w:div>
                                                                                  </w:divsChild>
                                                                                </w:div>
                                                                                <w:div w:id="1672175057">
                                                                                  <w:marLeft w:val="0"/>
                                                                                  <w:marRight w:val="0"/>
                                                                                  <w:marTop w:val="0"/>
                                                                                  <w:marBottom w:val="0"/>
                                                                                  <w:divBdr>
                                                                                    <w:top w:val="none" w:sz="0" w:space="0" w:color="auto"/>
                                                                                    <w:left w:val="none" w:sz="0" w:space="0" w:color="auto"/>
                                                                                    <w:bottom w:val="none" w:sz="0" w:space="0" w:color="auto"/>
                                                                                    <w:right w:val="none" w:sz="0" w:space="0" w:color="auto"/>
                                                                                  </w:divBdr>
                                                                                  <w:divsChild>
                                                                                    <w:div w:id="25224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0085517">
      <w:bodyDiv w:val="1"/>
      <w:marLeft w:val="0"/>
      <w:marRight w:val="0"/>
      <w:marTop w:val="0"/>
      <w:marBottom w:val="0"/>
      <w:divBdr>
        <w:top w:val="none" w:sz="0" w:space="0" w:color="auto"/>
        <w:left w:val="none" w:sz="0" w:space="0" w:color="auto"/>
        <w:bottom w:val="none" w:sz="0" w:space="0" w:color="auto"/>
        <w:right w:val="none" w:sz="0" w:space="0" w:color="auto"/>
      </w:divBdr>
    </w:div>
    <w:div w:id="1685009308">
      <w:bodyDiv w:val="1"/>
      <w:marLeft w:val="0"/>
      <w:marRight w:val="0"/>
      <w:marTop w:val="0"/>
      <w:marBottom w:val="0"/>
      <w:divBdr>
        <w:top w:val="none" w:sz="0" w:space="0" w:color="auto"/>
        <w:left w:val="none" w:sz="0" w:space="0" w:color="auto"/>
        <w:bottom w:val="none" w:sz="0" w:space="0" w:color="auto"/>
        <w:right w:val="none" w:sz="0" w:space="0" w:color="auto"/>
      </w:divBdr>
      <w:divsChild>
        <w:div w:id="1283922192">
          <w:marLeft w:val="360"/>
          <w:marRight w:val="0"/>
          <w:marTop w:val="200"/>
          <w:marBottom w:val="0"/>
          <w:divBdr>
            <w:top w:val="none" w:sz="0" w:space="0" w:color="auto"/>
            <w:left w:val="none" w:sz="0" w:space="0" w:color="auto"/>
            <w:bottom w:val="none" w:sz="0" w:space="0" w:color="auto"/>
            <w:right w:val="none" w:sz="0" w:space="0" w:color="auto"/>
          </w:divBdr>
        </w:div>
        <w:div w:id="2049639749">
          <w:marLeft w:val="360"/>
          <w:marRight w:val="0"/>
          <w:marTop w:val="200"/>
          <w:marBottom w:val="0"/>
          <w:divBdr>
            <w:top w:val="none" w:sz="0" w:space="0" w:color="auto"/>
            <w:left w:val="none" w:sz="0" w:space="0" w:color="auto"/>
            <w:bottom w:val="none" w:sz="0" w:space="0" w:color="auto"/>
            <w:right w:val="none" w:sz="0" w:space="0" w:color="auto"/>
          </w:divBdr>
        </w:div>
        <w:div w:id="1210343451">
          <w:marLeft w:val="360"/>
          <w:marRight w:val="0"/>
          <w:marTop w:val="200"/>
          <w:marBottom w:val="0"/>
          <w:divBdr>
            <w:top w:val="none" w:sz="0" w:space="0" w:color="auto"/>
            <w:left w:val="none" w:sz="0" w:space="0" w:color="auto"/>
            <w:bottom w:val="none" w:sz="0" w:space="0" w:color="auto"/>
            <w:right w:val="none" w:sz="0" w:space="0" w:color="auto"/>
          </w:divBdr>
        </w:div>
        <w:div w:id="305404819">
          <w:marLeft w:val="360"/>
          <w:marRight w:val="0"/>
          <w:marTop w:val="200"/>
          <w:marBottom w:val="0"/>
          <w:divBdr>
            <w:top w:val="none" w:sz="0" w:space="0" w:color="auto"/>
            <w:left w:val="none" w:sz="0" w:space="0" w:color="auto"/>
            <w:bottom w:val="none" w:sz="0" w:space="0" w:color="auto"/>
            <w:right w:val="none" w:sz="0" w:space="0" w:color="auto"/>
          </w:divBdr>
        </w:div>
        <w:div w:id="1900483131">
          <w:marLeft w:val="360"/>
          <w:marRight w:val="0"/>
          <w:marTop w:val="200"/>
          <w:marBottom w:val="0"/>
          <w:divBdr>
            <w:top w:val="none" w:sz="0" w:space="0" w:color="auto"/>
            <w:left w:val="none" w:sz="0" w:space="0" w:color="auto"/>
            <w:bottom w:val="none" w:sz="0" w:space="0" w:color="auto"/>
            <w:right w:val="none" w:sz="0" w:space="0" w:color="auto"/>
          </w:divBdr>
        </w:div>
        <w:div w:id="1390767471">
          <w:marLeft w:val="360"/>
          <w:marRight w:val="0"/>
          <w:marTop w:val="200"/>
          <w:marBottom w:val="0"/>
          <w:divBdr>
            <w:top w:val="none" w:sz="0" w:space="0" w:color="auto"/>
            <w:left w:val="none" w:sz="0" w:space="0" w:color="auto"/>
            <w:bottom w:val="none" w:sz="0" w:space="0" w:color="auto"/>
            <w:right w:val="none" w:sz="0" w:space="0" w:color="auto"/>
          </w:divBdr>
        </w:div>
      </w:divsChild>
    </w:div>
    <w:div w:id="1709337102">
      <w:bodyDiv w:val="1"/>
      <w:marLeft w:val="0"/>
      <w:marRight w:val="0"/>
      <w:marTop w:val="0"/>
      <w:marBottom w:val="0"/>
      <w:divBdr>
        <w:top w:val="none" w:sz="0" w:space="0" w:color="auto"/>
        <w:left w:val="none" w:sz="0" w:space="0" w:color="auto"/>
        <w:bottom w:val="none" w:sz="0" w:space="0" w:color="auto"/>
        <w:right w:val="none" w:sz="0" w:space="0" w:color="auto"/>
      </w:divBdr>
    </w:div>
    <w:div w:id="1778941932">
      <w:bodyDiv w:val="1"/>
      <w:marLeft w:val="0"/>
      <w:marRight w:val="0"/>
      <w:marTop w:val="0"/>
      <w:marBottom w:val="0"/>
      <w:divBdr>
        <w:top w:val="none" w:sz="0" w:space="0" w:color="auto"/>
        <w:left w:val="none" w:sz="0" w:space="0" w:color="auto"/>
        <w:bottom w:val="none" w:sz="0" w:space="0" w:color="auto"/>
        <w:right w:val="none" w:sz="0" w:space="0" w:color="auto"/>
      </w:divBdr>
    </w:div>
    <w:div w:id="1864780069">
      <w:bodyDiv w:val="1"/>
      <w:marLeft w:val="0"/>
      <w:marRight w:val="0"/>
      <w:marTop w:val="0"/>
      <w:marBottom w:val="0"/>
      <w:divBdr>
        <w:top w:val="none" w:sz="0" w:space="0" w:color="auto"/>
        <w:left w:val="none" w:sz="0" w:space="0" w:color="auto"/>
        <w:bottom w:val="none" w:sz="0" w:space="0" w:color="auto"/>
        <w:right w:val="none" w:sz="0" w:space="0" w:color="auto"/>
      </w:divBdr>
    </w:div>
    <w:div w:id="1870141596">
      <w:bodyDiv w:val="1"/>
      <w:marLeft w:val="0"/>
      <w:marRight w:val="0"/>
      <w:marTop w:val="0"/>
      <w:marBottom w:val="0"/>
      <w:divBdr>
        <w:top w:val="none" w:sz="0" w:space="0" w:color="auto"/>
        <w:left w:val="none" w:sz="0" w:space="0" w:color="auto"/>
        <w:bottom w:val="none" w:sz="0" w:space="0" w:color="auto"/>
        <w:right w:val="none" w:sz="0" w:space="0" w:color="auto"/>
      </w:divBdr>
    </w:div>
    <w:div w:id="1967390920">
      <w:bodyDiv w:val="1"/>
      <w:marLeft w:val="0"/>
      <w:marRight w:val="0"/>
      <w:marTop w:val="0"/>
      <w:marBottom w:val="0"/>
      <w:divBdr>
        <w:top w:val="none" w:sz="0" w:space="0" w:color="auto"/>
        <w:left w:val="none" w:sz="0" w:space="0" w:color="auto"/>
        <w:bottom w:val="none" w:sz="0" w:space="0" w:color="auto"/>
        <w:right w:val="none" w:sz="0" w:space="0" w:color="auto"/>
      </w:divBdr>
      <w:divsChild>
        <w:div w:id="738331228">
          <w:marLeft w:val="0"/>
          <w:marRight w:val="0"/>
          <w:marTop w:val="0"/>
          <w:marBottom w:val="0"/>
          <w:divBdr>
            <w:top w:val="none" w:sz="0" w:space="0" w:color="auto"/>
            <w:left w:val="none" w:sz="0" w:space="0" w:color="auto"/>
            <w:bottom w:val="none" w:sz="0" w:space="0" w:color="auto"/>
            <w:right w:val="none" w:sz="0" w:space="0" w:color="auto"/>
          </w:divBdr>
          <w:divsChild>
            <w:div w:id="2069453798">
              <w:marLeft w:val="0"/>
              <w:marRight w:val="0"/>
              <w:marTop w:val="0"/>
              <w:marBottom w:val="0"/>
              <w:divBdr>
                <w:top w:val="none" w:sz="0" w:space="0" w:color="auto"/>
                <w:left w:val="none" w:sz="0" w:space="0" w:color="auto"/>
                <w:bottom w:val="none" w:sz="0" w:space="0" w:color="auto"/>
                <w:right w:val="none" w:sz="0" w:space="0" w:color="auto"/>
              </w:divBdr>
              <w:divsChild>
                <w:div w:id="2015300372">
                  <w:marLeft w:val="0"/>
                  <w:marRight w:val="0"/>
                  <w:marTop w:val="0"/>
                  <w:marBottom w:val="0"/>
                  <w:divBdr>
                    <w:top w:val="none" w:sz="0" w:space="0" w:color="auto"/>
                    <w:left w:val="none" w:sz="0" w:space="0" w:color="auto"/>
                    <w:bottom w:val="none" w:sz="0" w:space="0" w:color="auto"/>
                    <w:right w:val="none" w:sz="0" w:space="0" w:color="auto"/>
                  </w:divBdr>
                  <w:divsChild>
                    <w:div w:id="1896505437">
                      <w:marLeft w:val="0"/>
                      <w:marRight w:val="0"/>
                      <w:marTop w:val="0"/>
                      <w:marBottom w:val="0"/>
                      <w:divBdr>
                        <w:top w:val="none" w:sz="0" w:space="0" w:color="auto"/>
                        <w:left w:val="none" w:sz="0" w:space="0" w:color="auto"/>
                        <w:bottom w:val="none" w:sz="0" w:space="0" w:color="auto"/>
                        <w:right w:val="none" w:sz="0" w:space="0" w:color="auto"/>
                      </w:divBdr>
                      <w:divsChild>
                        <w:div w:id="523791744">
                          <w:marLeft w:val="0"/>
                          <w:marRight w:val="0"/>
                          <w:marTop w:val="0"/>
                          <w:marBottom w:val="0"/>
                          <w:divBdr>
                            <w:top w:val="none" w:sz="0" w:space="0" w:color="auto"/>
                            <w:left w:val="none" w:sz="0" w:space="0" w:color="auto"/>
                            <w:bottom w:val="none" w:sz="0" w:space="0" w:color="auto"/>
                            <w:right w:val="none" w:sz="0" w:space="0" w:color="auto"/>
                          </w:divBdr>
                          <w:divsChild>
                            <w:div w:id="453719081">
                              <w:marLeft w:val="0"/>
                              <w:marRight w:val="0"/>
                              <w:marTop w:val="0"/>
                              <w:marBottom w:val="0"/>
                              <w:divBdr>
                                <w:top w:val="none" w:sz="0" w:space="0" w:color="auto"/>
                                <w:left w:val="none" w:sz="0" w:space="0" w:color="auto"/>
                                <w:bottom w:val="none" w:sz="0" w:space="0" w:color="auto"/>
                                <w:right w:val="none" w:sz="0" w:space="0" w:color="auto"/>
                              </w:divBdr>
                              <w:divsChild>
                                <w:div w:id="2137721924">
                                  <w:marLeft w:val="0"/>
                                  <w:marRight w:val="0"/>
                                  <w:marTop w:val="0"/>
                                  <w:marBottom w:val="0"/>
                                  <w:divBdr>
                                    <w:top w:val="none" w:sz="0" w:space="0" w:color="auto"/>
                                    <w:left w:val="none" w:sz="0" w:space="0" w:color="auto"/>
                                    <w:bottom w:val="none" w:sz="0" w:space="0" w:color="auto"/>
                                    <w:right w:val="none" w:sz="0" w:space="0" w:color="auto"/>
                                  </w:divBdr>
                                  <w:divsChild>
                                    <w:div w:id="1213999460">
                                      <w:marLeft w:val="0"/>
                                      <w:marRight w:val="0"/>
                                      <w:marTop w:val="0"/>
                                      <w:marBottom w:val="0"/>
                                      <w:divBdr>
                                        <w:top w:val="none" w:sz="0" w:space="0" w:color="auto"/>
                                        <w:left w:val="none" w:sz="0" w:space="0" w:color="auto"/>
                                        <w:bottom w:val="none" w:sz="0" w:space="0" w:color="auto"/>
                                        <w:right w:val="none" w:sz="0" w:space="0" w:color="auto"/>
                                      </w:divBdr>
                                      <w:divsChild>
                                        <w:div w:id="576785064">
                                          <w:marLeft w:val="0"/>
                                          <w:marRight w:val="0"/>
                                          <w:marTop w:val="0"/>
                                          <w:marBottom w:val="0"/>
                                          <w:divBdr>
                                            <w:top w:val="none" w:sz="0" w:space="0" w:color="auto"/>
                                            <w:left w:val="none" w:sz="0" w:space="0" w:color="auto"/>
                                            <w:bottom w:val="none" w:sz="0" w:space="0" w:color="auto"/>
                                            <w:right w:val="none" w:sz="0" w:space="0" w:color="auto"/>
                                          </w:divBdr>
                                          <w:divsChild>
                                            <w:div w:id="554779904">
                                              <w:marLeft w:val="0"/>
                                              <w:marRight w:val="0"/>
                                              <w:marTop w:val="0"/>
                                              <w:marBottom w:val="0"/>
                                              <w:divBdr>
                                                <w:top w:val="none" w:sz="0" w:space="0" w:color="auto"/>
                                                <w:left w:val="none" w:sz="0" w:space="0" w:color="auto"/>
                                                <w:bottom w:val="none" w:sz="0" w:space="0" w:color="auto"/>
                                                <w:right w:val="none" w:sz="0" w:space="0" w:color="auto"/>
                                              </w:divBdr>
                                              <w:divsChild>
                                                <w:div w:id="1501238554">
                                                  <w:marLeft w:val="0"/>
                                                  <w:marRight w:val="0"/>
                                                  <w:marTop w:val="0"/>
                                                  <w:marBottom w:val="0"/>
                                                  <w:divBdr>
                                                    <w:top w:val="none" w:sz="0" w:space="0" w:color="auto"/>
                                                    <w:left w:val="none" w:sz="0" w:space="0" w:color="auto"/>
                                                    <w:bottom w:val="none" w:sz="0" w:space="0" w:color="auto"/>
                                                    <w:right w:val="none" w:sz="0" w:space="0" w:color="auto"/>
                                                  </w:divBdr>
                                                  <w:divsChild>
                                                    <w:div w:id="1894924892">
                                                      <w:marLeft w:val="0"/>
                                                      <w:marRight w:val="0"/>
                                                      <w:marTop w:val="0"/>
                                                      <w:marBottom w:val="0"/>
                                                      <w:divBdr>
                                                        <w:top w:val="single" w:sz="6" w:space="0" w:color="ABABAB"/>
                                                        <w:left w:val="single" w:sz="6" w:space="0" w:color="ABABAB"/>
                                                        <w:bottom w:val="none" w:sz="0" w:space="0" w:color="auto"/>
                                                        <w:right w:val="single" w:sz="6" w:space="0" w:color="ABABAB"/>
                                                      </w:divBdr>
                                                      <w:divsChild>
                                                        <w:div w:id="62027917">
                                                          <w:marLeft w:val="0"/>
                                                          <w:marRight w:val="0"/>
                                                          <w:marTop w:val="0"/>
                                                          <w:marBottom w:val="0"/>
                                                          <w:divBdr>
                                                            <w:top w:val="none" w:sz="0" w:space="0" w:color="auto"/>
                                                            <w:left w:val="none" w:sz="0" w:space="0" w:color="auto"/>
                                                            <w:bottom w:val="none" w:sz="0" w:space="0" w:color="auto"/>
                                                            <w:right w:val="none" w:sz="0" w:space="0" w:color="auto"/>
                                                          </w:divBdr>
                                                          <w:divsChild>
                                                            <w:div w:id="1578829764">
                                                              <w:marLeft w:val="0"/>
                                                              <w:marRight w:val="0"/>
                                                              <w:marTop w:val="0"/>
                                                              <w:marBottom w:val="0"/>
                                                              <w:divBdr>
                                                                <w:top w:val="none" w:sz="0" w:space="0" w:color="auto"/>
                                                                <w:left w:val="none" w:sz="0" w:space="0" w:color="auto"/>
                                                                <w:bottom w:val="none" w:sz="0" w:space="0" w:color="auto"/>
                                                                <w:right w:val="none" w:sz="0" w:space="0" w:color="auto"/>
                                                              </w:divBdr>
                                                              <w:divsChild>
                                                                <w:div w:id="1514761246">
                                                                  <w:marLeft w:val="0"/>
                                                                  <w:marRight w:val="0"/>
                                                                  <w:marTop w:val="0"/>
                                                                  <w:marBottom w:val="0"/>
                                                                  <w:divBdr>
                                                                    <w:top w:val="none" w:sz="0" w:space="0" w:color="auto"/>
                                                                    <w:left w:val="none" w:sz="0" w:space="0" w:color="auto"/>
                                                                    <w:bottom w:val="none" w:sz="0" w:space="0" w:color="auto"/>
                                                                    <w:right w:val="none" w:sz="0" w:space="0" w:color="auto"/>
                                                                  </w:divBdr>
                                                                  <w:divsChild>
                                                                    <w:div w:id="823861059">
                                                                      <w:marLeft w:val="0"/>
                                                                      <w:marRight w:val="0"/>
                                                                      <w:marTop w:val="0"/>
                                                                      <w:marBottom w:val="0"/>
                                                                      <w:divBdr>
                                                                        <w:top w:val="none" w:sz="0" w:space="0" w:color="auto"/>
                                                                        <w:left w:val="none" w:sz="0" w:space="0" w:color="auto"/>
                                                                        <w:bottom w:val="none" w:sz="0" w:space="0" w:color="auto"/>
                                                                        <w:right w:val="none" w:sz="0" w:space="0" w:color="auto"/>
                                                                      </w:divBdr>
                                                                      <w:divsChild>
                                                                        <w:div w:id="1019117541">
                                                                          <w:marLeft w:val="0"/>
                                                                          <w:marRight w:val="0"/>
                                                                          <w:marTop w:val="0"/>
                                                                          <w:marBottom w:val="0"/>
                                                                          <w:divBdr>
                                                                            <w:top w:val="none" w:sz="0" w:space="0" w:color="auto"/>
                                                                            <w:left w:val="none" w:sz="0" w:space="0" w:color="auto"/>
                                                                            <w:bottom w:val="none" w:sz="0" w:space="0" w:color="auto"/>
                                                                            <w:right w:val="none" w:sz="0" w:space="0" w:color="auto"/>
                                                                          </w:divBdr>
                                                                          <w:divsChild>
                                                                            <w:div w:id="979459020">
                                                                              <w:marLeft w:val="0"/>
                                                                              <w:marRight w:val="0"/>
                                                                              <w:marTop w:val="0"/>
                                                                              <w:marBottom w:val="0"/>
                                                                              <w:divBdr>
                                                                                <w:top w:val="none" w:sz="0" w:space="0" w:color="auto"/>
                                                                                <w:left w:val="none" w:sz="0" w:space="0" w:color="auto"/>
                                                                                <w:bottom w:val="none" w:sz="0" w:space="0" w:color="auto"/>
                                                                                <w:right w:val="none" w:sz="0" w:space="0" w:color="auto"/>
                                                                              </w:divBdr>
                                                                              <w:divsChild>
                                                                                <w:div w:id="1585215163">
                                                                                  <w:marLeft w:val="0"/>
                                                                                  <w:marRight w:val="0"/>
                                                                                  <w:marTop w:val="0"/>
                                                                                  <w:marBottom w:val="0"/>
                                                                                  <w:divBdr>
                                                                                    <w:top w:val="none" w:sz="0" w:space="0" w:color="auto"/>
                                                                                    <w:left w:val="none" w:sz="0" w:space="0" w:color="auto"/>
                                                                                    <w:bottom w:val="none" w:sz="0" w:space="0" w:color="auto"/>
                                                                                    <w:right w:val="none" w:sz="0" w:space="0" w:color="auto"/>
                                                                                  </w:divBdr>
                                                                                </w:div>
                                                                                <w:div w:id="28647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8147722">
      <w:bodyDiv w:val="1"/>
      <w:marLeft w:val="0"/>
      <w:marRight w:val="0"/>
      <w:marTop w:val="0"/>
      <w:marBottom w:val="0"/>
      <w:divBdr>
        <w:top w:val="none" w:sz="0" w:space="0" w:color="auto"/>
        <w:left w:val="none" w:sz="0" w:space="0" w:color="auto"/>
        <w:bottom w:val="none" w:sz="0" w:space="0" w:color="auto"/>
        <w:right w:val="none" w:sz="0" w:space="0" w:color="auto"/>
      </w:divBdr>
    </w:div>
    <w:div w:id="212306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chart" Target="charts/chart1.xm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chart" Target="charts/chart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yperlink" Target="https://assets.publishing.service.gov.uk/government/uploads/system/uploads/attachment_data/file/724614/use-of-discretionary-housing-payments-2017-to-2018.pdf"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chart" Target="charts/chart2.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chart" Target="charts/chart5.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 Id="rId22" Type="http://schemas.openxmlformats.org/officeDocument/2006/relationships/chart" Target="charts/chart4.xml"/><Relationship Id="rId27" Type="http://schemas.openxmlformats.org/officeDocument/2006/relationships/hyperlink" Target="https://assets.publishing.service.gov.uk/government/uploads/system/uploads/attachment_data/file/724614/use-of-discretionary-housing-payments-2017-to-2018.pdf"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assets.publishing.service.gov.uk/government/uploads/system/uploads/attachment_data/file/548741/welfare-reform-and-work-act-impact-assessment-for-the-benefit-cap.pdf" TargetMode="External"/><Relationship Id="rId13" Type="http://schemas.openxmlformats.org/officeDocument/2006/relationships/hyperlink" Target="https://assets.publishing.service.gov.uk/government/uploads/system/uploads/attachment_data/file/386198/rr894-post-implementation-effects-of-benefit-cap-wave-2.pdf" TargetMode="External"/><Relationship Id="rId18" Type="http://schemas.openxmlformats.org/officeDocument/2006/relationships/hyperlink" Target="https://stat-xplore.dwp.gov.uk/webapi/jsf/login.xhtml" TargetMode="External"/><Relationship Id="rId26" Type="http://schemas.openxmlformats.org/officeDocument/2006/relationships/hyperlink" Target="https://publications.parliament.uk/pa/cm201719/cmselect/cmworpen/1540/1540.pdf" TargetMode="External"/><Relationship Id="rId39" Type="http://schemas.openxmlformats.org/officeDocument/2006/relationships/hyperlink" Target="https://www.nao.org.uk/wp-content/uploads/2018/10/Departmental-Overview-Department-for-Work-and-Pensions.pdf" TargetMode="External"/><Relationship Id="rId3" Type="http://schemas.openxmlformats.org/officeDocument/2006/relationships/hyperlink" Target="https://publications.parliament.uk/pa/cm201011/cmhansrd/cm110309/debtext/110309-0001.htm" TargetMode="External"/><Relationship Id="rId21" Type="http://schemas.openxmlformats.org/officeDocument/2006/relationships/hyperlink" Target="https://assets.publishing.service.gov.uk/government/uploads/system/uploads/attachment_data/file/776934/benefit-cap-statistics-november-2018.pdf" TargetMode="External"/><Relationship Id="rId34" Type="http://schemas.openxmlformats.org/officeDocument/2006/relationships/hyperlink" Target="https://www.bailii.org/ehttps:/www.bailii.org/ew/cases/EWHC/Admin/2019/23.htmlw/cases/EWHC/Admin/2019/23.html" TargetMode="External"/><Relationship Id="rId42" Type="http://schemas.openxmlformats.org/officeDocument/2006/relationships/hyperlink" Target="https://assets.publishing.service.gov.uk/government/uploads/system/uploads/attachment_data/file/724614/use-of-discretionary-housing-payments-2017-to-2018.pdf" TargetMode="External"/><Relationship Id="rId7" Type="http://schemas.openxmlformats.org/officeDocument/2006/relationships/hyperlink" Target="https://assets.publishing.service.gov.uk/government/uploads/system/uploads/attachment_data/file/588082/benefit-cap-statistics-to-november-2016.pdf" TargetMode="External"/><Relationship Id="rId12" Type="http://schemas.openxmlformats.org/officeDocument/2006/relationships/hyperlink" Target="https://assets.publishing.service.gov.uk/government/uploads/system/uploads/attachment_data/file/776934/benefit-cap-statistics-november-2018.pdf" TargetMode="External"/><Relationship Id="rId17" Type="http://schemas.openxmlformats.org/officeDocument/2006/relationships/hyperlink" Target="https://assets.publishing.service.gov.uk/government/uploads/system/uploads/attachment_data/file/776934/benefit-cap-statistics-november-2018.pdf" TargetMode="External"/><Relationship Id="rId25" Type="http://schemas.openxmlformats.org/officeDocument/2006/relationships/hyperlink" Target="http://data.parliament.uk/writtenevidence/committeeevidence.svc/evidencedocument/work-and-pensions-committee/twochild-limit/oral/93901.pdf" TargetMode="External"/><Relationship Id="rId33" Type="http://schemas.openxmlformats.org/officeDocument/2006/relationships/hyperlink" Target="https://publications.parliament.uk/pa/cm201314/cmselect/cmworpen/720/720.pdf" TargetMode="External"/><Relationship Id="rId38" Type="http://schemas.openxmlformats.org/officeDocument/2006/relationships/hyperlink" Target="https://assets.publishing.service.gov.uk/government/uploads/system/uploads/attachment_data/file/548741/welfare-reform-and-work-act-impact-assessment-for-the-benefit-cap.pdf" TargetMode="External"/><Relationship Id="rId2" Type="http://schemas.openxmlformats.org/officeDocument/2006/relationships/hyperlink" Target="https://assets.publishing.service.gov.uk/government/uploads/system/uploads/attachment_data/file/776934/benefit-cap-statistics-november-2018.pdf" TargetMode="External"/><Relationship Id="rId16" Type="http://schemas.openxmlformats.org/officeDocument/2006/relationships/hyperlink" Target="C://Users/durosholak/AppData/Local/Packages/Microsoft.MicrosoftEdge_8wekyb3d8bbwe/TempState/Downloads/lets_talk_report%20(1).pdf" TargetMode="External"/><Relationship Id="rId20" Type="http://schemas.openxmlformats.org/officeDocument/2006/relationships/hyperlink" Target="https://blog.shelter.org.uk/2018/12/the-benefit-cap-is-harming-struggling-families/" TargetMode="External"/><Relationship Id="rId29" Type="http://schemas.openxmlformats.org/officeDocument/2006/relationships/hyperlink" Target="https://assets.publishing.service.gov.uk/government/uploads/system/uploads/attachment_data/file/776934/benefit-cap-statistics-november-2018.pdf" TargetMode="External"/><Relationship Id="rId41" Type="http://schemas.openxmlformats.org/officeDocument/2006/relationships/hyperlink" Target="https://assets.publishing.service.gov.uk/government/uploads/system/uploads/attachment_data/file/724614/use-of-discretionary-housing-payments-2017-to-2018.pdf" TargetMode="External"/><Relationship Id="rId1" Type="http://schemas.openxmlformats.org/officeDocument/2006/relationships/hyperlink" Target="https://assets.publishing.service.gov.uk/government/uploads/system/uploads/attachment_data/file/443232/50325_Summer_Budget_15_Web_Accessible.pdf" TargetMode="External"/><Relationship Id="rId6" Type="http://schemas.openxmlformats.org/officeDocument/2006/relationships/hyperlink" Target="https://www.ons.gov.uk/employmentandlabourmarket/peopleinwork/employmentandemployeetypes/articles/familiesandthelabourmarketengland/2018" TargetMode="External"/><Relationship Id="rId11" Type="http://schemas.openxmlformats.org/officeDocument/2006/relationships/hyperlink" Target="https://assets.publishing.service.gov.uk/government/uploads/system/uploads/attachment_data/file/776934/benefit-cap-statistics-november-2018.pdf" TargetMode="External"/><Relationship Id="rId24" Type="http://schemas.openxmlformats.org/officeDocument/2006/relationships/hyperlink" Target="https://www.statisticsauthority.gov.uk/wp-content/uploads/2015/11/letterfromsirandrewdilnottojonathanportes17121_tcm97-44314.pdf" TargetMode="External"/><Relationship Id="rId32" Type="http://schemas.openxmlformats.org/officeDocument/2006/relationships/hyperlink" Target="http://data.parliament.uk/writtenevidence/committeeevidence.svc/evidencedocument/work-and-pensions-committee/welfare-safety-net-followup/oral/95215.pdf" TargetMode="External"/><Relationship Id="rId37" Type="http://schemas.openxmlformats.org/officeDocument/2006/relationships/hyperlink" Target="https://assets.publishing.service.gov.uk/government/uploads/system/uploads/attachment_data/file/548741/welfare-reform-and-work-act-impact-assessment-for-the-benefit-cap.pdf" TargetMode="External"/><Relationship Id="rId40" Type="http://schemas.openxmlformats.org/officeDocument/2006/relationships/hyperlink" Target="https://www.ifs.org.uk/publications/8717" TargetMode="External"/><Relationship Id="rId5" Type="http://schemas.openxmlformats.org/officeDocument/2006/relationships/hyperlink" Target="https://assets.publishing.service.gov.uk/government/uploads/system/uploads/attachment_data/file/588082/benefit-cap-statistics-to-november-2016.pdf" TargetMode="External"/><Relationship Id="rId15" Type="http://schemas.openxmlformats.org/officeDocument/2006/relationships/hyperlink" Target="https://www.shaw-trust.org.uk/ShawTrustMediaLibraries/ShawTrust/ShawTrust/Documents/Shaw-Trust-Mental-Health-at-Work-Report-2018-full_1.pdf" TargetMode="External"/><Relationship Id="rId23" Type="http://schemas.openxmlformats.org/officeDocument/2006/relationships/hyperlink" Target="https://www.statisticsauthority.gov.uk/archive/reports---correspondence/correspondence/letter-from-andrew-dilnot-to-rt-hon-iain-duncan-smith-mp-090513.pdf" TargetMode="External"/><Relationship Id="rId28" Type="http://schemas.openxmlformats.org/officeDocument/2006/relationships/hyperlink" Target="https://www.supremecourt.uk/decided-cases/docs/UKSC_2014_0079_Judgment.pdf" TargetMode="External"/><Relationship Id="rId36" Type="http://schemas.openxmlformats.org/officeDocument/2006/relationships/hyperlink" Target="https://assets.publishing.service.gov.uk/government/uploads/system/uploads/attachment_data/file/221885/budget2013_complete.pdf" TargetMode="External"/><Relationship Id="rId10" Type="http://schemas.openxmlformats.org/officeDocument/2006/relationships/hyperlink" Target="https://stat-xplore.dwp.gov.uk" TargetMode="External"/><Relationship Id="rId19" Type="http://schemas.openxmlformats.org/officeDocument/2006/relationships/hyperlink" Target="https://assets.publishing.service.gov.uk/government/uploads/system/uploads/attachment_data/file/386198/rr894-post-implementation-effects-of-benefit-cap-wave-2.pdf" TargetMode="External"/><Relationship Id="rId31" Type="http://schemas.openxmlformats.org/officeDocument/2006/relationships/hyperlink" Target="https://assets.publishing.service.gov.uk/government/uploads/system/uploads/attachment_data/file/386911/benefit-cap-review-of-the-first-year.pdf" TargetMode="External"/><Relationship Id="rId4" Type="http://schemas.openxmlformats.org/officeDocument/2006/relationships/hyperlink" Target="https://publications.parliament.uk/pa/cm201011/cmhansrd/cm110615/debtext/110615-0003.htm" TargetMode="External"/><Relationship Id="rId9" Type="http://schemas.openxmlformats.org/officeDocument/2006/relationships/hyperlink" Target="https://assets.publishing.service.gov.uk/government/uploads/system/uploads/attachment_data/file/776934/benefit-cap-statistics-november-2018.pdf" TargetMode="External"/><Relationship Id="rId14" Type="http://schemas.openxmlformats.org/officeDocument/2006/relationships/hyperlink" Target="https://publications.parliament.uk/pa/cm201719/cmselect/cmworpen/1771/1771.pdf" TargetMode="External"/><Relationship Id="rId22" Type="http://schemas.openxmlformats.org/officeDocument/2006/relationships/hyperlink" Target="https://www.dailymail.co.uk/news/article-2308159/16-000-fewer-households-affected-benefits-cap-500-half-jobs-rest-moved-cheaper-houses.html" TargetMode="External"/><Relationship Id="rId27" Type="http://schemas.openxmlformats.org/officeDocument/2006/relationships/hyperlink" Target="https://assets.publishing.service.gov.uk/government/uploads/system/uploads/attachment_data/file/776934/benefit-cap-statistics-november-2018.pdf" TargetMode="External"/><Relationship Id="rId30" Type="http://schemas.openxmlformats.org/officeDocument/2006/relationships/hyperlink" Target="https://assets.publishing.service.gov.uk/government/uploads/system/uploads/attachment_data/file/385901/rr895-benefit-cap-indepth-interviews.pdf" TargetMode="External"/><Relationship Id="rId35" Type="http://schemas.openxmlformats.org/officeDocument/2006/relationships/hyperlink" Target="https://publications.parliament.uk/pa/cm201314/cmselect/cmworpen/720/72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A:\Template%20Drive\RAT\Master\Report%20Authoring%20Tool.dot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urosholak\AppData\Local\Microsoft\Windows\INetCache\Content.Outlook\UJZG7KYT\Copy%20of%20Library%20benefit%20cap%20fairness.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_rels/chart3.xml.rels><?xml version="1.0" encoding="UTF-8" standalone="yes"?>
<Relationships xmlns="http://schemas.openxmlformats.org/package/2006/relationships"><Relationship Id="rId3" Type="http://schemas.openxmlformats.org/officeDocument/2006/relationships/oleObject" Target="file:///\\hpap03f\DCCS_Rdf$\durosholak\Documents\Benefits%20Cap\Library%20benefit%20cap%20fairnes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urosholak\Downloads\benefit-cap-statistics-november-2018-tabl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Column3</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Child Tax Credits</c:v>
                </c:pt>
                <c:pt idx="1">
                  <c:v>Income Support</c:v>
                </c:pt>
                <c:pt idx="2">
                  <c:v>Jobseeker's Allowance</c:v>
                </c:pt>
                <c:pt idx="3">
                  <c:v>Employment and Support Allowance</c:v>
                </c:pt>
                <c:pt idx="4">
                  <c:v>Housing Benefit Only</c:v>
                </c:pt>
              </c:strCache>
            </c:strRef>
          </c:cat>
          <c:val>
            <c:numRef>
              <c:f>Sheet1!$B$2:$B$6</c:f>
              <c:numCache>
                <c:formatCode>0%</c:formatCode>
                <c:ptCount val="5"/>
                <c:pt idx="0">
                  <c:v>0.92</c:v>
                </c:pt>
                <c:pt idx="1">
                  <c:v>0.51</c:v>
                </c:pt>
                <c:pt idx="2">
                  <c:v>0.18</c:v>
                </c:pt>
                <c:pt idx="3">
                  <c:v>0.15</c:v>
                </c:pt>
                <c:pt idx="4">
                  <c:v>0.02</c:v>
                </c:pt>
              </c:numCache>
            </c:numRef>
          </c:val>
          <c:extLst>
            <c:ext xmlns:c16="http://schemas.microsoft.com/office/drawing/2014/chart" uri="{C3380CC4-5D6E-409C-BE32-E72D297353CC}">
              <c16:uniqueId val="{00000000-E219-4569-8A28-D919616C09F5}"/>
            </c:ext>
          </c:extLst>
        </c:ser>
        <c:dLbls>
          <c:showLegendKey val="0"/>
          <c:showVal val="0"/>
          <c:showCatName val="0"/>
          <c:showSerName val="0"/>
          <c:showPercent val="0"/>
          <c:showBubbleSize val="0"/>
        </c:dLbls>
        <c:gapWidth val="219"/>
        <c:overlap val="-27"/>
        <c:axId val="1056384032"/>
        <c:axId val="1056387968"/>
      </c:barChart>
      <c:catAx>
        <c:axId val="1056384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6387968"/>
        <c:crosses val="autoZero"/>
        <c:auto val="1"/>
        <c:lblAlgn val="ctr"/>
        <c:lblOffset val="100"/>
        <c:noMultiLvlLbl val="0"/>
      </c:catAx>
      <c:valAx>
        <c:axId val="105638796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 of </a:t>
                </a:r>
                <a:r>
                  <a:rPr lang="en-GB" baseline="0"/>
                  <a:t> capped households (Housing Benefit Only) claiming benefit</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63840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2898225134445613E-2"/>
          <c:y val="0.24034289850101745"/>
          <c:w val="0.89658895435273389"/>
          <c:h val="0.44814363681849123"/>
        </c:manualLayout>
      </c:layout>
      <c:barChart>
        <c:barDir val="col"/>
        <c:grouping val="stacked"/>
        <c:varyColors val="0"/>
        <c:ser>
          <c:idx val="0"/>
          <c:order val="0"/>
          <c:tx>
            <c:strRef>
              <c:f>'[Copy of Library benefit cap fairness.xlsx]Single parent scenarios (2)'!$I$60</c:f>
              <c:strCache>
                <c:ptCount val="1"/>
                <c:pt idx="0">
                  <c:v>Benefit entitlement after cap</c:v>
                </c:pt>
              </c:strCache>
            </c:strRef>
          </c:tx>
          <c:spPr>
            <a:solidFill>
              <a:schemeClr val="accent1"/>
            </a:solidFill>
            <a:ln>
              <a:noFill/>
            </a:ln>
            <a:effectLst/>
          </c:spPr>
          <c:invertIfNegative val="0"/>
          <c:cat>
            <c:multiLvlStrRef>
              <c:f>'[Copy of Library benefit cap fairness.xlsx]Single parent scenarios (2)'!$J$58:$S$59</c:f>
              <c:multiLvlStrCache>
                <c:ptCount val="6"/>
                <c:lvl>
                  <c:pt idx="0">
                    <c:v>In work</c:v>
                  </c:pt>
                  <c:pt idx="1">
                    <c:v>Out of work</c:v>
                  </c:pt>
                  <c:pt idx="2">
                    <c:v>In work</c:v>
                  </c:pt>
                  <c:pt idx="3">
                    <c:v>Out of work</c:v>
                  </c:pt>
                  <c:pt idx="4">
                    <c:v>In work </c:v>
                  </c:pt>
                  <c:pt idx="5">
                    <c:v>Out of work</c:v>
                  </c:pt>
                </c:lvl>
                <c:lvl>
                  <c:pt idx="0">
                    <c:v>Three children</c:v>
                  </c:pt>
                  <c:pt idx="2">
                    <c:v>Four children</c:v>
                  </c:pt>
                  <c:pt idx="4">
                    <c:v>Five children</c:v>
                  </c:pt>
                </c:lvl>
              </c:multiLvlStrCache>
              <c:extLst/>
            </c:multiLvlStrRef>
          </c:cat>
          <c:val>
            <c:numRef>
              <c:f>'[Copy of Library benefit cap fairness.xlsx]Single parent scenarios (2)'!$J$60:$S$60</c:f>
              <c:numCache>
                <c:formatCode>General</c:formatCode>
                <c:ptCount val="6"/>
                <c:pt idx="0" formatCode="&quot;£&quot;#,##0_);[Red]\(&quot;£&quot;#,##0\)">
                  <c:v>20000</c:v>
                </c:pt>
                <c:pt idx="2" formatCode="&quot;£&quot;#,##0_);[Red]\(&quot;£&quot;#,##0\)">
                  <c:v>20000</c:v>
                </c:pt>
                <c:pt idx="4" formatCode="&quot;£&quot;#,##0_);[Red]\(&quot;£&quot;#,##0\)">
                  <c:v>20000</c:v>
                </c:pt>
              </c:numCache>
              <c:extLst/>
            </c:numRef>
          </c:val>
          <c:extLst>
            <c:ext xmlns:c16="http://schemas.microsoft.com/office/drawing/2014/chart" uri="{C3380CC4-5D6E-409C-BE32-E72D297353CC}">
              <c16:uniqueId val="{00000000-6B75-4495-947B-351177BA585E}"/>
            </c:ext>
          </c:extLst>
        </c:ser>
        <c:ser>
          <c:idx val="1"/>
          <c:order val="1"/>
          <c:tx>
            <c:strRef>
              <c:f>'[Copy of Library benefit cap fairness.xlsx]Single parent scenarios (2)'!$I$61</c:f>
              <c:strCache>
                <c:ptCount val="1"/>
                <c:pt idx="0">
                  <c:v>Capped amount</c:v>
                </c:pt>
              </c:strCache>
            </c:strRef>
          </c:tx>
          <c:spPr>
            <a:solidFill>
              <a:schemeClr val="bg1">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'[Copy of Library benefit cap fairness.xlsx]Single parent scenarios (2)'!$J$58:$S$59</c:f>
              <c:multiLvlStrCache>
                <c:ptCount val="6"/>
                <c:lvl>
                  <c:pt idx="0">
                    <c:v>In work</c:v>
                  </c:pt>
                  <c:pt idx="1">
                    <c:v>Out of work</c:v>
                  </c:pt>
                  <c:pt idx="2">
                    <c:v>In work</c:v>
                  </c:pt>
                  <c:pt idx="3">
                    <c:v>Out of work</c:v>
                  </c:pt>
                  <c:pt idx="4">
                    <c:v>In work </c:v>
                  </c:pt>
                  <c:pt idx="5">
                    <c:v>Out of work</c:v>
                  </c:pt>
                </c:lvl>
                <c:lvl>
                  <c:pt idx="0">
                    <c:v>Three children</c:v>
                  </c:pt>
                  <c:pt idx="2">
                    <c:v>Four children</c:v>
                  </c:pt>
                  <c:pt idx="4">
                    <c:v>Five children</c:v>
                  </c:pt>
                </c:lvl>
              </c:multiLvlStrCache>
              <c:extLst/>
            </c:multiLvlStrRef>
          </c:cat>
          <c:val>
            <c:numRef>
              <c:f>'[Copy of Library benefit cap fairness.xlsx]Single parent scenarios (2)'!$J$61:$S$61</c:f>
              <c:numCache>
                <c:formatCode>General</c:formatCode>
                <c:ptCount val="6"/>
                <c:pt idx="0" formatCode="&quot;£&quot;#,##0_);[Red]\(&quot;£&quot;#,##0\)">
                  <c:v>3896.2114285714269</c:v>
                </c:pt>
                <c:pt idx="2" formatCode="&quot;£&quot;#,##0_);[Red]\(&quot;£&quot;#,##0\)">
                  <c:v>10016.378571428573</c:v>
                </c:pt>
                <c:pt idx="4" formatCode="&quot;£&quot;#,##0_);[Red]\(&quot;£&quot;#,##0\)">
                  <c:v>13510.735714285714</c:v>
                </c:pt>
              </c:numCache>
              <c:extLst/>
            </c:numRef>
          </c:val>
          <c:extLst>
            <c:ext xmlns:c16="http://schemas.microsoft.com/office/drawing/2014/chart" uri="{C3380CC4-5D6E-409C-BE32-E72D297353CC}">
              <c16:uniqueId val="{00000001-6B75-4495-947B-351177BA585E}"/>
            </c:ext>
          </c:extLst>
        </c:ser>
        <c:ser>
          <c:idx val="2"/>
          <c:order val="2"/>
          <c:tx>
            <c:strRef>
              <c:f>'[Copy of Library benefit cap fairness.xlsx]Single parent scenarios (2)'!$I$62</c:f>
              <c:strCache>
                <c:ptCount val="1"/>
                <c:pt idx="0">
                  <c:v>In-work net earnings </c:v>
                </c:pt>
              </c:strCache>
            </c:strRef>
          </c:tx>
          <c:spPr>
            <a:solidFill>
              <a:schemeClr val="accent3"/>
            </a:solidFill>
            <a:ln>
              <a:noFill/>
            </a:ln>
            <a:effectLst/>
          </c:spPr>
          <c:invertIfNegative val="0"/>
          <c:cat>
            <c:multiLvlStrRef>
              <c:f>'[Copy of Library benefit cap fairness.xlsx]Single parent scenarios (2)'!$J$58:$S$59</c:f>
              <c:multiLvlStrCache>
                <c:ptCount val="6"/>
                <c:lvl>
                  <c:pt idx="0">
                    <c:v>In work</c:v>
                  </c:pt>
                  <c:pt idx="1">
                    <c:v>Out of work</c:v>
                  </c:pt>
                  <c:pt idx="2">
                    <c:v>In work</c:v>
                  </c:pt>
                  <c:pt idx="3">
                    <c:v>Out of work</c:v>
                  </c:pt>
                  <c:pt idx="4">
                    <c:v>In work </c:v>
                  </c:pt>
                  <c:pt idx="5">
                    <c:v>Out of work</c:v>
                  </c:pt>
                </c:lvl>
                <c:lvl>
                  <c:pt idx="0">
                    <c:v>Three children</c:v>
                  </c:pt>
                  <c:pt idx="2">
                    <c:v>Four children</c:v>
                  </c:pt>
                  <c:pt idx="4">
                    <c:v>Five children</c:v>
                  </c:pt>
                </c:lvl>
              </c:multiLvlStrCache>
              <c:extLst/>
            </c:multiLvlStrRef>
          </c:cat>
          <c:val>
            <c:numRef>
              <c:f>'[Copy of Library benefit cap fairness.xlsx]Single parent scenarios (2)'!$J$62:$S$62</c:f>
              <c:numCache>
                <c:formatCode>"£"#,##0_);[Red]\("£"#,##0\)</c:formatCode>
                <c:ptCount val="6"/>
                <c:pt idx="1">
                  <c:v>20000</c:v>
                </c:pt>
                <c:pt idx="3">
                  <c:v>20000</c:v>
                </c:pt>
                <c:pt idx="5" formatCode="#,##0">
                  <c:v>20000</c:v>
                </c:pt>
              </c:numCache>
              <c:extLst/>
            </c:numRef>
          </c:val>
          <c:extLst>
            <c:ext xmlns:c16="http://schemas.microsoft.com/office/drawing/2014/chart" uri="{C3380CC4-5D6E-409C-BE32-E72D297353CC}">
              <c16:uniqueId val="{00000002-6B75-4495-947B-351177BA585E}"/>
            </c:ext>
          </c:extLst>
        </c:ser>
        <c:ser>
          <c:idx val="3"/>
          <c:order val="3"/>
          <c:tx>
            <c:strRef>
              <c:f>'[Copy of Library benefit cap fairness.xlsx]Single parent scenarios (2)'!$I$63</c:f>
              <c:strCache>
                <c:ptCount val="1"/>
                <c:pt idx="0">
                  <c:v>In-work additional benefit entitlement</c:v>
                </c:pt>
              </c:strCache>
            </c:strRef>
          </c:tx>
          <c:spPr>
            <a:solidFill>
              <a:schemeClr val="accent6">
                <a:lumMod val="40000"/>
                <a:lumOff val="60000"/>
              </a:schemeClr>
            </a:solidFill>
            <a:ln>
              <a:noFill/>
            </a:ln>
            <a:effectLst/>
          </c:spPr>
          <c:invertIfNegative val="0"/>
          <c:dLbls>
            <c:numFmt formatCode="&quot;£&quot;#,##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'[Copy of Library benefit cap fairness.xlsx]Single parent scenarios (2)'!$J$58:$S$59</c:f>
              <c:multiLvlStrCache>
                <c:ptCount val="6"/>
                <c:lvl>
                  <c:pt idx="0">
                    <c:v>In work</c:v>
                  </c:pt>
                  <c:pt idx="1">
                    <c:v>Out of work</c:v>
                  </c:pt>
                  <c:pt idx="2">
                    <c:v>In work</c:v>
                  </c:pt>
                  <c:pt idx="3">
                    <c:v>Out of work</c:v>
                  </c:pt>
                  <c:pt idx="4">
                    <c:v>In work </c:v>
                  </c:pt>
                  <c:pt idx="5">
                    <c:v>Out of work</c:v>
                  </c:pt>
                </c:lvl>
                <c:lvl>
                  <c:pt idx="0">
                    <c:v>Three children</c:v>
                  </c:pt>
                  <c:pt idx="2">
                    <c:v>Four children</c:v>
                  </c:pt>
                  <c:pt idx="4">
                    <c:v>Five children</c:v>
                  </c:pt>
                </c:lvl>
              </c:multiLvlStrCache>
              <c:extLst/>
            </c:multiLvlStrRef>
          </c:cat>
          <c:val>
            <c:numRef>
              <c:f>'[Copy of Library benefit cap fairness.xlsx]Single parent scenarios (2)'!$J$63:$S$63</c:f>
              <c:numCache>
                <c:formatCode>"£"#,##0_);[Red]\("£"#,##0\)</c:formatCode>
                <c:ptCount val="6"/>
                <c:pt idx="1">
                  <c:v>11694.873357142853</c:v>
                </c:pt>
                <c:pt idx="3">
                  <c:v>18275.472642857138</c:v>
                </c:pt>
                <c:pt idx="5" formatCode="#,##0">
                  <c:v>22230</c:v>
                </c:pt>
              </c:numCache>
              <c:extLst/>
            </c:numRef>
          </c:val>
          <c:extLst>
            <c:ext xmlns:c16="http://schemas.microsoft.com/office/drawing/2014/chart" uri="{C3380CC4-5D6E-409C-BE32-E72D297353CC}">
              <c16:uniqueId val="{00000003-6B75-4495-947B-351177BA585E}"/>
            </c:ext>
          </c:extLst>
        </c:ser>
        <c:dLbls>
          <c:showLegendKey val="0"/>
          <c:showVal val="0"/>
          <c:showCatName val="0"/>
          <c:showSerName val="0"/>
          <c:showPercent val="0"/>
          <c:showBubbleSize val="0"/>
        </c:dLbls>
        <c:gapWidth val="169"/>
        <c:overlap val="100"/>
        <c:axId val="548300720"/>
        <c:axId val="651749056"/>
      </c:barChart>
      <c:catAx>
        <c:axId val="548300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749056"/>
        <c:crosses val="autoZero"/>
        <c:auto val="1"/>
        <c:lblAlgn val="ctr"/>
        <c:lblOffset val="100"/>
        <c:noMultiLvlLbl val="0"/>
      </c:catAx>
      <c:valAx>
        <c:axId val="651749056"/>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300720"/>
        <c:crosses val="autoZero"/>
        <c:crossBetween val="between"/>
      </c:valAx>
      <c:spPr>
        <a:noFill/>
        <a:ln>
          <a:noFill/>
        </a:ln>
        <a:effectLst/>
      </c:spPr>
    </c:plotArea>
    <c:legend>
      <c:legendPos val="b"/>
      <c:layout>
        <c:manualLayout>
          <c:xMode val="edge"/>
          <c:yMode val="edge"/>
          <c:x val="7.9415450691041223E-2"/>
          <c:y val="0.79274538229757774"/>
          <c:w val="0.92058447715202107"/>
          <c:h val="8.206409623151347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044287252494494"/>
          <c:y val="0.11830940988835727"/>
          <c:w val="0.79638502540308642"/>
          <c:h val="0.80769292594406561"/>
        </c:manualLayout>
      </c:layout>
      <c:barChart>
        <c:barDir val="col"/>
        <c:grouping val="stacked"/>
        <c:varyColors val="0"/>
        <c:ser>
          <c:idx val="0"/>
          <c:order val="0"/>
          <c:tx>
            <c:strRef>
              <c:f>'Single parent scenarios (2)'!$F$40</c:f>
              <c:strCache>
                <c:ptCount val="1"/>
                <c:pt idx="0">
                  <c:v>Benefit capped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'Single parent scenarios (2)'!$F$42</c:f>
              <c:numCache>
                <c:formatCode>"£"#,##0_);[Red]\("£"#,##0\)</c:formatCode>
                <c:ptCount val="1"/>
                <c:pt idx="0">
                  <c:v>20000</c:v>
                </c:pt>
              </c:numCache>
            </c:numRef>
          </c:val>
          <c:extLst>
            <c:ext xmlns:c16="http://schemas.microsoft.com/office/drawing/2014/chart" uri="{C3380CC4-5D6E-409C-BE32-E72D297353CC}">
              <c16:uniqueId val="{00000000-EA8D-496D-B115-A564D4B2169E}"/>
            </c:ext>
          </c:extLst>
        </c:ser>
        <c:ser>
          <c:idx val="1"/>
          <c:order val="1"/>
          <c:tx>
            <c:strRef>
              <c:f>'Single parent scenarios (2)'!$G$40</c:f>
              <c:strCache>
                <c:ptCount val="1"/>
                <c:pt idx="0">
                  <c:v>in-work and affected by two-child limit (earning £20k net)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'Single parent scenarios (2)'!$G$42</c:f>
              <c:numCache>
                <c:formatCode>"£"#,##0_);[Red]\("£"#,##0\)</c:formatCode>
                <c:ptCount val="1"/>
                <c:pt idx="0">
                  <c:v>7672.2608571428573</c:v>
                </c:pt>
              </c:numCache>
            </c:numRef>
          </c:val>
          <c:extLst>
            <c:ext xmlns:c16="http://schemas.microsoft.com/office/drawing/2014/chart" uri="{C3380CC4-5D6E-409C-BE32-E72D297353CC}">
              <c16:uniqueId val="{00000001-EA8D-496D-B115-A564D4B2169E}"/>
            </c:ext>
          </c:extLst>
        </c:ser>
        <c:ser>
          <c:idx val="2"/>
          <c:order val="2"/>
          <c:tx>
            <c:strRef>
              <c:f>'Single parent scenarios (2)'!$H$40</c:f>
              <c:strCache>
                <c:ptCount val="1"/>
                <c:pt idx="0">
                  <c:v>in work  and not affected by the two-child limit (earning £20k net)</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'Single parent scenarios (2)'!$H$42</c:f>
              <c:numCache>
                <c:formatCode>"£"#,##0_);[Red]\("£"#,##0\)</c:formatCode>
                <c:ptCount val="1"/>
                <c:pt idx="0">
                  <c:v>4022.6124999999956</c:v>
                </c:pt>
              </c:numCache>
            </c:numRef>
          </c:val>
          <c:extLst>
            <c:ext xmlns:c16="http://schemas.microsoft.com/office/drawing/2014/chart" uri="{C3380CC4-5D6E-409C-BE32-E72D297353CC}">
              <c16:uniqueId val="{00000002-EA8D-496D-B115-A564D4B2169E}"/>
            </c:ext>
          </c:extLst>
        </c:ser>
        <c:dLbls>
          <c:dLblPos val="ctr"/>
          <c:showLegendKey val="0"/>
          <c:showVal val="1"/>
          <c:showCatName val="0"/>
          <c:showSerName val="0"/>
          <c:showPercent val="0"/>
          <c:showBubbleSize val="0"/>
        </c:dLbls>
        <c:gapWidth val="150"/>
        <c:overlap val="100"/>
        <c:axId val="636055472"/>
        <c:axId val="636055800"/>
      </c:barChart>
      <c:catAx>
        <c:axId val="636055472"/>
        <c:scaling>
          <c:orientation val="minMax"/>
        </c:scaling>
        <c:delete val="1"/>
        <c:axPos val="b"/>
        <c:numFmt formatCode="General" sourceLinked="1"/>
        <c:majorTickMark val="none"/>
        <c:minorTickMark val="none"/>
        <c:tickLblPos val="nextTo"/>
        <c:crossAx val="636055800"/>
        <c:crosses val="autoZero"/>
        <c:auto val="1"/>
        <c:lblAlgn val="ctr"/>
        <c:lblOffset val="100"/>
        <c:noMultiLvlLbl val="0"/>
      </c:catAx>
      <c:valAx>
        <c:axId val="636055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Total income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Red]\(&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055472"/>
        <c:crosses val="autoZero"/>
        <c:crossBetween val="between"/>
      </c:valAx>
      <c:spPr>
        <a:noFill/>
        <a:ln>
          <a:noFill/>
        </a:ln>
        <a:effectLst/>
      </c:spPr>
    </c:plotArea>
    <c:legend>
      <c:legendPos val="r"/>
      <c:layout>
        <c:manualLayout>
          <c:xMode val="edge"/>
          <c:yMode val="edge"/>
          <c:x val="0.77099596481027521"/>
          <c:y val="0.35359183043296066"/>
          <c:w val="0.18133958570811132"/>
          <c:h val="0.4807432894417609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'Financial Shortfalls'!$A$5:$A$6</c:f>
              <c:strCache>
                <c:ptCount val="2"/>
                <c:pt idx="1">
                  <c:v>Up to £50</c:v>
                </c:pt>
              </c:strCache>
            </c:strRef>
          </c:tx>
          <c:spPr>
            <a:solidFill>
              <a:schemeClr val="accent1"/>
            </a:solidFill>
            <a:ln>
              <a:noFill/>
            </a:ln>
            <a:effectLst/>
          </c:spPr>
          <c:invertIfNegative val="0"/>
          <c:val>
            <c:numRef>
              <c:f>'Financial Shortfalls'!$A$8</c:f>
              <c:numCache>
                <c:formatCode>0%</c:formatCode>
                <c:ptCount val="1"/>
                <c:pt idx="0">
                  <c:v>0.58214794416484661</c:v>
                </c:pt>
              </c:numCache>
            </c:numRef>
          </c:val>
          <c:extLst>
            <c:ext xmlns:c16="http://schemas.microsoft.com/office/drawing/2014/chart" uri="{C3380CC4-5D6E-409C-BE32-E72D297353CC}">
              <c16:uniqueId val="{00000000-9896-4218-91EA-E8BBF17A3425}"/>
            </c:ext>
          </c:extLst>
        </c:ser>
        <c:ser>
          <c:idx val="1"/>
          <c:order val="1"/>
          <c:tx>
            <c:strRef>
              <c:f>'Financial Shortfalls'!$B$5:$B$6</c:f>
              <c:strCache>
                <c:ptCount val="2"/>
                <c:pt idx="0">
                  <c:v>£50 to £100</c:v>
                </c:pt>
              </c:strCache>
            </c:strRef>
          </c:tx>
          <c:spPr>
            <a:solidFill>
              <a:schemeClr val="accent2"/>
            </a:solidFill>
            <a:ln>
              <a:noFill/>
            </a:ln>
            <a:effectLst/>
          </c:spPr>
          <c:invertIfNegative val="0"/>
          <c:val>
            <c:numRef>
              <c:f>'Financial Shortfalls'!$B$8</c:f>
              <c:numCache>
                <c:formatCode>0%</c:formatCode>
                <c:ptCount val="1"/>
                <c:pt idx="0">
                  <c:v>0.28941221156585317</c:v>
                </c:pt>
              </c:numCache>
            </c:numRef>
          </c:val>
          <c:extLst>
            <c:ext xmlns:c16="http://schemas.microsoft.com/office/drawing/2014/chart" uri="{C3380CC4-5D6E-409C-BE32-E72D297353CC}">
              <c16:uniqueId val="{00000001-9896-4218-91EA-E8BBF17A3425}"/>
            </c:ext>
          </c:extLst>
        </c:ser>
        <c:ser>
          <c:idx val="2"/>
          <c:order val="2"/>
          <c:tx>
            <c:strRef>
              <c:f>'Financial Shortfalls'!$C$5:$C$6</c:f>
              <c:strCache>
                <c:ptCount val="2"/>
                <c:pt idx="0">
                  <c:v>£100 to £150</c:v>
                </c:pt>
              </c:strCache>
            </c:strRef>
          </c:tx>
          <c:spPr>
            <a:solidFill>
              <a:schemeClr val="accent3"/>
            </a:solidFill>
            <a:ln>
              <a:noFill/>
            </a:ln>
            <a:effectLst/>
          </c:spPr>
          <c:invertIfNegative val="0"/>
          <c:val>
            <c:numRef>
              <c:f>'Financial Shortfalls'!$C$8</c:f>
              <c:numCache>
                <c:formatCode>0%</c:formatCode>
                <c:ptCount val="1"/>
                <c:pt idx="0">
                  <c:v>9.0893552369195704E-2</c:v>
                </c:pt>
              </c:numCache>
            </c:numRef>
          </c:val>
          <c:extLst>
            <c:ext xmlns:c16="http://schemas.microsoft.com/office/drawing/2014/chart" uri="{C3380CC4-5D6E-409C-BE32-E72D297353CC}">
              <c16:uniqueId val="{00000002-9896-4218-91EA-E8BBF17A3425}"/>
            </c:ext>
          </c:extLst>
        </c:ser>
        <c:ser>
          <c:idx val="3"/>
          <c:order val="3"/>
          <c:tx>
            <c:strRef>
              <c:f>'Financial Shortfalls'!$D$5:$D$6</c:f>
              <c:strCache>
                <c:ptCount val="2"/>
                <c:pt idx="0">
                  <c:v>£150 to £200</c:v>
                </c:pt>
              </c:strCache>
            </c:strRef>
          </c:tx>
          <c:spPr>
            <a:solidFill>
              <a:schemeClr val="accent4"/>
            </a:solidFill>
            <a:ln>
              <a:noFill/>
            </a:ln>
            <a:effectLst/>
          </c:spPr>
          <c:invertIfNegative val="0"/>
          <c:val>
            <c:numRef>
              <c:f>'Financial Shortfalls'!$D$8</c:f>
              <c:numCache>
                <c:formatCode>0%</c:formatCode>
                <c:ptCount val="1"/>
                <c:pt idx="0">
                  <c:v>2.1878264172443262E-2</c:v>
                </c:pt>
              </c:numCache>
            </c:numRef>
          </c:val>
          <c:extLst>
            <c:ext xmlns:c16="http://schemas.microsoft.com/office/drawing/2014/chart" uri="{C3380CC4-5D6E-409C-BE32-E72D297353CC}">
              <c16:uniqueId val="{00000003-9896-4218-91EA-E8BBF17A3425}"/>
            </c:ext>
          </c:extLst>
        </c:ser>
        <c:ser>
          <c:idx val="4"/>
          <c:order val="4"/>
          <c:tx>
            <c:strRef>
              <c:f>'Financial Shortfalls'!$E$5:$E$6</c:f>
              <c:strCache>
                <c:ptCount val="2"/>
                <c:pt idx="0">
                  <c:v>£200 +</c:v>
                </c:pt>
              </c:strCache>
            </c:strRef>
          </c:tx>
          <c:spPr>
            <a:solidFill>
              <a:schemeClr val="accent5"/>
            </a:solidFill>
            <a:ln>
              <a:noFill/>
            </a:ln>
            <a:effectLst/>
          </c:spPr>
          <c:invertIfNegative val="0"/>
          <c:val>
            <c:numRef>
              <c:f>'Financial Shortfalls'!$E$8</c:f>
              <c:numCache>
                <c:formatCode>0%</c:formatCode>
                <c:ptCount val="1"/>
                <c:pt idx="0">
                  <c:v>1.5668027727661189E-2</c:v>
                </c:pt>
              </c:numCache>
            </c:numRef>
          </c:val>
          <c:extLst>
            <c:ext xmlns:c16="http://schemas.microsoft.com/office/drawing/2014/chart" uri="{C3380CC4-5D6E-409C-BE32-E72D297353CC}">
              <c16:uniqueId val="{00000004-9896-4218-91EA-E8BBF17A3425}"/>
            </c:ext>
          </c:extLst>
        </c:ser>
        <c:dLbls>
          <c:showLegendKey val="0"/>
          <c:showVal val="0"/>
          <c:showCatName val="0"/>
          <c:showSerName val="0"/>
          <c:showPercent val="0"/>
          <c:showBubbleSize val="0"/>
        </c:dLbls>
        <c:gapWidth val="150"/>
        <c:overlap val="100"/>
        <c:axId val="474901512"/>
        <c:axId val="474902824"/>
      </c:barChart>
      <c:catAx>
        <c:axId val="474901512"/>
        <c:scaling>
          <c:orientation val="minMax"/>
        </c:scaling>
        <c:delete val="1"/>
        <c:axPos val="l"/>
        <c:numFmt formatCode="General" sourceLinked="1"/>
        <c:majorTickMark val="none"/>
        <c:minorTickMark val="none"/>
        <c:tickLblPos val="nextTo"/>
        <c:crossAx val="474902824"/>
        <c:crosses val="autoZero"/>
        <c:auto val="1"/>
        <c:lblAlgn val="ctr"/>
        <c:lblOffset val="100"/>
        <c:noMultiLvlLbl val="0"/>
      </c:catAx>
      <c:valAx>
        <c:axId val="474902824"/>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 of capped households (Housing Benefit</a:t>
                </a:r>
                <a:r>
                  <a:rPr lang="en-GB" baseline="0"/>
                  <a:t> only)</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901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Sheet1!$A$2</c:f>
              <c:strCache>
                <c:ptCount val="1"/>
                <c:pt idx="0">
                  <c:v>Benefit Cap 26,000  from 2013-14 Revised forecast (Budget 2013)</c:v>
                </c:pt>
              </c:strCache>
            </c:strRef>
          </c:tx>
          <c:spPr>
            <a:solidFill>
              <a:schemeClr val="accent1"/>
            </a:solidFill>
            <a:ln>
              <a:noFill/>
            </a:ln>
            <a:effectLst/>
          </c:spPr>
          <c:invertIfNegative val="0"/>
          <c:cat>
            <c:strRef>
              <c:f>Sheet1!$B$1:$I$1</c:f>
              <c:strCache>
                <c:ptCount val="6"/>
                <c:pt idx="0">
                  <c:v>2013-14</c:v>
                </c:pt>
                <c:pt idx="1">
                  <c:v>2014-15</c:v>
                </c:pt>
                <c:pt idx="2">
                  <c:v>2015-16</c:v>
                </c:pt>
                <c:pt idx="3">
                  <c:v>2016-17</c:v>
                </c:pt>
                <c:pt idx="4">
                  <c:v>2017-18</c:v>
                </c:pt>
                <c:pt idx="5">
                  <c:v>2018-19</c:v>
                </c:pt>
              </c:strCache>
              <c:extLst/>
            </c:strRef>
          </c:cat>
          <c:val>
            <c:numRef>
              <c:f>Sheet1!$B$2:$I$2</c:f>
              <c:numCache>
                <c:formatCode>General</c:formatCode>
                <c:ptCount val="6"/>
                <c:pt idx="0">
                  <c:v>100</c:v>
                </c:pt>
                <c:pt idx="1">
                  <c:v>185</c:v>
                </c:pt>
                <c:pt idx="2">
                  <c:v>185</c:v>
                </c:pt>
                <c:pt idx="3">
                  <c:v>185</c:v>
                </c:pt>
                <c:pt idx="4">
                  <c:v>185</c:v>
                </c:pt>
                <c:pt idx="5">
                  <c:v>185</c:v>
                </c:pt>
              </c:numCache>
              <c:extLst/>
            </c:numRef>
          </c:val>
          <c:extLst>
            <c:ext xmlns:c16="http://schemas.microsoft.com/office/drawing/2014/chart" uri="{C3380CC4-5D6E-409C-BE32-E72D297353CC}">
              <c16:uniqueId val="{00000000-B575-47C2-B0CE-F7930E74D090}"/>
            </c:ext>
          </c:extLst>
        </c:ser>
        <c:ser>
          <c:idx val="1"/>
          <c:order val="1"/>
          <c:tx>
            <c:strRef>
              <c:f>Sheet1!$A$3</c:f>
              <c:strCache>
                <c:ptCount val="1"/>
                <c:pt idx="0">
                  <c:v>Lower benefit cap: £20,000 </c:v>
                </c:pt>
              </c:strCache>
            </c:strRef>
          </c:tx>
          <c:spPr>
            <a:solidFill>
              <a:schemeClr val="accent2"/>
            </a:solidFill>
            <a:ln>
              <a:noFill/>
            </a:ln>
            <a:effectLst/>
          </c:spPr>
          <c:invertIfNegative val="0"/>
          <c:cat>
            <c:strRef>
              <c:f>Sheet1!$B$1:$I$1</c:f>
              <c:strCache>
                <c:ptCount val="6"/>
                <c:pt idx="0">
                  <c:v>2013-14</c:v>
                </c:pt>
                <c:pt idx="1">
                  <c:v>2014-15</c:v>
                </c:pt>
                <c:pt idx="2">
                  <c:v>2015-16</c:v>
                </c:pt>
                <c:pt idx="3">
                  <c:v>2016-17</c:v>
                </c:pt>
                <c:pt idx="4">
                  <c:v>2017-18</c:v>
                </c:pt>
                <c:pt idx="5">
                  <c:v>2018-19</c:v>
                </c:pt>
              </c:strCache>
              <c:extLst/>
            </c:strRef>
          </c:cat>
          <c:val>
            <c:numRef>
              <c:f>Sheet1!$B$3:$I$3</c:f>
              <c:numCache>
                <c:formatCode>General</c:formatCode>
                <c:ptCount val="6"/>
                <c:pt idx="3">
                  <c:v>65</c:v>
                </c:pt>
                <c:pt idx="4">
                  <c:v>115</c:v>
                </c:pt>
                <c:pt idx="5">
                  <c:v>110</c:v>
                </c:pt>
              </c:numCache>
              <c:extLst/>
            </c:numRef>
          </c:val>
          <c:extLst>
            <c:ext xmlns:c16="http://schemas.microsoft.com/office/drawing/2014/chart" uri="{C3380CC4-5D6E-409C-BE32-E72D297353CC}">
              <c16:uniqueId val="{00000001-B575-47C2-B0CE-F7930E74D090}"/>
            </c:ext>
          </c:extLst>
        </c:ser>
        <c:dLbls>
          <c:showLegendKey val="0"/>
          <c:showVal val="0"/>
          <c:showCatName val="0"/>
          <c:showSerName val="0"/>
          <c:showPercent val="0"/>
          <c:showBubbleSize val="0"/>
        </c:dLbls>
        <c:gapWidth val="150"/>
        <c:overlap val="100"/>
        <c:axId val="464047504"/>
        <c:axId val="464048160"/>
      </c:barChart>
      <c:catAx>
        <c:axId val="464047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4048160"/>
        <c:crosses val="autoZero"/>
        <c:auto val="1"/>
        <c:lblAlgn val="ctr"/>
        <c:lblOffset val="100"/>
        <c:noMultiLvlLbl val="0"/>
      </c:catAx>
      <c:valAx>
        <c:axId val="4640481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£million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404750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0.08235</cdr:x>
      <cdr:y>0.48623</cdr:y>
    </cdr:from>
    <cdr:to>
      <cdr:x>0.99161</cdr:x>
      <cdr:y>0.48881</cdr:y>
    </cdr:to>
    <cdr:cxnSp macro="">
      <cdr:nvCxnSpPr>
        <cdr:cNvPr id="3" name="Straight Connector 2">
          <a:extLst xmlns:a="http://schemas.openxmlformats.org/drawingml/2006/main">
            <a:ext uri="{FF2B5EF4-FFF2-40B4-BE49-F238E27FC236}">
              <a16:creationId xmlns:a16="http://schemas.microsoft.com/office/drawing/2014/main" id="{0C65E4C5-498F-4AFC-97A8-B86A3250E3FB}"/>
            </a:ext>
          </a:extLst>
        </cdr:cNvPr>
        <cdr:cNvCxnSpPr/>
      </cdr:nvCxnSpPr>
      <cdr:spPr>
        <a:xfrm xmlns:a="http://schemas.openxmlformats.org/drawingml/2006/main">
          <a:off x="560864" y="2757968"/>
          <a:ext cx="6192362" cy="14651"/>
        </a:xfrm>
        <a:prstGeom xmlns:a="http://schemas.openxmlformats.org/drawingml/2006/main" prst="line">
          <a:avLst/>
        </a:prstGeom>
        <a:ln xmlns:a="http://schemas.openxmlformats.org/drawingml/2006/main">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0.43023</cdr:x>
      <cdr:y>0.38707</cdr:y>
    </cdr:from>
    <cdr:to>
      <cdr:x>0.44142</cdr:x>
      <cdr:y>0.48453</cdr:y>
    </cdr:to>
    <cdr:sp macro="" textlink="">
      <cdr:nvSpPr>
        <cdr:cNvPr id="5" name="Right Brace 4">
          <a:extLst xmlns:a="http://schemas.openxmlformats.org/drawingml/2006/main">
            <a:ext uri="{FF2B5EF4-FFF2-40B4-BE49-F238E27FC236}">
              <a16:creationId xmlns:a16="http://schemas.microsoft.com/office/drawing/2014/main" id="{13498E42-DE56-4004-9CFD-C8F0541CB370}"/>
            </a:ext>
          </a:extLst>
        </cdr:cNvPr>
        <cdr:cNvSpPr/>
      </cdr:nvSpPr>
      <cdr:spPr>
        <a:xfrm xmlns:a="http://schemas.openxmlformats.org/drawingml/2006/main" flipH="1">
          <a:off x="2323253" y="1740681"/>
          <a:ext cx="60426" cy="438284"/>
        </a:xfrm>
        <a:prstGeom xmlns:a="http://schemas.openxmlformats.org/drawingml/2006/main" prst="rightBrace">
          <a:avLst/>
        </a:prstGeom>
        <a:ln xmlns:a="http://schemas.openxmlformats.org/drawingml/2006/main">
          <a:solidFill>
            <a:sysClr val="windowText" lastClr="00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0.6604</cdr:x>
      <cdr:y>0.3077</cdr:y>
    </cdr:from>
    <cdr:to>
      <cdr:x>0.67159</cdr:x>
      <cdr:y>0.48494</cdr:y>
    </cdr:to>
    <cdr:sp macro="" textlink="">
      <cdr:nvSpPr>
        <cdr:cNvPr id="13" name="Right Brace 12">
          <a:extLst xmlns:a="http://schemas.openxmlformats.org/drawingml/2006/main">
            <a:ext uri="{FF2B5EF4-FFF2-40B4-BE49-F238E27FC236}">
              <a16:creationId xmlns:a16="http://schemas.microsoft.com/office/drawing/2014/main" id="{04DA2B71-049F-48E7-8AB4-7EA056D95E52}"/>
            </a:ext>
          </a:extLst>
        </cdr:cNvPr>
        <cdr:cNvSpPr/>
      </cdr:nvSpPr>
      <cdr:spPr>
        <a:xfrm xmlns:a="http://schemas.openxmlformats.org/drawingml/2006/main">
          <a:off x="3572888" y="1650075"/>
          <a:ext cx="60541" cy="950463"/>
        </a:xfrm>
        <a:prstGeom xmlns:a="http://schemas.openxmlformats.org/drawingml/2006/main" prst="rightBrace">
          <a:avLst/>
        </a:prstGeom>
        <a:ln xmlns:a="http://schemas.openxmlformats.org/drawingml/2006/main">
          <a:solidFill>
            <a:sysClr val="windowText" lastClr="00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0.67197</cdr:x>
      <cdr:y>0.21595</cdr:y>
    </cdr:from>
    <cdr:to>
      <cdr:x>0.86777</cdr:x>
      <cdr:y>0.34693</cdr:y>
    </cdr:to>
    <cdr:sp macro="" textlink="">
      <cdr:nvSpPr>
        <cdr:cNvPr id="14" name="Rectangle 13">
          <a:extLst xmlns:a="http://schemas.openxmlformats.org/drawingml/2006/main">
            <a:ext uri="{FF2B5EF4-FFF2-40B4-BE49-F238E27FC236}">
              <a16:creationId xmlns:a16="http://schemas.microsoft.com/office/drawing/2014/main" id="{9C039D59-6F62-4AEE-B697-689D563A5A32}"/>
            </a:ext>
          </a:extLst>
        </cdr:cNvPr>
        <cdr:cNvSpPr/>
      </cdr:nvSpPr>
      <cdr:spPr>
        <a:xfrm xmlns:a="http://schemas.openxmlformats.org/drawingml/2006/main">
          <a:off x="3635469" y="1158066"/>
          <a:ext cx="1059318" cy="702390"/>
        </a:xfrm>
        <a:prstGeom xmlns:a="http://schemas.openxmlformats.org/drawingml/2006/main" prst="rect">
          <a:avLst/>
        </a:prstGeom>
        <a:ln xmlns:a="http://schemas.openxmlformats.org/drawingml/2006/main">
          <a:noFill/>
        </a:ln>
      </cdr:spPr>
      <cdr:style>
        <a:lnRef xmlns:a="http://schemas.openxmlformats.org/drawingml/2006/main" idx="2">
          <a:schemeClr val="accent1"/>
        </a:lnRef>
        <a:fillRef xmlns:a="http://schemas.openxmlformats.org/drawingml/2006/main" idx="1">
          <a:schemeClr val="lt1"/>
        </a:fillRef>
        <a:effectRef xmlns:a="http://schemas.openxmlformats.org/drawingml/2006/main" idx="0">
          <a:schemeClr val="accent1"/>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r>
            <a:rPr lang="en-US" sz="1000"/>
            <a:t>In work benefit entitlement</a:t>
          </a:r>
          <a:r>
            <a:rPr lang="en-US" sz="1000" baseline="0"/>
            <a:t> for household with 20k net earnings</a:t>
          </a:r>
          <a:endParaRPr lang="en-US" sz="1000"/>
        </a:p>
      </cdr:txBody>
    </cdr:sp>
  </cdr:relSizeAnchor>
  <cdr:relSizeAnchor xmlns:cdr="http://schemas.openxmlformats.org/drawingml/2006/chartDrawing">
    <cdr:from>
      <cdr:x>0.33195</cdr:x>
      <cdr:y>0.23375</cdr:y>
    </cdr:from>
    <cdr:to>
      <cdr:x>0.50631</cdr:x>
      <cdr:y>0.34079</cdr:y>
    </cdr:to>
    <cdr:sp macro="" textlink="">
      <cdr:nvSpPr>
        <cdr:cNvPr id="15" name="Rectangle 14">
          <a:extLst xmlns:a="http://schemas.openxmlformats.org/drawingml/2006/main">
            <a:ext uri="{FF2B5EF4-FFF2-40B4-BE49-F238E27FC236}">
              <a16:creationId xmlns:a16="http://schemas.microsoft.com/office/drawing/2014/main" id="{2F91F79F-3CF3-4398-9B27-9300B74FEC78}"/>
            </a:ext>
          </a:extLst>
        </cdr:cNvPr>
        <cdr:cNvSpPr/>
      </cdr:nvSpPr>
      <cdr:spPr>
        <a:xfrm xmlns:a="http://schemas.openxmlformats.org/drawingml/2006/main">
          <a:off x="1795915" y="1253505"/>
          <a:ext cx="943322" cy="574010"/>
        </a:xfrm>
        <a:prstGeom xmlns:a="http://schemas.openxmlformats.org/drawingml/2006/main" prst="rect">
          <a:avLst/>
        </a:prstGeom>
        <a:ln xmlns:a="http://schemas.openxmlformats.org/drawingml/2006/main">
          <a:noFill/>
        </a:ln>
      </cdr:spPr>
      <cdr:style>
        <a:lnRef xmlns:a="http://schemas.openxmlformats.org/drawingml/2006/main" idx="2">
          <a:schemeClr val="accent1"/>
        </a:lnRef>
        <a:fillRef xmlns:a="http://schemas.openxmlformats.org/drawingml/2006/main" idx="1">
          <a:schemeClr val="lt1"/>
        </a:fillRef>
        <a:effectRef xmlns:a="http://schemas.openxmlformats.org/drawingml/2006/main" idx="0">
          <a:schemeClr val="accent1"/>
        </a:effectRef>
        <a:fontRef xmlns:a="http://schemas.openxmlformats.org/drawingml/2006/main" idx="minor">
          <a:schemeClr val="dk1"/>
        </a:fontRef>
      </cdr:style>
      <cdr:txBody>
        <a:bodyPr xmlns:a="http://schemas.openxmlformats.org/drawingml/2006/main"/>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r>
            <a:rPr lang="en-US" sz="900"/>
            <a:t>Additional</a:t>
          </a:r>
          <a:r>
            <a:rPr lang="en-US" sz="900" baseline="0"/>
            <a:t> benefit entitlement before the cap is implemented</a:t>
          </a:r>
          <a:endParaRPr lang="en-US" sz="900"/>
        </a:p>
      </cdr:txBody>
    </cdr:sp>
  </cdr:relSizeAnchor>
  <cdr:relSizeAnchor xmlns:cdr="http://schemas.openxmlformats.org/drawingml/2006/chartDrawing">
    <cdr:from>
      <cdr:x>0.06726</cdr:x>
      <cdr:y>0.48261</cdr:y>
    </cdr:from>
    <cdr:to>
      <cdr:x>0.31162</cdr:x>
      <cdr:y>0.54235</cdr:y>
    </cdr:to>
    <cdr:sp macro="" textlink="">
      <cdr:nvSpPr>
        <cdr:cNvPr id="16" name="TextBox 1">
          <a:extLst xmlns:a="http://schemas.openxmlformats.org/drawingml/2006/main">
            <a:ext uri="{FF2B5EF4-FFF2-40B4-BE49-F238E27FC236}">
              <a16:creationId xmlns:a16="http://schemas.microsoft.com/office/drawing/2014/main" id="{5B4DC889-8301-42AC-8B04-2E65D1AB65C4}"/>
            </a:ext>
          </a:extLst>
        </cdr:cNvPr>
        <cdr:cNvSpPr txBox="1"/>
      </cdr:nvSpPr>
      <cdr:spPr>
        <a:xfrm xmlns:a="http://schemas.openxmlformats.org/drawingml/2006/main">
          <a:off x="363882" y="2588007"/>
          <a:ext cx="1322044" cy="320360"/>
        </a:xfrm>
        <a:prstGeom xmlns:a="http://schemas.openxmlformats.org/drawingml/2006/main" prst="rect">
          <a:avLst/>
        </a:prstGeom>
        <a:solidFill xmlns:a="http://schemas.openxmlformats.org/drawingml/2006/main">
          <a:schemeClr val="bg1">
            <a:alpha val="33000"/>
          </a:schemeClr>
        </a:solidFill>
      </cdr:spPr>
      <cdr:txBody>
        <a:bodyPr xmlns:a="http://schemas.openxmlformats.org/drawingml/2006/main" wrap="square" rtlCol="0"/>
        <a:lstStyle xmlns:a="http://schemas.openxmlformats.org/drawingml/2006/main">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xmlns:a="http://schemas.openxmlformats.org/drawingml/2006/main">
          <a:pPr>
            <a:spcAft>
              <a:spcPts val="0"/>
            </a:spcAft>
          </a:pPr>
          <a:r>
            <a:rPr lang="en-GB" sz="1100" b="1" dirty="0">
              <a:effectLst/>
              <a:latin typeface="Cambria" panose="02040503050406030204" pitchFamily="18" charset="0"/>
              <a:ea typeface="Times New Roman" panose="02020603050405020304" pitchFamily="18" charset="0"/>
              <a:cs typeface="Times New Roman" panose="02020603050405020304" pitchFamily="18" charset="0"/>
            </a:rPr>
            <a:t>Benefit cap: £20k</a:t>
          </a:r>
          <a:endParaRPr lang="en-GB" sz="1200" dirty="0">
            <a:effectLst/>
            <a:latin typeface="Times New Roman" panose="02020603050405020304" pitchFamily="18" charset="0"/>
            <a:ea typeface="Times New Roman" panose="02020603050405020304" pitchFamily="18" charset="0"/>
          </a:endParaRPr>
        </a:p>
      </cdr:txBody>
    </cdr:sp>
  </cdr:relSizeAnchor>
  <cdr:relSizeAnchor xmlns:cdr="http://schemas.openxmlformats.org/drawingml/2006/chartDrawing">
    <cdr:from>
      <cdr:x>1.46835E-7</cdr:x>
      <cdr:y>0</cdr:y>
    </cdr:from>
    <cdr:to>
      <cdr:x>1</cdr:x>
      <cdr:y>0.21115</cdr:y>
    </cdr:to>
    <cdr:sp macro="" textlink="">
      <cdr:nvSpPr>
        <cdr:cNvPr id="17" name="TextBox 1">
          <a:extLst xmlns:a="http://schemas.openxmlformats.org/drawingml/2006/main">
            <a:ext uri="{FF2B5EF4-FFF2-40B4-BE49-F238E27FC236}">
              <a16:creationId xmlns:a16="http://schemas.microsoft.com/office/drawing/2014/main" id="{502524C0-ADB9-492B-AEA7-F21ED8E21EC4}"/>
            </a:ext>
          </a:extLst>
        </cdr:cNvPr>
        <cdr:cNvSpPr txBox="1"/>
      </cdr:nvSpPr>
      <cdr:spPr>
        <a:xfrm xmlns:a="http://schemas.openxmlformats.org/drawingml/2006/main">
          <a:off x="1" y="0"/>
          <a:ext cx="6810374" cy="938211"/>
        </a:xfrm>
        <a:prstGeom xmlns:a="http://schemas.openxmlformats.org/drawingml/2006/main" prst="rect">
          <a:avLst/>
        </a:prstGeom>
        <a:solidFill xmlns:a="http://schemas.openxmlformats.org/drawingml/2006/main">
          <a:schemeClr val="accent3">
            <a:lumMod val="75000"/>
          </a:schemeClr>
        </a:solidFill>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GB" sz="1600" b="1">
              <a:solidFill>
                <a:schemeClr val="bg1"/>
              </a:solidFill>
            </a:rPr>
            <a:t>Single parent</a:t>
          </a:r>
          <a:r>
            <a:rPr lang="en-GB" sz="1600" b="1" baseline="0">
              <a:solidFill>
                <a:schemeClr val="bg1"/>
              </a:solidFill>
            </a:rPr>
            <a:t> benefit/tax credit scenarios for 2018/19</a:t>
          </a:r>
        </a:p>
        <a:p xmlns:a="http://schemas.openxmlformats.org/drawingml/2006/main">
          <a:r>
            <a:rPr lang="en-GB" sz="1200" b="0" baseline="0">
              <a:solidFill>
                <a:schemeClr val="bg1"/>
              </a:solidFill>
            </a:rPr>
            <a:t>Claimant in the legacy system, claiming tax credits/income-based JSA rather than Universal Credit. In-work scenarios involve parent taking home £20k net - with tax credits / Child Benefit / Local Housing Allowance on top.</a:t>
          </a:r>
          <a:endParaRPr lang="en-GB" sz="1200" b="0">
            <a:solidFill>
              <a:schemeClr val="bg1"/>
            </a:solidFill>
          </a:endParaRPr>
        </a:p>
      </cdr:txBody>
    </cdr:sp>
  </cdr:relSizeAnchor>
  <cdr:relSizeAnchor xmlns:cdr="http://schemas.openxmlformats.org/drawingml/2006/chartDrawing">
    <cdr:from>
      <cdr:x>0.01012</cdr:x>
      <cdr:y>0.83977</cdr:y>
    </cdr:from>
    <cdr:to>
      <cdr:x>1</cdr:x>
      <cdr:y>1</cdr:y>
    </cdr:to>
    <cdr:sp macro="" textlink="">
      <cdr:nvSpPr>
        <cdr:cNvPr id="18" name="TextBox 1">
          <a:extLst xmlns:a="http://schemas.openxmlformats.org/drawingml/2006/main">
            <a:ext uri="{FF2B5EF4-FFF2-40B4-BE49-F238E27FC236}">
              <a16:creationId xmlns:a16="http://schemas.microsoft.com/office/drawing/2014/main" id="{3D3EBAB6-7A53-4476-93AE-BFC15FB3A9B0}"/>
            </a:ext>
          </a:extLst>
        </cdr:cNvPr>
        <cdr:cNvSpPr txBox="1"/>
      </cdr:nvSpPr>
      <cdr:spPr>
        <a:xfrm xmlns:a="http://schemas.openxmlformats.org/drawingml/2006/main">
          <a:off x="54648" y="4335355"/>
          <a:ext cx="5345392" cy="82719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GB" sz="1100"/>
            <a:t>Notes:</a:t>
          </a:r>
        </a:p>
        <a:p xmlns:a="http://schemas.openxmlformats.org/drawingml/2006/main">
          <a:r>
            <a:rPr lang="en-GB" sz="1100"/>
            <a:t>Childcare</a:t>
          </a:r>
          <a:r>
            <a:rPr lang="en-GB" sz="1100" baseline="0"/>
            <a:t> costs - and corresponding entitlement to WTC childcare element - not taken into account.</a:t>
          </a:r>
        </a:p>
        <a:p xmlns:a="http://schemas.openxmlformats.org/drawingml/2006/main">
          <a:r>
            <a:rPr lang="en-GB" sz="1100" baseline="0"/>
            <a:t>Housing benefits are LHA paid at the average broad market area rate for England in 2018/19. Bedroom entitlements for single parent with: one child: 2 bedrooms; with two/three children: 3 bedrooms; with four/five children; 4 bedrooms.</a:t>
          </a:r>
          <a:endParaRPr lang="en-GB" sz="1100"/>
        </a:p>
      </cdr:txBody>
    </cdr:sp>
  </cdr:relSizeAnchor>
</c:userShapes>
</file>

<file path=word/theme/theme1.xml><?xml version="1.0" encoding="utf-8"?>
<a:theme xmlns:a="http://schemas.openxmlformats.org/drawingml/2006/main" name="Office Theme">
  <a:themeElements>
    <a:clrScheme name="SelectCommittee">
      <a:dk1>
        <a:sysClr val="windowText" lastClr="000000"/>
      </a:dk1>
      <a:lt1>
        <a:sysClr val="window" lastClr="FFFFFF"/>
      </a:lt1>
      <a:dk2>
        <a:srgbClr val="1F497D"/>
      </a:dk2>
      <a:lt2>
        <a:srgbClr val="EEECE1"/>
      </a:lt2>
      <a:accent1>
        <a:srgbClr val="5A3C84"/>
      </a:accent1>
      <a:accent2>
        <a:srgbClr val="E36C0A"/>
      </a:accent2>
      <a:accent3>
        <a:srgbClr val="800000"/>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ct:contentTypeSchema xmlns:ct="http://schemas.microsoft.com/office/2006/metadata/contentType" xmlns:ma="http://schemas.microsoft.com/office/2006/metadata/properties/metaAttributes" ct:_="" ma:_="" ma:contentTypeName="Document" ma:contentTypeID="0x010100D4B78FDBACA3464885C8A10942CF3D40" ma:contentTypeVersion="51" ma:contentTypeDescription="Create a new document." ma:contentTypeScope="" ma:versionID="58d4cbe9823ae5bbfb1fc642cf3a0190">
  <xsd:schema xmlns:xsd="http://www.w3.org/2001/XMLSchema" xmlns:xs="http://www.w3.org/2001/XMLSchema" xmlns:p="http://schemas.microsoft.com/office/2006/metadata/properties" xmlns:ns2="c86d72e2-090a-4e7d-987e-218d8a0db591" xmlns:ns3="4600776d-0a3c-44b4-bff2-0ceaafb13046" xmlns:ns4="76bd0695-36d4-46c0-9be0-f443ee1a1f0e" targetNamespace="http://schemas.microsoft.com/office/2006/metadata/properties" ma:root="true" ma:fieldsID="c50400dd2b5ef8e34d9b3ad7a2383ffd" ns2:_="" ns3:_="" ns4:_="">
    <xsd:import namespace="c86d72e2-090a-4e7d-987e-218d8a0db591"/>
    <xsd:import namespace="4600776d-0a3c-44b4-bff2-0ceaafb13046"/>
    <xsd:import namespace="76bd0695-36d4-46c0-9be0-f443ee1a1f0e"/>
    <xsd:element name="properties">
      <xsd:complexType>
        <xsd:sequence>
          <xsd:element name="documentManagement">
            <xsd:complexType>
              <xsd:all>
                <xsd:element ref="ns2:_dlc_DocId" minOccurs="0"/>
                <xsd:element ref="ns2:_dlc_DocIdUrl" minOccurs="0"/>
                <xsd:element ref="ns2:_dlc_DocIdPersistId" minOccurs="0"/>
                <xsd:element ref="ns3:c4838c65c76546ae93d5703426802f7f" minOccurs="0"/>
                <xsd:element ref="ns3:TaxCatchAll" minOccurs="0"/>
                <xsd:element ref="ns3:j6c5b17cd04246da82e5604daf08bc68" minOccurs="0"/>
                <xsd:element ref="ns3:g3ef09377e3444258679b6035a1ff93a" minOccurs="0"/>
                <xsd:element ref="ns3:cd0fc526a5c840319a97fd94028e9904" minOccurs="0"/>
                <xsd:element ref="ns3:k5b153ee974a4a57a7568e533217f2cb" minOccurs="0"/>
                <xsd:element ref="ns3:TransfertoArchives" minOccurs="0"/>
                <xsd:element ref="ns3:RetentionTriggerDate" minOccurs="0"/>
                <xsd:element ref="ns3:RecordNumber" minOccurs="0"/>
                <xsd:element ref="ns4:MediaServiceMetadata" minOccurs="0"/>
                <xsd:element ref="ns4:MediaServiceFastMetadata" minOccurs="0"/>
                <xsd:element ref="ns4:MediaServiceAutoTags" minOccurs="0"/>
                <xsd:element ref="ns4:MediaServiceDateTaken" minOccurs="0"/>
                <xsd:element ref="ns4:MediaServiceLocation" minOccurs="0"/>
                <xsd:element ref="ns2:SharedWithUsers" minOccurs="0"/>
                <xsd:element ref="ns2:SharedWithDetail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6d72e2-090a-4e7d-987e-218d8a0db59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00776d-0a3c-44b4-bff2-0ceaafb13046" elementFormDefault="qualified">
    <xsd:import namespace="http://schemas.microsoft.com/office/2006/documentManagement/types"/>
    <xsd:import namespace="http://schemas.microsoft.com/office/infopath/2007/PartnerControls"/>
    <xsd:element name="c4838c65c76546ae93d5703426802f7f" ma:index="12" nillable="true" ma:taxonomy="true" ma:internalName="c4838c65c76546ae93d5703426802f7f" ma:taxonomyFieldName="RMKeyword1" ma:displayName="RM Keyword 1" ma:default="" ma:fieldId="{c4838c65-c765-46ae-93d5-703426802f7f}" ma:sspId="eb37f91c-4bb8-4ab3-bc5a-cd8753815459" ma:termSetId="6ce78382-c8e8-44b0-9862-0d52dc2f47b1" ma:anchorId="00000000-0000-0000-0000-000000000000" ma:open="false" ma:isKeyword="false">
      <xsd:complexType>
        <xsd:sequence>
          <xsd:element ref="pc:Terms" minOccurs="0" maxOccurs="1"/>
        </xsd:sequence>
      </xsd:complexType>
    </xsd:element>
    <xsd:element name="TaxCatchAll" ma:index="13" nillable="true" ma:displayName="Taxonomy Catch All Column" ma:description="" ma:hidden="true" ma:list="{465c4352-93c8-4f27-91a7-71ca4ee7c8f6}" ma:internalName="TaxCatchAll" ma:showField="CatchAllData" ma:web="c86d72e2-090a-4e7d-987e-218d8a0db591">
      <xsd:complexType>
        <xsd:complexContent>
          <xsd:extension base="dms:MultiChoiceLookup">
            <xsd:sequence>
              <xsd:element name="Value" type="dms:Lookup" maxOccurs="unbounded" minOccurs="0" nillable="true"/>
            </xsd:sequence>
          </xsd:extension>
        </xsd:complexContent>
      </xsd:complexType>
    </xsd:element>
    <xsd:element name="j6c5b17cd04246da82e5604daf08bc68" ma:index="15" nillable="true" ma:taxonomy="true" ma:internalName="j6c5b17cd04246da82e5604daf08bc68" ma:taxonomyFieldName="RMKeyword2" ma:displayName="RM Keyword 2" ma:default="" ma:fieldId="{36c5b17c-d042-46da-82e5-604daf08bc68}" ma:sspId="eb37f91c-4bb8-4ab3-bc5a-cd8753815459" ma:termSetId="6d4083f0-4a5b-4f0d-bf61-1a7bc95d06a4" ma:anchorId="00000000-0000-0000-0000-000000000000" ma:open="false" ma:isKeyword="false">
      <xsd:complexType>
        <xsd:sequence>
          <xsd:element ref="pc:Terms" minOccurs="0" maxOccurs="1"/>
        </xsd:sequence>
      </xsd:complexType>
    </xsd:element>
    <xsd:element name="g3ef09377e3444258679b6035a1ff93a" ma:index="17" nillable="true" ma:taxonomy="true" ma:internalName="g3ef09377e3444258679b6035a1ff93a" ma:taxonomyFieldName="RMKeyword3" ma:displayName="RM Keyword 3" ma:default="" ma:fieldId="{03ef0937-7e34-4425-8679-b6035a1ff93a}" ma:sspId="eb37f91c-4bb8-4ab3-bc5a-cd8753815459" ma:termSetId="4114c526-84fc-4c3e-bdac-645514365e25" ma:anchorId="00000000-0000-0000-0000-000000000000" ma:open="false" ma:isKeyword="false">
      <xsd:complexType>
        <xsd:sequence>
          <xsd:element ref="pc:Terms" minOccurs="0" maxOccurs="1"/>
        </xsd:sequence>
      </xsd:complexType>
    </xsd:element>
    <xsd:element name="cd0fc526a5c840319a97fd94028e9904" ma:index="19" nillable="true" ma:taxonomy="true" ma:internalName="cd0fc526a5c840319a97fd94028e9904" ma:taxonomyFieldName="RMKeyword4" ma:displayName="RM Keyword 4" ma:default="" ma:fieldId="{cd0fc526-a5c8-4031-9a97-fd94028e9904}" ma:sspId="eb37f91c-4bb8-4ab3-bc5a-cd8753815459" ma:termSetId="35662a10-3587-4b3e-a59c-955899b5916d" ma:anchorId="00000000-0000-0000-0000-000000000000" ma:open="false" ma:isKeyword="false">
      <xsd:complexType>
        <xsd:sequence>
          <xsd:element ref="pc:Terms" minOccurs="0" maxOccurs="1"/>
        </xsd:sequence>
      </xsd:complexType>
    </xsd:element>
    <xsd:element name="k5b153ee974a4a57a7568e533217f2cb" ma:index="21" nillable="true" ma:taxonomy="true" ma:internalName="k5b153ee974a4a57a7568e533217f2cb" ma:taxonomyFieldName="ProtectiveMarking" ma:displayName="Protective Marking" ma:default="" ma:fieldId="{45b153ee-974a-4a57-a756-8e533217f2cb}" ma:sspId="eb37f91c-4bb8-4ab3-bc5a-cd8753815459" ma:termSetId="a21652b8-fc26-4b81-81c8-686b596c9f43" ma:anchorId="00000000-0000-0000-0000-000000000000" ma:open="false" ma:isKeyword="false">
      <xsd:complexType>
        <xsd:sequence>
          <xsd:element ref="pc:Terms" minOccurs="0" maxOccurs="1"/>
        </xsd:sequence>
      </xsd:complexType>
    </xsd:element>
    <xsd:element name="TransfertoArchives" ma:index="22" nillable="true" ma:displayName="Transfer to Archives" ma:default="0" ma:internalName="TransfertoArchives">
      <xsd:simpleType>
        <xsd:restriction base="dms:Boolean"/>
      </xsd:simpleType>
    </xsd:element>
    <xsd:element name="RetentionTriggerDate" ma:index="23" nillable="true" ma:displayName="Retention Trigger Date" ma:format="DateOnly" ma:internalName="RetentionTriggerDate">
      <xsd:simpleType>
        <xsd:restriction base="dms:DateTime"/>
      </xsd:simpleType>
    </xsd:element>
    <xsd:element name="RecordNumber" ma:index="24" nillable="true" ma:displayName="Record Number" ma:indexed="true" ma:internalName="RecordNumbe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6bd0695-36d4-46c0-9be0-f443ee1a1f0e" elementFormDefault="qualified">
    <xsd:import namespace="http://schemas.microsoft.com/office/2006/documentManagement/types"/>
    <xsd:import namespace="http://schemas.microsoft.com/office/infopath/2007/PartnerControls"/>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description="" ma:internalName="MediaServiceAutoTags" ma:readOnly="true">
      <xsd:simpleType>
        <xsd:restriction base="dms:Text"/>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Location" ma:index="29" nillable="true" ma:displayName="MediaServiceLocation" ma:description="" ma:internalName="MediaServiceLocation" ma:readOnly="true">
      <xsd:simpleType>
        <xsd:restriction base="dms:Text"/>
      </xsd:simpleType>
    </xsd:element>
    <xsd:element name="MediaServiceOCR" ma:index="32" nillable="true" ma:displayName="MediaServiceOCR" ma:internalName="MediaServiceOCR" ma:readOnly="true">
      <xsd:simpleType>
        <xsd:restriction base="dms:Note">
          <xsd:maxLength value="255"/>
        </xsd:restriction>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cordNumber xmlns="4600776d-0a3c-44b4-bff2-0ceaafb13046" xsi:nil="true"/>
    <TaxCatchAll xmlns="4600776d-0a3c-44b4-bff2-0ceaafb13046">
      <Value>4</Value>
    </TaxCatchAll>
    <g3ef09377e3444258679b6035a1ff93a xmlns="4600776d-0a3c-44b4-bff2-0ceaafb13046">
      <Terms xmlns="http://schemas.microsoft.com/office/infopath/2007/PartnerControls"/>
    </g3ef09377e3444258679b6035a1ff93a>
    <k5b153ee974a4a57a7568e533217f2cb xmlns="4600776d-0a3c-44b4-bff2-0ceaafb13046">
      <Terms xmlns="http://schemas.microsoft.com/office/infopath/2007/PartnerControls"/>
    </k5b153ee974a4a57a7568e533217f2cb>
    <j6c5b17cd04246da82e5604daf08bc68 xmlns="4600776d-0a3c-44b4-bff2-0ceaafb13046">
      <Terms xmlns="http://schemas.microsoft.com/office/infopath/2007/PartnerControls">
        <TermInfo xmlns="http://schemas.microsoft.com/office/infopath/2007/PartnerControls">
          <TermName xmlns="http://schemas.microsoft.com/office/infopath/2007/PartnerControls">Planning And Strategy</TermName>
          <TermId xmlns="http://schemas.microsoft.com/office/infopath/2007/PartnerControls">0f31b1e3-6a42-4f70-843a-6fc200929935</TermId>
        </TermInfo>
      </Terms>
    </j6c5b17cd04246da82e5604daf08bc68>
    <TransfertoArchives xmlns="4600776d-0a3c-44b4-bff2-0ceaafb13046">false</TransfertoArchives>
    <cd0fc526a5c840319a97fd94028e9904 xmlns="4600776d-0a3c-44b4-bff2-0ceaafb13046">
      <Terms xmlns="http://schemas.microsoft.com/office/infopath/2007/PartnerControls"/>
    </cd0fc526a5c840319a97fd94028e9904>
    <c4838c65c76546ae93d5703426802f7f xmlns="4600776d-0a3c-44b4-bff2-0ceaafb13046">
      <Terms xmlns="http://schemas.microsoft.com/office/infopath/2007/PartnerControls"/>
    </c4838c65c76546ae93d5703426802f7f>
    <RetentionTriggerDate xmlns="4600776d-0a3c-44b4-bff2-0ceaafb1304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F10C4B-98E0-4157-99DE-3846C69A5346}">
  <ds:schemaRefs>
    <ds:schemaRef ds:uri="http://schemas.microsoft.com/sharepoint/events"/>
  </ds:schemaRefs>
</ds:datastoreItem>
</file>

<file path=customXml/itemProps2.xml><?xml version="1.0" encoding="utf-8"?>
<ds:datastoreItem xmlns:ds="http://schemas.openxmlformats.org/officeDocument/2006/customXml" ds:itemID="{B585ECCE-9DC2-4069-A505-2A732C9748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6d72e2-090a-4e7d-987e-218d8a0db591"/>
    <ds:schemaRef ds:uri="4600776d-0a3c-44b4-bff2-0ceaafb13046"/>
    <ds:schemaRef ds:uri="76bd0695-36d4-46c0-9be0-f443ee1a1f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4F22AF-3D8F-4537-AF37-1A9B0E6947EA}">
  <ds:schemaRefs>
    <ds:schemaRef ds:uri="http://schemas.microsoft.com/office/2006/documentManagement/types"/>
    <ds:schemaRef ds:uri="76bd0695-36d4-46c0-9be0-f443ee1a1f0e"/>
    <ds:schemaRef ds:uri="http://purl.org/dc/elements/1.1/"/>
    <ds:schemaRef ds:uri="http://schemas.microsoft.com/office/2006/metadata/properties"/>
    <ds:schemaRef ds:uri="http://schemas.microsoft.com/office/infopath/2007/PartnerControls"/>
    <ds:schemaRef ds:uri="c86d72e2-090a-4e7d-987e-218d8a0db591"/>
    <ds:schemaRef ds:uri="4600776d-0a3c-44b4-bff2-0ceaafb13046"/>
    <ds:schemaRef ds:uri="http://purl.org/dc/term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E023E043-600B-483B-BDDB-56D6555F41C5}">
  <ds:schemaRefs>
    <ds:schemaRef ds:uri="http://schemas.microsoft.com/sharepoint/v3/contenttype/forms"/>
  </ds:schemaRefs>
</ds:datastoreItem>
</file>

<file path=customXml/itemProps5.xml><?xml version="1.0" encoding="utf-8"?>
<ds:datastoreItem xmlns:ds="http://schemas.openxmlformats.org/officeDocument/2006/customXml" ds:itemID="{D8938362-5B04-4255-B26C-89A915283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Authoring Tool.dotm</Template>
  <TotalTime>45</TotalTime>
  <Pages>1</Pages>
  <Words>14352</Words>
  <Characters>81813</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Select Committee Report</vt:lpstr>
    </vt:vector>
  </TitlesOfParts>
  <Manager> </Manager>
  <Company> </Company>
  <LinksUpToDate>false</LinksUpToDate>
  <CharactersWithSpaces>95974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 Committee Report</dc:title>
  <dc:subject> </dc:subject>
  <dc:creator>DUROSHOLA, Kemi</dc:creator>
  <cp:keywords> </cp:keywords>
  <dc:description/>
  <cp:lastModifiedBy>KOUTOUPIS, Kostas</cp:lastModifiedBy>
  <cp:revision>21</cp:revision>
  <cp:lastPrinted>2019-02-12T16:22:00Z</cp:lastPrinted>
  <dcterms:created xsi:type="dcterms:W3CDTF">2019-03-06T19:01:00Z</dcterms:created>
  <dcterms:modified xsi:type="dcterms:W3CDTF">2019-07-17T13:49:00Z</dcterms:modified>
  <cp:category> </cp:category>
  <cp:version>1.96</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Contents">
    <vt:i4>2</vt:i4>
  </property>
  <property fmtid="{D5CDD505-2E9C-101B-9397-08002B2CF9AE}" pid="3" name="XReportBeginning">
    <vt:i4>2</vt:i4>
  </property>
  <property fmtid="{D5CDD505-2E9C-101B-9397-08002B2CF9AE}" pid="4" name="XPageNumbers">
    <vt:i4>2</vt:i4>
  </property>
  <property fmtid="{D5CDD505-2E9C-101B-9397-08002B2CF9AE}" pid="5" name="XTracking">
    <vt:i4>2</vt:i4>
  </property>
  <property fmtid="{D5CDD505-2E9C-101B-9397-08002B2CF9AE}" pid="6" name="XEnEm">
    <vt:i4>2</vt:i4>
  </property>
  <property fmtid="{D5CDD505-2E9C-101B-9397-08002B2CF9AE}" pid="7" name="XApprovedStyles">
    <vt:i4>2</vt:i4>
  </property>
  <property fmtid="{D5CDD505-2E9C-101B-9397-08002B2CF9AE}" pid="8" name="XParagraphNumbers">
    <vt:i4>2</vt:i4>
  </property>
  <property fmtid="{D5CDD505-2E9C-101B-9397-08002B2CF9AE}" pid="9" name="XParagraphNumbers2">
    <vt:i4>2</vt:i4>
  </property>
  <property fmtid="{D5CDD505-2E9C-101B-9397-08002B2CF9AE}" pid="10" name="XFootnoteNumbers">
    <vt:i4>2</vt:i4>
  </property>
  <property fmtid="{D5CDD505-2E9C-101B-9397-08002B2CF9AE}" pid="11" name="XBlankParagraphs">
    <vt:i4>2</vt:i4>
  </property>
  <property fmtid="{D5CDD505-2E9C-101B-9397-08002B2CF9AE}" pid="12" name="XAnnexes">
    <vt:i4>2</vt:i4>
  </property>
  <property fmtid="{D5CDD505-2E9C-101B-9397-08002B2CF9AE}" pid="13" name="XFormalMinutes">
    <vt:i4>2</vt:i4>
  </property>
  <property fmtid="{D5CDD505-2E9C-101B-9397-08002B2CF9AE}" pid="14" name="XWitnesses">
    <vt:i4>2</vt:i4>
  </property>
  <property fmtid="{D5CDD505-2E9C-101B-9397-08002B2CF9AE}" pid="15" name="XHyperlinks">
    <vt:i4>2</vt:i4>
  </property>
  <property fmtid="{D5CDD505-2E9C-101B-9397-08002B2CF9AE}" pid="16" name="XFonts">
    <vt:i4>2</vt:i4>
  </property>
  <property fmtid="{D5CDD505-2E9C-101B-9397-08002B2CF9AE}" pid="17" name="XContents2">
    <vt:i4>2</vt:i4>
  </property>
  <property fmtid="{D5CDD505-2E9C-101B-9397-08002B2CF9AE}" pid="18" name="ReportType">
    <vt:lpwstr>Draft</vt:lpwstr>
  </property>
  <property fmtid="{D5CDD505-2E9C-101B-9397-08002B2CF9AE}" pid="19" name="LegacyHighlightingResolved">
    <vt:bool>true</vt:bool>
  </property>
  <property fmtid="{D5CDD505-2E9C-101B-9397-08002B2CF9AE}" pid="20" name="ContentTypeId">
    <vt:lpwstr>0x010100D4B78FDBACA3464885C8A10942CF3D40</vt:lpwstr>
  </property>
  <property fmtid="{D5CDD505-2E9C-101B-9397-08002B2CF9AE}" pid="21" name="Order">
    <vt:r8>100</vt:r8>
  </property>
  <property fmtid="{D5CDD505-2E9C-101B-9397-08002B2CF9AE}" pid="22" name="RMKeyword2">
    <vt:lpwstr>4;#Planning And Strategy|0f31b1e3-6a42-4f70-843a-6fc200929935</vt:lpwstr>
  </property>
  <property fmtid="{D5CDD505-2E9C-101B-9397-08002B2CF9AE}" pid="23" name="ProtectiveMarking">
    <vt:lpwstr/>
  </property>
  <property fmtid="{D5CDD505-2E9C-101B-9397-08002B2CF9AE}" pid="24" name="RMKeyword3">
    <vt:lpwstr/>
  </property>
  <property fmtid="{D5CDD505-2E9C-101B-9397-08002B2CF9AE}" pid="25" name="RMKeyword1">
    <vt:lpwstr/>
  </property>
  <property fmtid="{D5CDD505-2E9C-101B-9397-08002B2CF9AE}" pid="26" name="RMKeyword4">
    <vt:lpwstr/>
  </property>
</Properties>
</file>