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242" w:type="dxa"/>
        <w:tblInd w:w="-108" w:type="dxa"/>
        <w:tblLayout w:type="fixed"/>
        <w:tblCellMar>
          <w:left w:w="72" w:type="dxa"/>
          <w:right w:w="72" w:type="dxa"/>
        </w:tblCellMar>
        <w:tblLook w:val="0000" w:firstRow="0" w:lastRow="0" w:firstColumn="0" w:lastColumn="0" w:noHBand="0" w:noVBand="0"/>
      </w:tblPr>
      <w:tblGrid>
        <w:gridCol w:w="663"/>
        <w:gridCol w:w="3960"/>
        <w:gridCol w:w="4491"/>
        <w:gridCol w:w="128"/>
      </w:tblGrid>
      <w:tr w:rsidR="001532F8" w14:paraId="010D577D" w14:textId="77777777" w:rsidTr="003B37BD">
        <w:tc>
          <w:tcPr>
            <w:tcW w:w="4623" w:type="dxa"/>
            <w:gridSpan w:val="2"/>
          </w:tcPr>
          <w:p w14:paraId="65818734" w14:textId="343ECA2A" w:rsidR="001532F8" w:rsidRDefault="001532F8" w:rsidP="591EC38C">
            <w:pPr>
              <w:rPr>
                <w:rFonts w:ascii="Times New Roman" w:hAnsi="Times New Roman"/>
                <w:sz w:val="22"/>
                <w:szCs w:val="22"/>
              </w:rPr>
            </w:pPr>
            <w:r w:rsidRPr="591EC38C">
              <w:rPr>
                <w:rFonts w:ascii="Times New Roman" w:hAnsi="Times New Roman"/>
                <w:b/>
                <w:bCs/>
                <w:sz w:val="22"/>
                <w:szCs w:val="22"/>
              </w:rPr>
              <w:t>SUMMARY</w:t>
            </w:r>
          </w:p>
          <w:p w14:paraId="7795DBD2" w14:textId="457F76F5" w:rsidR="001532F8" w:rsidRDefault="001532F8" w:rsidP="591EC38C">
            <w:pPr>
              <w:rPr>
                <w:rFonts w:ascii="Times New Roman" w:hAnsi="Times New Roman"/>
                <w:b/>
                <w:bCs/>
                <w:sz w:val="22"/>
                <w:szCs w:val="22"/>
              </w:rPr>
            </w:pPr>
          </w:p>
        </w:tc>
        <w:tc>
          <w:tcPr>
            <w:tcW w:w="4619" w:type="dxa"/>
            <w:gridSpan w:val="2"/>
          </w:tcPr>
          <w:p w14:paraId="4B1F0B9D" w14:textId="77777777" w:rsidR="001532F8" w:rsidRDefault="001532F8"/>
        </w:tc>
      </w:tr>
      <w:tr w:rsidR="001532F8" w14:paraId="62940FE1" w14:textId="77777777" w:rsidTr="003B37BD">
        <w:trPr>
          <w:gridAfter w:val="1"/>
          <w:wAfter w:w="128" w:type="dxa"/>
        </w:trPr>
        <w:tc>
          <w:tcPr>
            <w:tcW w:w="9114" w:type="dxa"/>
            <w:gridSpan w:val="3"/>
          </w:tcPr>
          <w:p w14:paraId="57B2332C" w14:textId="77777777" w:rsidR="00877AEC" w:rsidRPr="00877AEC" w:rsidRDefault="00877AEC" w:rsidP="00877AEC">
            <w:pPr>
              <w:pStyle w:val="Resumebullet"/>
            </w:pPr>
            <w:bookmarkStart w:id="0" w:name="summary"/>
            <w:bookmarkEnd w:id="0"/>
            <w:r w:rsidRPr="00877AEC">
              <w:t xml:space="preserve">Security specialist and Confidential Computing architect for 10+ years. Member of SW team that helped bring industry’s first HW-rooted TEE, SGX, to market. </w:t>
            </w:r>
          </w:p>
          <w:p w14:paraId="01DE46BB" w14:textId="49186BD2" w:rsidR="00A74346" w:rsidRDefault="00A74346" w:rsidP="00121A44">
            <w:pPr>
              <w:pStyle w:val="ResumeBullet0"/>
              <w:numPr>
                <w:ilvl w:val="0"/>
                <w:numId w:val="11"/>
              </w:numPr>
              <w:ind w:left="216" w:hanging="216"/>
            </w:pPr>
            <w:r>
              <w:t>Liaison to Intel security incident response for security issues affecting SGX/TDX. Responsible for implementing security mitigations in SGX/TDX SW</w:t>
            </w:r>
            <w:r w:rsidR="002B7EEE">
              <w:t xml:space="preserve">, including mitigations for Spectre and other transient execution (microarchitectural) security issues. </w:t>
            </w:r>
          </w:p>
          <w:p w14:paraId="31B89AEF" w14:textId="2B080A80" w:rsidR="00527717" w:rsidRDefault="00527717" w:rsidP="00527717">
            <w:pPr>
              <w:pStyle w:val="Resumebullet"/>
            </w:pPr>
            <w:r>
              <w:t xml:space="preserve">Implemented processes assuring the integrity of </w:t>
            </w:r>
            <w:r w:rsidR="00A53ACA">
              <w:t xml:space="preserve">Confidential Computing </w:t>
            </w:r>
            <w:r>
              <w:t>attestation.</w:t>
            </w:r>
          </w:p>
          <w:p w14:paraId="30548D90" w14:textId="12EEF23D" w:rsidR="005A7A5A" w:rsidRDefault="005A7A5A" w:rsidP="00121A44">
            <w:pPr>
              <w:pStyle w:val="ResumeBullet0"/>
              <w:numPr>
                <w:ilvl w:val="0"/>
                <w:numId w:val="11"/>
              </w:numPr>
              <w:ind w:left="216" w:hanging="216"/>
            </w:pPr>
            <w:r>
              <w:t xml:space="preserve">Extensive </w:t>
            </w:r>
            <w:r w:rsidR="006D07D6">
              <w:t>SW</w:t>
            </w:r>
            <w:r>
              <w:t xml:space="preserve"> design experience working on </w:t>
            </w:r>
            <w:r w:rsidR="00F23935">
              <w:t>a wide</w:t>
            </w:r>
            <w:r>
              <w:t xml:space="preserve"> range of products. </w:t>
            </w:r>
            <w:r w:rsidR="000D37B2">
              <w:t xml:space="preserve">Design review and code review leadership and participation. Six </w:t>
            </w:r>
            <w:r w:rsidR="00F23935">
              <w:t>years’</w:t>
            </w:r>
            <w:r>
              <w:t xml:space="preserve"> engineering management experience.  </w:t>
            </w:r>
          </w:p>
          <w:p w14:paraId="10D44F8D" w14:textId="2D97EB9E" w:rsidR="008C2A09" w:rsidRDefault="004E3A77" w:rsidP="00121A44">
            <w:pPr>
              <w:pStyle w:val="ResumeBullet0"/>
              <w:numPr>
                <w:ilvl w:val="0"/>
                <w:numId w:val="11"/>
              </w:numPr>
              <w:ind w:left="216" w:hanging="216"/>
            </w:pPr>
            <w:r w:rsidRPr="004E3A77">
              <w:t xml:space="preserve">Solid foundation in cryptography. Responsible for ensuring FIPS 140 compliance </w:t>
            </w:r>
            <w:proofErr w:type="gramStart"/>
            <w:r w:rsidRPr="004E3A77">
              <w:t>of</w:t>
            </w:r>
            <w:proofErr w:type="gramEnd"/>
            <w:r w:rsidRPr="004E3A77">
              <w:t xml:space="preserve"> SGX/TDX SW.</w:t>
            </w:r>
          </w:p>
        </w:tc>
      </w:tr>
      <w:tr w:rsidR="591EC38C" w14:paraId="1B72D51E" w14:textId="77777777" w:rsidTr="003B37BD">
        <w:trPr>
          <w:gridAfter w:val="1"/>
          <w:wAfter w:w="128" w:type="dxa"/>
          <w:trHeight w:val="300"/>
        </w:trPr>
        <w:tc>
          <w:tcPr>
            <w:tcW w:w="9114" w:type="dxa"/>
            <w:gridSpan w:val="3"/>
          </w:tcPr>
          <w:p w14:paraId="1821375F" w14:textId="3D2C8D7D" w:rsidR="591EC38C" w:rsidRDefault="591EC38C" w:rsidP="591EC38C">
            <w:pPr>
              <w:rPr>
                <w:rFonts w:ascii="Times New Roman" w:hAnsi="Times New Roman"/>
                <w:sz w:val="22"/>
                <w:szCs w:val="22"/>
              </w:rPr>
            </w:pPr>
          </w:p>
        </w:tc>
      </w:tr>
      <w:tr w:rsidR="591EC38C" w14:paraId="088A2E66" w14:textId="77777777" w:rsidTr="003B37BD">
        <w:trPr>
          <w:gridAfter w:val="1"/>
          <w:wAfter w:w="128" w:type="dxa"/>
          <w:trHeight w:val="300"/>
        </w:trPr>
        <w:tc>
          <w:tcPr>
            <w:tcW w:w="9114" w:type="dxa"/>
            <w:gridSpan w:val="3"/>
          </w:tcPr>
          <w:p w14:paraId="6CF0AFFA" w14:textId="5FAF684B" w:rsidR="63F7BC8B" w:rsidRDefault="63F7BC8B" w:rsidP="591EC38C">
            <w:pPr>
              <w:spacing w:line="259" w:lineRule="auto"/>
            </w:pPr>
            <w:r w:rsidRPr="591EC38C">
              <w:rPr>
                <w:rFonts w:ascii="Times New Roman" w:hAnsi="Times New Roman"/>
                <w:b/>
                <w:bCs/>
                <w:sz w:val="22"/>
                <w:szCs w:val="22"/>
              </w:rPr>
              <w:t>SKILLS</w:t>
            </w:r>
          </w:p>
        </w:tc>
      </w:tr>
      <w:tr w:rsidR="591EC38C" w14:paraId="53086F4D" w14:textId="77777777" w:rsidTr="003B37BD">
        <w:trPr>
          <w:gridAfter w:val="1"/>
          <w:wAfter w:w="128" w:type="dxa"/>
          <w:trHeight w:val="300"/>
        </w:trPr>
        <w:tc>
          <w:tcPr>
            <w:tcW w:w="9114" w:type="dxa"/>
            <w:gridSpan w:val="3"/>
          </w:tcPr>
          <w:p w14:paraId="584B45ED" w14:textId="6FE17CC9" w:rsidR="591EC38C" w:rsidRDefault="591EC38C" w:rsidP="591EC38C">
            <w:pPr>
              <w:rPr>
                <w:rFonts w:ascii="Times New Roman" w:hAnsi="Times New Roman"/>
                <w:sz w:val="22"/>
                <w:szCs w:val="22"/>
              </w:rPr>
            </w:pPr>
          </w:p>
        </w:tc>
      </w:tr>
      <w:tr w:rsidR="591EC38C" w14:paraId="3E3CDAAE" w14:textId="77777777" w:rsidTr="003B37BD">
        <w:trPr>
          <w:gridAfter w:val="1"/>
          <w:wAfter w:w="128" w:type="dxa"/>
          <w:trHeight w:val="300"/>
        </w:trPr>
        <w:tc>
          <w:tcPr>
            <w:tcW w:w="9114" w:type="dxa"/>
            <w:gridSpan w:val="3"/>
          </w:tcPr>
          <w:p w14:paraId="352F430F" w14:textId="4E404248" w:rsidR="12F2E4B5" w:rsidRDefault="00701660" w:rsidP="591EC38C">
            <w:pPr>
              <w:pStyle w:val="ResumeBullet0"/>
            </w:pPr>
            <w:r>
              <w:t xml:space="preserve">Confidential Computing, </w:t>
            </w:r>
            <w:r w:rsidR="12F2E4B5">
              <w:t xml:space="preserve">C, C++, cryptography, </w:t>
            </w:r>
            <w:r w:rsidR="00E036C5">
              <w:t xml:space="preserve">mentoring, </w:t>
            </w:r>
            <w:r w:rsidR="00566B94">
              <w:t xml:space="preserve">computer security, </w:t>
            </w:r>
            <w:r w:rsidR="00536B40">
              <w:t>a</w:t>
            </w:r>
            <w:r w:rsidR="009A4AA1">
              <w:t xml:space="preserve">ttestation, </w:t>
            </w:r>
            <w:r w:rsidR="004D42FF">
              <w:t>SDL</w:t>
            </w:r>
            <w:r w:rsidR="00A15359">
              <w:t xml:space="preserve"> (Security Development Lifecycle</w:t>
            </w:r>
            <w:r w:rsidR="00A3454F">
              <w:t>)</w:t>
            </w:r>
            <w:r w:rsidR="004D42FF">
              <w:t xml:space="preserve">, </w:t>
            </w:r>
            <w:r w:rsidR="12F2E4B5">
              <w:t>x86</w:t>
            </w:r>
            <w:r w:rsidR="00AE5550">
              <w:t xml:space="preserve"> architecture/</w:t>
            </w:r>
            <w:r w:rsidR="008F4FC0">
              <w:t>microarchitecture</w:t>
            </w:r>
            <w:r w:rsidR="00AE5550">
              <w:t>/assembly</w:t>
            </w:r>
            <w:r w:rsidR="008F4FC0">
              <w:t xml:space="preserve">, </w:t>
            </w:r>
            <w:r w:rsidR="12F2E4B5">
              <w:t xml:space="preserve">Python, PowerShell, </w:t>
            </w:r>
            <w:r w:rsidR="00CB1BBC">
              <w:t xml:space="preserve">Docker, </w:t>
            </w:r>
            <w:r w:rsidR="12F2E4B5">
              <w:t>GitHub, PCI</w:t>
            </w:r>
            <w:r w:rsidR="009F1F80">
              <w:t xml:space="preserve">, </w:t>
            </w:r>
            <w:r w:rsidR="12F2E4B5">
              <w:t>chipsets</w:t>
            </w:r>
          </w:p>
        </w:tc>
      </w:tr>
      <w:tr w:rsidR="005A7A5A" w14:paraId="1987E341" w14:textId="77777777" w:rsidTr="003B37BD">
        <w:trPr>
          <w:gridAfter w:val="1"/>
          <w:wAfter w:w="128" w:type="dxa"/>
        </w:trPr>
        <w:tc>
          <w:tcPr>
            <w:tcW w:w="663" w:type="dxa"/>
          </w:tcPr>
          <w:p w14:paraId="65320733" w14:textId="77777777" w:rsidR="005A7A5A" w:rsidRDefault="005A7A5A">
            <w:pPr>
              <w:rPr>
                <w:rFonts w:ascii="Times New Roman" w:hAnsi="Times New Roman"/>
                <w:sz w:val="22"/>
              </w:rPr>
            </w:pPr>
          </w:p>
        </w:tc>
        <w:tc>
          <w:tcPr>
            <w:tcW w:w="8451" w:type="dxa"/>
            <w:gridSpan w:val="2"/>
          </w:tcPr>
          <w:p w14:paraId="4B4B0EE9" w14:textId="77777777" w:rsidR="005A7A5A" w:rsidRDefault="005A7A5A" w:rsidP="005A7A5A">
            <w:pPr>
              <w:pStyle w:val="ResumeBullet0"/>
            </w:pPr>
          </w:p>
        </w:tc>
      </w:tr>
      <w:tr w:rsidR="001532F8" w14:paraId="5E9A07BF" w14:textId="77777777" w:rsidTr="003B37BD">
        <w:tc>
          <w:tcPr>
            <w:tcW w:w="4623" w:type="dxa"/>
            <w:gridSpan w:val="2"/>
          </w:tcPr>
          <w:p w14:paraId="0D25E997" w14:textId="77777777" w:rsidR="001532F8" w:rsidRDefault="001532F8">
            <w:pPr>
              <w:rPr>
                <w:rFonts w:ascii="Times New Roman" w:hAnsi="Times New Roman"/>
                <w:b/>
                <w:sz w:val="22"/>
              </w:rPr>
            </w:pPr>
            <w:r>
              <w:rPr>
                <w:rFonts w:ascii="Times New Roman" w:hAnsi="Times New Roman"/>
                <w:b/>
                <w:sz w:val="22"/>
              </w:rPr>
              <w:t>EXPERIENCE</w:t>
            </w:r>
          </w:p>
        </w:tc>
        <w:tc>
          <w:tcPr>
            <w:tcW w:w="4619" w:type="dxa"/>
            <w:gridSpan w:val="2"/>
          </w:tcPr>
          <w:p w14:paraId="027F0972" w14:textId="77777777" w:rsidR="001532F8" w:rsidRDefault="001532F8">
            <w:pPr>
              <w:rPr>
                <w:rFonts w:ascii="Times New Roman" w:hAnsi="Times New Roman"/>
                <w:b/>
                <w:caps/>
                <w:sz w:val="22"/>
              </w:rPr>
            </w:pPr>
          </w:p>
        </w:tc>
      </w:tr>
      <w:tr w:rsidR="7CD398CC" w14:paraId="022AE1B8" w14:textId="77777777" w:rsidTr="003B37BD">
        <w:trPr>
          <w:trHeight w:val="300"/>
        </w:trPr>
        <w:tc>
          <w:tcPr>
            <w:tcW w:w="4623" w:type="dxa"/>
            <w:gridSpan w:val="2"/>
          </w:tcPr>
          <w:p w14:paraId="0FBED614" w14:textId="738D0AFC" w:rsidR="7CD398CC" w:rsidRDefault="7CD398CC" w:rsidP="7CD398CC">
            <w:pPr>
              <w:rPr>
                <w:rFonts w:ascii="Times New Roman" w:hAnsi="Times New Roman"/>
                <w:b/>
                <w:bCs/>
                <w:sz w:val="22"/>
                <w:szCs w:val="22"/>
              </w:rPr>
            </w:pPr>
          </w:p>
        </w:tc>
        <w:tc>
          <w:tcPr>
            <w:tcW w:w="4619" w:type="dxa"/>
            <w:gridSpan w:val="2"/>
          </w:tcPr>
          <w:p w14:paraId="67CF65F3" w14:textId="099B2508" w:rsidR="7CD398CC" w:rsidRDefault="7CD398CC" w:rsidP="7CD398CC">
            <w:pPr>
              <w:rPr>
                <w:rFonts w:ascii="Times New Roman" w:hAnsi="Times New Roman"/>
                <w:b/>
                <w:bCs/>
                <w:caps/>
                <w:sz w:val="22"/>
                <w:szCs w:val="22"/>
              </w:rPr>
            </w:pPr>
          </w:p>
        </w:tc>
      </w:tr>
      <w:tr w:rsidR="001532F8" w14:paraId="21F668BA" w14:textId="77777777" w:rsidTr="003B37BD">
        <w:tc>
          <w:tcPr>
            <w:tcW w:w="4623" w:type="dxa"/>
            <w:gridSpan w:val="2"/>
          </w:tcPr>
          <w:p w14:paraId="5628001B" w14:textId="106EAE72" w:rsidR="001532F8" w:rsidRDefault="22B37AD1" w:rsidP="7CD398CC">
            <w:pPr>
              <w:rPr>
                <w:rFonts w:ascii="Times New Roman" w:hAnsi="Times New Roman"/>
                <w:b/>
                <w:bCs/>
                <w:caps/>
                <w:sz w:val="22"/>
                <w:szCs w:val="22"/>
              </w:rPr>
            </w:pPr>
            <w:r w:rsidRPr="7CD398CC">
              <w:rPr>
                <w:rFonts w:ascii="Times New Roman" w:hAnsi="Times New Roman"/>
                <w:b/>
                <w:bCs/>
                <w:sz w:val="22"/>
                <w:szCs w:val="22"/>
              </w:rPr>
              <w:t>Intel</w:t>
            </w:r>
            <w:r w:rsidR="00001D8B">
              <w:rPr>
                <w:rFonts w:ascii="Times New Roman" w:hAnsi="Times New Roman"/>
                <w:b/>
                <w:bCs/>
                <w:sz w:val="22"/>
                <w:szCs w:val="22"/>
              </w:rPr>
              <w:t xml:space="preserve">, </w:t>
            </w:r>
            <w:r w:rsidRPr="7CD398CC">
              <w:rPr>
                <w:rFonts w:ascii="Times New Roman" w:hAnsi="Times New Roman"/>
                <w:b/>
                <w:bCs/>
                <w:sz w:val="22"/>
                <w:szCs w:val="22"/>
              </w:rPr>
              <w:t>Raleigh, NC</w:t>
            </w:r>
          </w:p>
        </w:tc>
        <w:tc>
          <w:tcPr>
            <w:tcW w:w="4619" w:type="dxa"/>
            <w:gridSpan w:val="2"/>
          </w:tcPr>
          <w:p w14:paraId="5798F4DB" w14:textId="76CC8D08" w:rsidR="001532F8" w:rsidRPr="00691028" w:rsidRDefault="00691028" w:rsidP="7CD398CC">
            <w:pPr>
              <w:jc w:val="right"/>
              <w:rPr>
                <w:rFonts w:ascii="Times New Roman" w:hAnsi="Times New Roman"/>
                <w:b/>
                <w:bCs/>
                <w:sz w:val="22"/>
                <w:szCs w:val="22"/>
              </w:rPr>
            </w:pPr>
            <w:r>
              <w:rPr>
                <w:rFonts w:ascii="Times New Roman" w:hAnsi="Times New Roman"/>
                <w:b/>
                <w:bCs/>
                <w:sz w:val="22"/>
                <w:szCs w:val="22"/>
              </w:rPr>
              <w:t>A</w:t>
            </w:r>
            <w:r w:rsidRPr="00691028">
              <w:rPr>
                <w:rFonts w:ascii="Times New Roman" w:hAnsi="Times New Roman"/>
                <w:b/>
                <w:bCs/>
                <w:sz w:val="22"/>
                <w:szCs w:val="22"/>
              </w:rPr>
              <w:t xml:space="preserve">ugust </w:t>
            </w:r>
            <w:r w:rsidR="6FC5E8D4" w:rsidRPr="00691028">
              <w:rPr>
                <w:rFonts w:ascii="Times New Roman" w:hAnsi="Times New Roman"/>
                <w:b/>
                <w:bCs/>
                <w:sz w:val="22"/>
                <w:szCs w:val="22"/>
              </w:rPr>
              <w:t xml:space="preserve">2000 </w:t>
            </w:r>
            <w:r w:rsidRPr="00691028">
              <w:rPr>
                <w:rFonts w:ascii="Times New Roman" w:hAnsi="Times New Roman"/>
                <w:b/>
                <w:bCs/>
                <w:sz w:val="22"/>
                <w:szCs w:val="22"/>
              </w:rPr>
              <w:t>–</w:t>
            </w:r>
            <w:r w:rsidR="6FC5E8D4" w:rsidRPr="00691028">
              <w:rPr>
                <w:rFonts w:ascii="Times New Roman" w:hAnsi="Times New Roman"/>
                <w:b/>
                <w:bCs/>
                <w:sz w:val="22"/>
                <w:szCs w:val="22"/>
              </w:rPr>
              <w:t xml:space="preserve"> </w:t>
            </w:r>
            <w:r w:rsidRPr="00691028">
              <w:rPr>
                <w:rFonts w:ascii="Times New Roman" w:hAnsi="Times New Roman"/>
                <w:b/>
                <w:bCs/>
                <w:sz w:val="22"/>
                <w:szCs w:val="22"/>
              </w:rPr>
              <w:t xml:space="preserve">September </w:t>
            </w:r>
            <w:r w:rsidR="6FC5E8D4" w:rsidRPr="00691028">
              <w:rPr>
                <w:rFonts w:ascii="Times New Roman" w:hAnsi="Times New Roman"/>
                <w:b/>
                <w:bCs/>
                <w:sz w:val="22"/>
                <w:szCs w:val="22"/>
              </w:rPr>
              <w:t>2024</w:t>
            </w:r>
          </w:p>
        </w:tc>
      </w:tr>
      <w:tr w:rsidR="001532F8" w14:paraId="7B21D06A" w14:textId="77777777" w:rsidTr="003B37BD">
        <w:tc>
          <w:tcPr>
            <w:tcW w:w="663" w:type="dxa"/>
          </w:tcPr>
          <w:p w14:paraId="4CC9F314" w14:textId="77777777" w:rsidR="001532F8" w:rsidRDefault="001532F8">
            <w:pPr>
              <w:rPr>
                <w:rFonts w:ascii="Times New Roman" w:hAnsi="Times New Roman"/>
                <w:sz w:val="22"/>
              </w:rPr>
            </w:pPr>
          </w:p>
        </w:tc>
        <w:tc>
          <w:tcPr>
            <w:tcW w:w="8579" w:type="dxa"/>
            <w:gridSpan w:val="3"/>
          </w:tcPr>
          <w:p w14:paraId="7A7F27AB" w14:textId="4B074F26" w:rsidR="001532F8" w:rsidRDefault="001532F8" w:rsidP="005A7A5A">
            <w:pPr>
              <w:pStyle w:val="ResumeBullet0"/>
            </w:pPr>
            <w:bookmarkStart w:id="1" w:name="intelSummary"/>
            <w:bookmarkEnd w:id="1"/>
          </w:p>
        </w:tc>
      </w:tr>
      <w:tr w:rsidR="00F07270" w14:paraId="4AC57764" w14:textId="77777777" w:rsidTr="003B37BD">
        <w:tc>
          <w:tcPr>
            <w:tcW w:w="9242" w:type="dxa"/>
            <w:gridSpan w:val="4"/>
          </w:tcPr>
          <w:p w14:paraId="675AC688" w14:textId="1337B521" w:rsidR="00F07270" w:rsidRDefault="4A9C51B8" w:rsidP="7CD398CC">
            <w:pPr>
              <w:rPr>
                <w:rFonts w:ascii="Times New Roman" w:hAnsi="Times New Roman"/>
                <w:b/>
                <w:bCs/>
                <w:sz w:val="22"/>
                <w:szCs w:val="22"/>
              </w:rPr>
            </w:pPr>
            <w:r w:rsidRPr="7CD398CC">
              <w:rPr>
                <w:rFonts w:ascii="Times New Roman" w:hAnsi="Times New Roman"/>
                <w:b/>
                <w:bCs/>
                <w:sz w:val="22"/>
                <w:szCs w:val="22"/>
              </w:rPr>
              <w:t>Principal Engineer/SW Architect, Cloud SW Architecture, 20</w:t>
            </w:r>
            <w:r w:rsidR="009B6B7A">
              <w:rPr>
                <w:rFonts w:ascii="Times New Roman" w:hAnsi="Times New Roman"/>
                <w:b/>
                <w:bCs/>
                <w:sz w:val="22"/>
                <w:szCs w:val="22"/>
              </w:rPr>
              <w:t>2</w:t>
            </w:r>
            <w:r w:rsidR="00713CCB">
              <w:rPr>
                <w:rFonts w:ascii="Times New Roman" w:hAnsi="Times New Roman"/>
                <w:b/>
                <w:bCs/>
                <w:sz w:val="22"/>
                <w:szCs w:val="22"/>
              </w:rPr>
              <w:t>0</w:t>
            </w:r>
            <w:r w:rsidRPr="7CD398CC">
              <w:rPr>
                <w:rFonts w:ascii="Times New Roman" w:hAnsi="Times New Roman"/>
                <w:b/>
                <w:bCs/>
                <w:sz w:val="22"/>
                <w:szCs w:val="22"/>
              </w:rPr>
              <w:t xml:space="preserve"> </w:t>
            </w:r>
            <w:r w:rsidR="005B130F">
              <w:rPr>
                <w:rFonts w:ascii="Times New Roman" w:hAnsi="Times New Roman"/>
                <w:b/>
                <w:bCs/>
                <w:sz w:val="22"/>
                <w:szCs w:val="22"/>
              </w:rPr>
              <w:t>–</w:t>
            </w:r>
            <w:r w:rsidRPr="7CD398CC">
              <w:rPr>
                <w:rFonts w:ascii="Times New Roman" w:hAnsi="Times New Roman"/>
                <w:b/>
                <w:bCs/>
                <w:sz w:val="22"/>
                <w:szCs w:val="22"/>
              </w:rPr>
              <w:t xml:space="preserve"> </w:t>
            </w:r>
            <w:r w:rsidR="005B130F">
              <w:rPr>
                <w:rFonts w:ascii="Times New Roman" w:hAnsi="Times New Roman"/>
                <w:b/>
                <w:bCs/>
                <w:sz w:val="22"/>
                <w:szCs w:val="22"/>
              </w:rPr>
              <w:t xml:space="preserve">September </w:t>
            </w:r>
            <w:r w:rsidRPr="7CD398CC">
              <w:rPr>
                <w:rFonts w:ascii="Times New Roman" w:hAnsi="Times New Roman"/>
                <w:b/>
                <w:bCs/>
                <w:sz w:val="22"/>
                <w:szCs w:val="22"/>
              </w:rPr>
              <w:t>2024</w:t>
            </w:r>
          </w:p>
        </w:tc>
      </w:tr>
      <w:tr w:rsidR="7CD398CC" w14:paraId="0397B432" w14:textId="77777777" w:rsidTr="003B37BD">
        <w:trPr>
          <w:trHeight w:val="300"/>
        </w:trPr>
        <w:tc>
          <w:tcPr>
            <w:tcW w:w="4623" w:type="dxa"/>
            <w:gridSpan w:val="2"/>
          </w:tcPr>
          <w:p w14:paraId="5FC868B1" w14:textId="5C557300" w:rsidR="7CD398CC" w:rsidRDefault="7CD398CC" w:rsidP="7CD398CC">
            <w:pPr>
              <w:rPr>
                <w:rFonts w:ascii="Times New Roman" w:hAnsi="Times New Roman"/>
                <w:b/>
                <w:bCs/>
                <w:sz w:val="22"/>
                <w:szCs w:val="22"/>
              </w:rPr>
            </w:pPr>
          </w:p>
        </w:tc>
        <w:tc>
          <w:tcPr>
            <w:tcW w:w="4619" w:type="dxa"/>
            <w:gridSpan w:val="2"/>
          </w:tcPr>
          <w:p w14:paraId="3E8F51BF" w14:textId="5C0D13C0" w:rsidR="7CD398CC" w:rsidRDefault="7CD398CC" w:rsidP="7CD398CC">
            <w:pPr>
              <w:rPr>
                <w:rFonts w:ascii="Times New Roman" w:hAnsi="Times New Roman"/>
                <w:b/>
                <w:bCs/>
                <w:sz w:val="22"/>
                <w:szCs w:val="22"/>
              </w:rPr>
            </w:pPr>
          </w:p>
        </w:tc>
      </w:tr>
      <w:tr w:rsidR="00D54695" w14:paraId="223E14BD" w14:textId="77777777" w:rsidTr="003B37BD">
        <w:trPr>
          <w:trHeight w:val="2400"/>
        </w:trPr>
        <w:tc>
          <w:tcPr>
            <w:tcW w:w="9242" w:type="dxa"/>
            <w:gridSpan w:val="4"/>
          </w:tcPr>
          <w:p w14:paraId="0A486383" w14:textId="652338C0" w:rsidR="03D618FF" w:rsidRPr="000E56E7" w:rsidRDefault="03D618FF" w:rsidP="009A1F73">
            <w:pPr>
              <w:pStyle w:val="Resumebullet"/>
              <w:rPr>
                <w:b/>
                <w:bCs/>
              </w:rPr>
            </w:pPr>
            <w:r w:rsidRPr="000E56E7">
              <w:rPr>
                <w:b/>
                <w:bCs/>
              </w:rPr>
              <w:t>Implemented improvements to</w:t>
            </w:r>
            <w:r w:rsidR="00CB1BBC">
              <w:rPr>
                <w:b/>
                <w:bCs/>
              </w:rPr>
              <w:t xml:space="preserve"> </w:t>
            </w:r>
            <w:r w:rsidR="005D1DE8">
              <w:rPr>
                <w:b/>
                <w:bCs/>
              </w:rPr>
              <w:t xml:space="preserve">SGX/TDX </w:t>
            </w:r>
            <w:r w:rsidRPr="000E56E7">
              <w:rPr>
                <w:b/>
                <w:bCs/>
              </w:rPr>
              <w:t>attestation process. The improvements considered the needs of customers, validation requirements and the integrity</w:t>
            </w:r>
            <w:r w:rsidR="00007BA6">
              <w:rPr>
                <w:b/>
                <w:bCs/>
              </w:rPr>
              <w:t xml:space="preserve"> of</w:t>
            </w:r>
            <w:r w:rsidR="000F7809">
              <w:rPr>
                <w:b/>
                <w:bCs/>
              </w:rPr>
              <w:t xml:space="preserve"> attestation</w:t>
            </w:r>
            <w:r w:rsidRPr="000E56E7">
              <w:rPr>
                <w:b/>
                <w:bCs/>
              </w:rPr>
              <w:t>.</w:t>
            </w:r>
          </w:p>
          <w:p w14:paraId="63F1152C" w14:textId="1BC78048" w:rsidR="330439AA" w:rsidRPr="000E56E7" w:rsidRDefault="0FB1D2FB" w:rsidP="009A1F73">
            <w:pPr>
              <w:pStyle w:val="Resumebullet"/>
              <w:rPr>
                <w:b/>
                <w:bCs/>
              </w:rPr>
            </w:pPr>
            <w:r w:rsidRPr="000E56E7">
              <w:rPr>
                <w:b/>
                <w:bCs/>
              </w:rPr>
              <w:t xml:space="preserve">Recognized gaps in validation of Intel updates </w:t>
            </w:r>
            <w:r w:rsidR="5810C007" w:rsidRPr="000E56E7">
              <w:rPr>
                <w:b/>
                <w:bCs/>
              </w:rPr>
              <w:t>containing</w:t>
            </w:r>
            <w:r w:rsidRPr="000E56E7">
              <w:rPr>
                <w:b/>
                <w:bCs/>
              </w:rPr>
              <w:t xml:space="preserve"> mitigations for SGX</w:t>
            </w:r>
            <w:r w:rsidR="00B126E5" w:rsidRPr="000E56E7">
              <w:rPr>
                <w:b/>
                <w:bCs/>
              </w:rPr>
              <w:t xml:space="preserve"> or </w:t>
            </w:r>
            <w:r w:rsidRPr="000E56E7">
              <w:rPr>
                <w:b/>
                <w:bCs/>
              </w:rPr>
              <w:t xml:space="preserve">TDX vulnerabilities. </w:t>
            </w:r>
            <w:r w:rsidR="5810C007" w:rsidRPr="000E56E7">
              <w:rPr>
                <w:b/>
                <w:bCs/>
              </w:rPr>
              <w:t>Volunteered to address this by writing test plan</w:t>
            </w:r>
            <w:r w:rsidR="3B21A1AE" w:rsidRPr="000E56E7">
              <w:rPr>
                <w:b/>
                <w:bCs/>
              </w:rPr>
              <w:t xml:space="preserve"> (100+ pages)</w:t>
            </w:r>
            <w:r w:rsidR="5810C007" w:rsidRPr="000E56E7">
              <w:rPr>
                <w:b/>
                <w:bCs/>
              </w:rPr>
              <w:t>, working with and mentoring validation engineers and by leading effort to utilize “attestation infrastructure” additions dedicated to validation.</w:t>
            </w:r>
            <w:r w:rsidR="00B4550E" w:rsidRPr="000E56E7">
              <w:rPr>
                <w:b/>
                <w:bCs/>
              </w:rPr>
              <w:t xml:space="preserve"> </w:t>
            </w:r>
            <w:r w:rsidR="00B56E74" w:rsidRPr="000E56E7">
              <w:rPr>
                <w:b/>
                <w:bCs/>
              </w:rPr>
              <w:t xml:space="preserve">The additions allowed system testing to </w:t>
            </w:r>
            <w:r w:rsidR="006822F4" w:rsidRPr="000E56E7">
              <w:rPr>
                <w:b/>
                <w:bCs/>
              </w:rPr>
              <w:t xml:space="preserve">happen </w:t>
            </w:r>
            <w:r w:rsidR="00111D77" w:rsidRPr="000E56E7">
              <w:rPr>
                <w:b/>
                <w:bCs/>
              </w:rPr>
              <w:t>3-4 months</w:t>
            </w:r>
            <w:r w:rsidR="006822F4" w:rsidRPr="000E56E7">
              <w:rPr>
                <w:b/>
                <w:bCs/>
              </w:rPr>
              <w:t xml:space="preserve"> earlier</w:t>
            </w:r>
            <w:r w:rsidR="00111D77" w:rsidRPr="000E56E7">
              <w:rPr>
                <w:b/>
                <w:bCs/>
              </w:rPr>
              <w:t>.</w:t>
            </w:r>
          </w:p>
          <w:p w14:paraId="4301AAAA" w14:textId="648FC22B" w:rsidR="7CD398CC" w:rsidRDefault="00000000" w:rsidP="000311CF">
            <w:pPr>
              <w:pStyle w:val="Resumebullet"/>
              <w:numPr>
                <w:ilvl w:val="0"/>
                <w:numId w:val="0"/>
              </w:numPr>
              <w:ind w:left="216"/>
              <w:rPr>
                <w:rFonts w:ascii="Symbol" w:eastAsia="Symbol" w:hAnsi="Symbol" w:cs="Symbol"/>
              </w:rPr>
            </w:pPr>
            <w:r>
              <w:rPr>
                <w:rFonts w:ascii="Symbol" w:eastAsia="Symbol" w:hAnsi="Symbol" w:cs="Symbol"/>
              </w:rPr>
              <w:pict w14:anchorId="7A18D92A">
                <v:rect id="_x0000_i1025" style="width:0;height:1.5pt" o:hralign="center" o:hrstd="t" o:hr="t" fillcolor="#a0a0a0" stroked="f"/>
              </w:pict>
            </w:r>
          </w:p>
          <w:p w14:paraId="532E19E1" w14:textId="4F5AB6AB" w:rsidR="6EDD008F" w:rsidRDefault="6EDD008F" w:rsidP="009A1F73">
            <w:pPr>
              <w:pStyle w:val="Resumebullet"/>
            </w:pPr>
            <w:r>
              <w:t>Work</w:t>
            </w:r>
            <w:r w:rsidR="00BB4941">
              <w:t>ed</w:t>
            </w:r>
            <w:r>
              <w:t xml:space="preserve"> with customers, including Microsoft Azure </w:t>
            </w:r>
            <w:r w:rsidR="3B2891EE">
              <w:t>Confidential Computing (</w:t>
            </w:r>
            <w:r>
              <w:t>CC</w:t>
            </w:r>
            <w:r w:rsidR="3B2891EE">
              <w:t>)</w:t>
            </w:r>
            <w:r>
              <w:t xml:space="preserve"> engineers, </w:t>
            </w:r>
            <w:r w:rsidR="658940F7">
              <w:t xml:space="preserve">to ensure understanding of how Intel addresses security issues and the implications </w:t>
            </w:r>
            <w:r w:rsidR="0C625277">
              <w:t>for</w:t>
            </w:r>
            <w:r w:rsidR="658940F7">
              <w:t xml:space="preserve"> attestation.</w:t>
            </w:r>
          </w:p>
          <w:p w14:paraId="456720FC" w14:textId="78444EFC" w:rsidR="000F1492" w:rsidRPr="000F1492" w:rsidRDefault="000F1492" w:rsidP="000F1492">
            <w:pPr>
              <w:pStyle w:val="Resumebullet"/>
            </w:pPr>
            <w:r w:rsidRPr="000F1492">
              <w:t>Part of small team responsible for defining and executing Intel’s Confidential Computing TCB (Trusted Computing Base) Recovery process</w:t>
            </w:r>
            <w:r w:rsidR="00FF2F40">
              <w:t xml:space="preserve">. The process </w:t>
            </w:r>
            <w:r w:rsidR="000805F0">
              <w:t>incorporate</w:t>
            </w:r>
            <w:r w:rsidR="00FF2F40">
              <w:t xml:space="preserve">s </w:t>
            </w:r>
            <w:r w:rsidR="000805F0">
              <w:t xml:space="preserve">the details of </w:t>
            </w:r>
            <w:r w:rsidR="009167C1">
              <w:t xml:space="preserve">how each TCB component (microcode, </w:t>
            </w:r>
            <w:r w:rsidR="00A20867">
              <w:t>firmware, etc.) can be updated</w:t>
            </w:r>
            <w:r w:rsidRPr="000F1492">
              <w:t xml:space="preserve">. </w:t>
            </w:r>
          </w:p>
          <w:p w14:paraId="58C41596" w14:textId="31A5D5F1" w:rsidR="48801B13" w:rsidRDefault="50759255" w:rsidP="009A1F73">
            <w:pPr>
              <w:pStyle w:val="Resumebullet"/>
            </w:pPr>
            <w:r>
              <w:t xml:space="preserve">Led response to </w:t>
            </w:r>
            <w:hyperlink r:id="rId7">
              <w:proofErr w:type="spellStart"/>
              <w:r w:rsidRPr="7CD398CC">
                <w:rPr>
                  <w:rStyle w:val="Hyperlink"/>
                </w:rPr>
                <w:t>SGX.Fail</w:t>
              </w:r>
              <w:proofErr w:type="spellEnd"/>
            </w:hyperlink>
            <w:r>
              <w:t xml:space="preserve"> research that explored the implications of stale attestation results</w:t>
            </w:r>
            <w:r w:rsidR="330439AA">
              <w:t xml:space="preserve"> and where </w:t>
            </w:r>
            <w:r>
              <w:t xml:space="preserve">researchers were able to </w:t>
            </w:r>
            <w:r w:rsidR="6E2299CC">
              <w:t xml:space="preserve">compromise the privacy of </w:t>
            </w:r>
            <w:r w:rsidR="330439AA">
              <w:t xml:space="preserve">a popular </w:t>
            </w:r>
            <w:r w:rsidR="6E2299CC">
              <w:t>block chain. Worked closely with the block chain vendor to utilize additional information in the attestation response to limit the breach.</w:t>
            </w:r>
            <w:r w:rsidR="7D3213D8">
              <w:t xml:space="preserve"> Balanced tradeoffs while addressing the stale attestation result root cause.</w:t>
            </w:r>
          </w:p>
          <w:p w14:paraId="18DAA28C" w14:textId="62FC4165" w:rsidR="00F92ADA" w:rsidRDefault="008804CC" w:rsidP="00F92ADA">
            <w:pPr>
              <w:pStyle w:val="Resumebullet"/>
            </w:pPr>
            <w:r>
              <w:t>Member</w:t>
            </w:r>
            <w:r w:rsidR="00F92ADA">
              <w:t xml:space="preserve"> of </w:t>
            </w:r>
            <w:r>
              <w:t xml:space="preserve">task force </w:t>
            </w:r>
            <w:r w:rsidR="00F92ADA">
              <w:t>responsible for facilitating FIPS 140 certification of Intel-provided SGX/TDX SW.</w:t>
            </w:r>
          </w:p>
          <w:p w14:paraId="169A92D5" w14:textId="77777777" w:rsidR="00F92ADA" w:rsidRDefault="00F92ADA" w:rsidP="00F92ADA">
            <w:pPr>
              <w:pStyle w:val="Resumebullet"/>
            </w:pPr>
            <w:r>
              <w:t>Completed Intel crypto training, level 1, consisting of coursework and paper-reading/discussion.</w:t>
            </w:r>
          </w:p>
          <w:p w14:paraId="52EBB5A2" w14:textId="77777777" w:rsidR="00512C87" w:rsidRDefault="00512C87" w:rsidP="00512C87">
            <w:pPr>
              <w:pStyle w:val="Resumebullet"/>
            </w:pPr>
            <w:r>
              <w:t xml:space="preserve">Designed simple fault injection countermeasures in light of </w:t>
            </w:r>
            <w:hyperlink r:id="rId8" w:history="1">
              <w:proofErr w:type="spellStart"/>
              <w:r w:rsidRPr="00B14343">
                <w:rPr>
                  <w:rStyle w:val="Hyperlink"/>
                </w:rPr>
                <w:t>VoltPillager</w:t>
              </w:r>
              <w:proofErr w:type="spellEnd"/>
            </w:hyperlink>
            <w:r>
              <w:t>/</w:t>
            </w:r>
            <w:proofErr w:type="spellStart"/>
            <w:r>
              <w:fldChar w:fldCharType="begin"/>
            </w:r>
            <w:r>
              <w:instrText>HYPERLINK "https://plundervolt.com/"</w:instrText>
            </w:r>
            <w:r>
              <w:fldChar w:fldCharType="separate"/>
            </w:r>
            <w:r w:rsidRPr="00577BD3">
              <w:rPr>
                <w:rStyle w:val="Hyperlink"/>
              </w:rPr>
              <w:t>PlunderVolt</w:t>
            </w:r>
            <w:proofErr w:type="spellEnd"/>
            <w:r>
              <w:fldChar w:fldCharType="end"/>
            </w:r>
            <w:r>
              <w:t xml:space="preserve"> research. </w:t>
            </w:r>
          </w:p>
          <w:p w14:paraId="09F8E0A1" w14:textId="42FFA1D0" w:rsidR="2B557B10" w:rsidRDefault="00F92ADA" w:rsidP="00F92ADA">
            <w:pPr>
              <w:pStyle w:val="Resumebullet"/>
            </w:pPr>
            <w:r>
              <w:t>Introduced and specified an attestation library/service, for execution in the TDX Confidential VM, that hides attestation details from SW running in the TD.</w:t>
            </w:r>
          </w:p>
        </w:tc>
      </w:tr>
      <w:tr w:rsidR="00BE135F" w14:paraId="793EDE6B" w14:textId="77777777" w:rsidTr="003B37BD">
        <w:tc>
          <w:tcPr>
            <w:tcW w:w="663" w:type="dxa"/>
          </w:tcPr>
          <w:p w14:paraId="0F4D0902" w14:textId="77777777" w:rsidR="00BE135F" w:rsidRDefault="00BE135F" w:rsidP="00495BD9">
            <w:pPr>
              <w:rPr>
                <w:rFonts w:ascii="Times New Roman" w:hAnsi="Times New Roman"/>
                <w:b/>
                <w:sz w:val="22"/>
              </w:rPr>
            </w:pPr>
          </w:p>
        </w:tc>
        <w:tc>
          <w:tcPr>
            <w:tcW w:w="8579" w:type="dxa"/>
            <w:gridSpan w:val="3"/>
          </w:tcPr>
          <w:p w14:paraId="195F54A4" w14:textId="2209FEA0" w:rsidR="00423064" w:rsidRPr="00423064" w:rsidRDefault="00423064" w:rsidP="00330D92"/>
        </w:tc>
      </w:tr>
      <w:tr w:rsidR="00CE5722" w14:paraId="61013D06" w14:textId="77777777" w:rsidTr="003B37BD">
        <w:tc>
          <w:tcPr>
            <w:tcW w:w="9242" w:type="dxa"/>
            <w:gridSpan w:val="4"/>
          </w:tcPr>
          <w:p w14:paraId="11D63022" w14:textId="53793731" w:rsidR="00CE5722" w:rsidRPr="7CD398CC" w:rsidRDefault="00CE5722" w:rsidP="00CE5722">
            <w:pPr>
              <w:rPr>
                <w:rFonts w:ascii="Times New Roman" w:hAnsi="Times New Roman"/>
                <w:b/>
                <w:bCs/>
                <w:sz w:val="22"/>
                <w:szCs w:val="22"/>
              </w:rPr>
            </w:pPr>
            <w:r w:rsidRPr="7CD398CC">
              <w:rPr>
                <w:rFonts w:ascii="Times New Roman" w:hAnsi="Times New Roman"/>
                <w:b/>
                <w:bCs/>
                <w:sz w:val="22"/>
                <w:szCs w:val="22"/>
              </w:rPr>
              <w:t>SW Architect, 20</w:t>
            </w:r>
            <w:r>
              <w:rPr>
                <w:rFonts w:ascii="Times New Roman" w:hAnsi="Times New Roman"/>
                <w:b/>
                <w:bCs/>
                <w:sz w:val="22"/>
                <w:szCs w:val="22"/>
              </w:rPr>
              <w:t>1</w:t>
            </w:r>
            <w:r w:rsidRPr="7CD398CC">
              <w:rPr>
                <w:rFonts w:ascii="Times New Roman" w:hAnsi="Times New Roman"/>
                <w:b/>
                <w:bCs/>
                <w:sz w:val="22"/>
                <w:szCs w:val="22"/>
              </w:rPr>
              <w:t>8 - 20</w:t>
            </w:r>
            <w:r>
              <w:rPr>
                <w:rFonts w:ascii="Times New Roman" w:hAnsi="Times New Roman"/>
                <w:b/>
                <w:bCs/>
                <w:sz w:val="22"/>
                <w:szCs w:val="22"/>
              </w:rPr>
              <w:t>2</w:t>
            </w:r>
            <w:r w:rsidR="008C1B3A">
              <w:rPr>
                <w:rFonts w:ascii="Times New Roman" w:hAnsi="Times New Roman"/>
                <w:b/>
                <w:bCs/>
                <w:sz w:val="22"/>
                <w:szCs w:val="22"/>
              </w:rPr>
              <w:t>0</w:t>
            </w:r>
          </w:p>
        </w:tc>
      </w:tr>
      <w:tr w:rsidR="009042DF" w:rsidRPr="00FE5DB2" w14:paraId="47ED1498" w14:textId="77777777" w:rsidTr="003B37BD">
        <w:trPr>
          <w:trHeight w:val="720"/>
        </w:trPr>
        <w:tc>
          <w:tcPr>
            <w:tcW w:w="9242" w:type="dxa"/>
            <w:gridSpan w:val="4"/>
          </w:tcPr>
          <w:p w14:paraId="7E21D814" w14:textId="77777777" w:rsidR="00A073E9" w:rsidRDefault="00A073E9" w:rsidP="00CE5722">
            <w:pPr>
              <w:rPr>
                <w:rFonts w:ascii="Times New Roman" w:hAnsi="Times New Roman"/>
                <w:b/>
                <w:bCs/>
                <w:sz w:val="20"/>
              </w:rPr>
            </w:pPr>
          </w:p>
          <w:p w14:paraId="7C4F3DAA" w14:textId="61E08A2D" w:rsidR="009042DF" w:rsidRPr="00FE5DB2" w:rsidRDefault="009042DF" w:rsidP="00CE5722">
            <w:pPr>
              <w:rPr>
                <w:rFonts w:ascii="Times New Roman" w:hAnsi="Times New Roman"/>
                <w:b/>
                <w:bCs/>
                <w:sz w:val="20"/>
              </w:rPr>
            </w:pPr>
            <w:r w:rsidRPr="00FE5DB2">
              <w:rPr>
                <w:rFonts w:ascii="Times New Roman" w:hAnsi="Times New Roman"/>
                <w:b/>
                <w:bCs/>
                <w:sz w:val="20"/>
              </w:rPr>
              <w:t xml:space="preserve">Led SGX SW response to Spectre and subsequently discovered microarchitectural/transient execution issues. Led mitigation efforts when mitigations were implemented in SW, for example, for Spectre variant 1 and </w:t>
            </w:r>
            <w:hyperlink r:id="rId9">
              <w:r w:rsidRPr="00FE5DB2">
                <w:rPr>
                  <w:rStyle w:val="Hyperlink"/>
                  <w:rFonts w:ascii="Times New Roman" w:hAnsi="Times New Roman"/>
                  <w:b/>
                  <w:bCs/>
                  <w:sz w:val="20"/>
                </w:rPr>
                <w:t>LVI</w:t>
              </w:r>
            </w:hyperlink>
            <w:r w:rsidRPr="00FE5DB2">
              <w:rPr>
                <w:rFonts w:ascii="Times New Roman" w:hAnsi="Times New Roman"/>
                <w:b/>
                <w:bCs/>
                <w:sz w:val="20"/>
              </w:rPr>
              <w:t xml:space="preserve"> (Load Value Injection).</w:t>
            </w:r>
          </w:p>
          <w:p w14:paraId="06FD9028" w14:textId="77777777" w:rsidR="009042DF" w:rsidRDefault="009042DF" w:rsidP="00D91F0E">
            <w:pPr>
              <w:pStyle w:val="Resumebullet"/>
            </w:pPr>
            <w:r>
              <w:t xml:space="preserve">Led the effort to develop tools and to modify existing GCC and Microsoft tool chains to be able to add </w:t>
            </w:r>
            <w:hyperlink r:id="rId10">
              <w:r w:rsidRPr="7CD398CC">
                <w:rPr>
                  <w:rStyle w:val="Hyperlink"/>
                </w:rPr>
                <w:t>LVI</w:t>
              </w:r>
            </w:hyperlink>
            <w:r>
              <w:t xml:space="preserve"> mitigations without changing source code, which was not viable for </w:t>
            </w:r>
            <w:hyperlink r:id="rId11">
              <w:r w:rsidRPr="7CD398CC">
                <w:rPr>
                  <w:rStyle w:val="Hyperlink"/>
                </w:rPr>
                <w:t>LVI</w:t>
              </w:r>
            </w:hyperlink>
            <w:r>
              <w:t xml:space="preserve">. Defined different </w:t>
            </w:r>
            <w:hyperlink r:id="rId12">
              <w:r w:rsidRPr="7CD398CC">
                <w:rPr>
                  <w:rStyle w:val="Hyperlink"/>
                </w:rPr>
                <w:t>LVI</w:t>
              </w:r>
            </w:hyperlink>
            <w:r>
              <w:t xml:space="preserve"> mitigation options, realizing the performance impact of full mitigations.</w:t>
            </w:r>
          </w:p>
          <w:p w14:paraId="5AC4B8A9" w14:textId="1CAAE9EF" w:rsidR="009042DF" w:rsidRPr="00FE5DB2" w:rsidRDefault="009042DF" w:rsidP="00D91F0E">
            <w:pPr>
              <w:pStyle w:val="Resumebullet"/>
              <w:rPr>
                <w:b/>
                <w:bCs/>
                <w:szCs w:val="20"/>
              </w:rPr>
            </w:pPr>
            <w:r>
              <w:lastRenderedPageBreak/>
              <w:t xml:space="preserve">Proof of concept work related to the </w:t>
            </w:r>
            <w:hyperlink r:id="rId13">
              <w:r w:rsidRPr="7CD398CC">
                <w:rPr>
                  <w:rStyle w:val="Hyperlink"/>
                </w:rPr>
                <w:t>Foreshadow</w:t>
              </w:r>
            </w:hyperlink>
            <w:r>
              <w:t>/L1TF speculative execution issue, specifically to address ease of exploit when hyper-threading was enabled, even with Intel’s microcode patch. Developed stack location randomization to make exploit more difficult.</w:t>
            </w:r>
          </w:p>
        </w:tc>
      </w:tr>
      <w:tr w:rsidR="00581827" w14:paraId="5B7676E6" w14:textId="77777777" w:rsidTr="003B37BD">
        <w:tc>
          <w:tcPr>
            <w:tcW w:w="9242" w:type="dxa"/>
            <w:gridSpan w:val="4"/>
          </w:tcPr>
          <w:p w14:paraId="19793F1A" w14:textId="77777777" w:rsidR="00581827" w:rsidRPr="7CD398CC" w:rsidRDefault="00581827" w:rsidP="00CE5722">
            <w:pPr>
              <w:rPr>
                <w:rFonts w:ascii="Times New Roman" w:hAnsi="Times New Roman"/>
                <w:b/>
                <w:bCs/>
                <w:sz w:val="22"/>
                <w:szCs w:val="22"/>
              </w:rPr>
            </w:pPr>
          </w:p>
        </w:tc>
      </w:tr>
      <w:tr w:rsidR="00CE5722" w14:paraId="10E1543D" w14:textId="77777777" w:rsidTr="003B37BD">
        <w:tc>
          <w:tcPr>
            <w:tcW w:w="9242" w:type="dxa"/>
            <w:gridSpan w:val="4"/>
          </w:tcPr>
          <w:p w14:paraId="23E9DE7C" w14:textId="178763FD" w:rsidR="00CE5722" w:rsidRDefault="00CE5722" w:rsidP="00CE5722">
            <w:pPr>
              <w:rPr>
                <w:rFonts w:ascii="Times New Roman" w:hAnsi="Times New Roman"/>
                <w:sz w:val="22"/>
                <w:szCs w:val="22"/>
              </w:rPr>
            </w:pPr>
            <w:r w:rsidRPr="7CD398CC">
              <w:rPr>
                <w:rFonts w:ascii="Times New Roman" w:hAnsi="Times New Roman"/>
                <w:b/>
                <w:bCs/>
                <w:sz w:val="22"/>
                <w:szCs w:val="22"/>
              </w:rPr>
              <w:t>SW Architect, 2008 - 20</w:t>
            </w:r>
            <w:r>
              <w:rPr>
                <w:rFonts w:ascii="Times New Roman" w:hAnsi="Times New Roman"/>
                <w:b/>
                <w:bCs/>
                <w:sz w:val="22"/>
                <w:szCs w:val="22"/>
              </w:rPr>
              <w:t>18</w:t>
            </w:r>
          </w:p>
        </w:tc>
      </w:tr>
      <w:tr w:rsidR="00CE5722" w14:paraId="12DF1F29" w14:textId="77777777" w:rsidTr="003B37BD">
        <w:trPr>
          <w:trHeight w:val="300"/>
        </w:trPr>
        <w:tc>
          <w:tcPr>
            <w:tcW w:w="4623" w:type="dxa"/>
            <w:gridSpan w:val="2"/>
          </w:tcPr>
          <w:p w14:paraId="241C6BB7" w14:textId="31B19D0F" w:rsidR="00CE5722" w:rsidRDefault="00CE5722" w:rsidP="00CE5722">
            <w:pPr>
              <w:rPr>
                <w:rFonts w:ascii="Times New Roman" w:hAnsi="Times New Roman"/>
                <w:b/>
                <w:bCs/>
                <w:sz w:val="22"/>
                <w:szCs w:val="22"/>
              </w:rPr>
            </w:pPr>
          </w:p>
        </w:tc>
        <w:tc>
          <w:tcPr>
            <w:tcW w:w="4619" w:type="dxa"/>
            <w:gridSpan w:val="2"/>
          </w:tcPr>
          <w:p w14:paraId="12975B17" w14:textId="5FDA78F8" w:rsidR="00CE5722" w:rsidRDefault="00CE5722" w:rsidP="00CE5722">
            <w:pPr>
              <w:rPr>
                <w:rFonts w:ascii="Times New Roman" w:hAnsi="Times New Roman"/>
                <w:b/>
                <w:bCs/>
                <w:sz w:val="22"/>
                <w:szCs w:val="22"/>
              </w:rPr>
            </w:pPr>
          </w:p>
        </w:tc>
      </w:tr>
      <w:tr w:rsidR="00CE5722" w14:paraId="2C895721" w14:textId="77777777" w:rsidTr="003B37BD">
        <w:trPr>
          <w:trHeight w:val="1500"/>
        </w:trPr>
        <w:tc>
          <w:tcPr>
            <w:tcW w:w="9242" w:type="dxa"/>
            <w:gridSpan w:val="4"/>
          </w:tcPr>
          <w:p w14:paraId="5E78AAF5" w14:textId="580EECB5" w:rsidR="00A85FAB" w:rsidRDefault="00A85FAB" w:rsidP="00A85FAB">
            <w:pPr>
              <w:pStyle w:val="Resumebullet"/>
            </w:pPr>
            <w:r>
              <w:t xml:space="preserve">Wrote spec for SGX attestation (200+ pages) including specification of “architectural enclaves” (AEs). (Use of SGX involves the development and use of “enclaves”, essentially user mode libraries that can remain secure even when the OS, VMM, BIOS, etc. are compromised.) To limit SGX HW and microcode complexity, the Intel-provided AEs implement a large portion of the attestation process. </w:t>
            </w:r>
          </w:p>
          <w:p w14:paraId="56436187" w14:textId="01DFD922" w:rsidR="00A85FAB" w:rsidRDefault="00A85FAB" w:rsidP="00A85FAB">
            <w:pPr>
              <w:pStyle w:val="Resumebullet"/>
            </w:pPr>
            <w:r>
              <w:t xml:space="preserve">Worked with Intel cryptographers to design a variant of the SIGMA key exchange protocol for use with </w:t>
            </w:r>
            <w:r w:rsidR="007B2684">
              <w:t xml:space="preserve">SGX </w:t>
            </w:r>
            <w:r>
              <w:t>attestation.</w:t>
            </w:r>
          </w:p>
          <w:p w14:paraId="720160CA" w14:textId="77777777" w:rsidR="00A85FAB" w:rsidRDefault="00A85FAB" w:rsidP="00A85FAB">
            <w:pPr>
              <w:pStyle w:val="Resumebullet"/>
            </w:pPr>
            <w:r>
              <w:t xml:space="preserve">Wrote spec for SGX Platform Services (100+ pages), chipset-provided features complementing native SGX features. Specifically, the chipset provided trusted time and replay-protection through monotonic counters. This work included a novel method for adding the attestation of these complementary features to </w:t>
            </w:r>
            <w:proofErr w:type="gramStart"/>
            <w:r>
              <w:t>attestation</w:t>
            </w:r>
            <w:proofErr w:type="gramEnd"/>
            <w:r>
              <w:t xml:space="preserve"> of the rest of the SGX TCB.</w:t>
            </w:r>
          </w:p>
          <w:p w14:paraId="4C92B252" w14:textId="32CFC949" w:rsidR="00F3044B" w:rsidRDefault="00F3044B" w:rsidP="00A85FAB">
            <w:pPr>
              <w:pStyle w:val="Resumebullet"/>
            </w:pPr>
            <w:r>
              <w:t>Volunteered to be team’s Security Champion, responsible for compliance with Intel SDL, including security review of SGX SDK and SGX Platform SW deliverables.</w:t>
            </w:r>
          </w:p>
          <w:p w14:paraId="70401BD5" w14:textId="7DFF56CA" w:rsidR="00CE5722" w:rsidRDefault="00A85FAB" w:rsidP="00F3044B">
            <w:pPr>
              <w:pStyle w:val="Resumebullet"/>
            </w:pPr>
            <w:r>
              <w:t xml:space="preserve">Early attestation proof of concept characterized by a Windows service where SGX enclaves </w:t>
            </w:r>
            <w:proofErr w:type="gramStart"/>
            <w:r>
              <w:t>responsible</w:t>
            </w:r>
            <w:proofErr w:type="gramEnd"/>
            <w:r>
              <w:t xml:space="preserve"> for attestation-related provisioning and signing ran. The service was a COM server and the PoC included how to communicate with it (using COM). The eventual product adopted this design.</w:t>
            </w:r>
          </w:p>
        </w:tc>
      </w:tr>
      <w:tr w:rsidR="00CE5722" w14:paraId="5E00C0A9" w14:textId="77777777" w:rsidTr="003B37BD">
        <w:tc>
          <w:tcPr>
            <w:tcW w:w="663" w:type="dxa"/>
          </w:tcPr>
          <w:p w14:paraId="0DB5B5A0" w14:textId="77777777" w:rsidR="00CE5722" w:rsidRDefault="00CE5722" w:rsidP="00CE5722">
            <w:pPr>
              <w:rPr>
                <w:rFonts w:ascii="Times New Roman" w:hAnsi="Times New Roman"/>
                <w:b/>
                <w:sz w:val="22"/>
              </w:rPr>
            </w:pPr>
          </w:p>
        </w:tc>
        <w:tc>
          <w:tcPr>
            <w:tcW w:w="8579" w:type="dxa"/>
            <w:gridSpan w:val="3"/>
          </w:tcPr>
          <w:p w14:paraId="0F056BAF" w14:textId="7F418B1B" w:rsidR="00CE5722" w:rsidRDefault="00CE5722" w:rsidP="00CE5722">
            <w:pPr>
              <w:pStyle w:val="ResumeBullet0"/>
            </w:pPr>
          </w:p>
        </w:tc>
      </w:tr>
      <w:tr w:rsidR="00CE5722" w14:paraId="6CA6A3C5" w14:textId="77777777" w:rsidTr="003B37BD">
        <w:tc>
          <w:tcPr>
            <w:tcW w:w="9242" w:type="dxa"/>
            <w:gridSpan w:val="4"/>
          </w:tcPr>
          <w:p w14:paraId="23E80E1C" w14:textId="17CDEEBD" w:rsidR="00CE5722" w:rsidRDefault="00CE5722" w:rsidP="00CE5722">
            <w:pPr>
              <w:rPr>
                <w:rFonts w:ascii="Times New Roman" w:hAnsi="Times New Roman"/>
                <w:b/>
                <w:bCs/>
                <w:sz w:val="22"/>
                <w:szCs w:val="22"/>
              </w:rPr>
            </w:pPr>
            <w:r w:rsidRPr="7CD398CC">
              <w:rPr>
                <w:rFonts w:ascii="Times New Roman" w:hAnsi="Times New Roman"/>
                <w:b/>
                <w:bCs/>
                <w:sz w:val="22"/>
                <w:szCs w:val="22"/>
              </w:rPr>
              <w:t>SW Architect, 2005 - 2008</w:t>
            </w:r>
          </w:p>
        </w:tc>
      </w:tr>
      <w:tr w:rsidR="00CE5722" w14:paraId="6A0B111C" w14:textId="77777777" w:rsidTr="003B37BD">
        <w:tc>
          <w:tcPr>
            <w:tcW w:w="4623" w:type="dxa"/>
            <w:gridSpan w:val="2"/>
          </w:tcPr>
          <w:p w14:paraId="1B183876" w14:textId="449121CE" w:rsidR="00CE5722" w:rsidRDefault="00CE5722" w:rsidP="00CE5722">
            <w:pPr>
              <w:rPr>
                <w:rFonts w:ascii="Times New Roman" w:hAnsi="Times New Roman"/>
                <w:b/>
                <w:sz w:val="22"/>
              </w:rPr>
            </w:pPr>
          </w:p>
        </w:tc>
        <w:tc>
          <w:tcPr>
            <w:tcW w:w="4619" w:type="dxa"/>
            <w:gridSpan w:val="2"/>
          </w:tcPr>
          <w:p w14:paraId="0B3ACE5A" w14:textId="77777777" w:rsidR="00CE5722" w:rsidDel="00FA2048" w:rsidRDefault="00CE5722" w:rsidP="00CE5722">
            <w:pPr>
              <w:rPr>
                <w:rFonts w:ascii="Times New Roman" w:hAnsi="Times New Roman"/>
                <w:b/>
                <w:sz w:val="22"/>
              </w:rPr>
            </w:pPr>
          </w:p>
        </w:tc>
      </w:tr>
      <w:tr w:rsidR="00CE5722" w14:paraId="19A53D1B" w14:textId="77777777" w:rsidTr="003B37BD">
        <w:trPr>
          <w:trHeight w:val="1500"/>
        </w:trPr>
        <w:tc>
          <w:tcPr>
            <w:tcW w:w="9242" w:type="dxa"/>
            <w:gridSpan w:val="4"/>
          </w:tcPr>
          <w:p w14:paraId="5DD9F4F6" w14:textId="0ECAB441" w:rsidR="00CE5722" w:rsidRDefault="00CE5722" w:rsidP="00CE5722">
            <w:pPr>
              <w:pStyle w:val="ResumeBullet0"/>
              <w:rPr>
                <w:b/>
                <w:bCs/>
              </w:rPr>
            </w:pPr>
            <w:r w:rsidRPr="7CD398CC">
              <w:rPr>
                <w:b/>
                <w:bCs/>
              </w:rPr>
              <w:t>Worked on VoIP and “Wake-on-Event” projects. Wake-on-event was a generalization of Wake-on-LAN/Wake-on-ring and utilized a SIP stack running on a microcontroller integrated in the Intel chipset (part of Intel vPro/AMT).</w:t>
            </w:r>
          </w:p>
          <w:p w14:paraId="30CFE077" w14:textId="24B990B4" w:rsidR="00CE5722" w:rsidRDefault="00CE5722" w:rsidP="003B3350">
            <w:pPr>
              <w:pStyle w:val="Resumebullet"/>
            </w:pPr>
            <w:r>
              <w:t xml:space="preserve">Implemented STUN and DNS clients for SIP </w:t>
            </w:r>
            <w:proofErr w:type="spellStart"/>
            <w:r>
              <w:t>ThreadX</w:t>
            </w:r>
            <w:proofErr w:type="spellEnd"/>
            <w:r>
              <w:t>/</w:t>
            </w:r>
            <w:proofErr w:type="spellStart"/>
            <w:r>
              <w:t>Posix</w:t>
            </w:r>
            <w:proofErr w:type="spellEnd"/>
            <w:r>
              <w:t>-based Wake-on-Event project.</w:t>
            </w:r>
          </w:p>
          <w:p w14:paraId="60519C8C" w14:textId="2A17AA9E" w:rsidR="00CE5722" w:rsidRDefault="00CE5722" w:rsidP="003B3350">
            <w:pPr>
              <w:pStyle w:val="Resumebullet"/>
            </w:pPr>
            <w:r>
              <w:t xml:space="preserve">Led </w:t>
            </w:r>
            <w:proofErr w:type="gramStart"/>
            <w:r>
              <w:t>small</w:t>
            </w:r>
            <w:proofErr w:type="gramEnd"/>
            <w:r>
              <w:t xml:space="preserve"> team to develop Linux driver for a PCI SLIC card for VoIP project.</w:t>
            </w:r>
          </w:p>
          <w:p w14:paraId="384472F6" w14:textId="06E80C58" w:rsidR="00CE5722" w:rsidRDefault="00CE5722" w:rsidP="003B3350">
            <w:pPr>
              <w:pStyle w:val="Resumebullet"/>
            </w:pPr>
            <w:r>
              <w:t>Modified HD Audio class driver to work with HD Audio SLIC device.</w:t>
            </w:r>
          </w:p>
          <w:p w14:paraId="65C5E89C" w14:textId="65FC2B63" w:rsidR="00CE5722" w:rsidRDefault="00CE5722" w:rsidP="003B3350">
            <w:pPr>
              <w:pStyle w:val="Resumebullet"/>
            </w:pPr>
            <w:r>
              <w:t>Wrote HD Audio spec extension for SLIC devices.  Worked with chip vendors on their compliant chips.</w:t>
            </w:r>
          </w:p>
        </w:tc>
      </w:tr>
      <w:tr w:rsidR="00CE5722" w14:paraId="07632F88" w14:textId="77777777" w:rsidTr="003B37BD">
        <w:tc>
          <w:tcPr>
            <w:tcW w:w="663" w:type="dxa"/>
          </w:tcPr>
          <w:p w14:paraId="29C3ED2A" w14:textId="77777777" w:rsidR="00CE5722" w:rsidRDefault="00CE5722" w:rsidP="00CE5722">
            <w:pPr>
              <w:rPr>
                <w:rFonts w:ascii="Times New Roman" w:hAnsi="Times New Roman"/>
                <w:b/>
                <w:sz w:val="22"/>
              </w:rPr>
            </w:pPr>
          </w:p>
        </w:tc>
        <w:tc>
          <w:tcPr>
            <w:tcW w:w="8579" w:type="dxa"/>
            <w:gridSpan w:val="3"/>
          </w:tcPr>
          <w:p w14:paraId="5C6E1D34" w14:textId="77777777" w:rsidR="00CE5722" w:rsidRDefault="00CE5722" w:rsidP="00CE5722">
            <w:pPr>
              <w:pStyle w:val="ResumeBullet0"/>
            </w:pPr>
          </w:p>
        </w:tc>
      </w:tr>
      <w:tr w:rsidR="00CE5722" w14:paraId="3B1FBD1F" w14:textId="77777777" w:rsidTr="003B37BD">
        <w:tc>
          <w:tcPr>
            <w:tcW w:w="9242" w:type="dxa"/>
            <w:gridSpan w:val="4"/>
          </w:tcPr>
          <w:p w14:paraId="03E21ACC" w14:textId="28571A75" w:rsidR="00CE5722" w:rsidRDefault="00CE5722" w:rsidP="00CE5722">
            <w:pPr>
              <w:rPr>
                <w:rFonts w:ascii="Times New Roman" w:hAnsi="Times New Roman"/>
                <w:b/>
                <w:bCs/>
                <w:sz w:val="22"/>
                <w:szCs w:val="22"/>
              </w:rPr>
            </w:pPr>
            <w:r w:rsidRPr="7CD398CC">
              <w:rPr>
                <w:rFonts w:ascii="Times New Roman" w:hAnsi="Times New Roman"/>
                <w:b/>
                <w:bCs/>
                <w:sz w:val="22"/>
                <w:szCs w:val="22"/>
              </w:rPr>
              <w:t xml:space="preserve">SW Architect/Engineering Manager, </w:t>
            </w:r>
            <w:r w:rsidR="005B130F">
              <w:rPr>
                <w:rFonts w:ascii="Times New Roman" w:hAnsi="Times New Roman"/>
                <w:b/>
                <w:bCs/>
                <w:sz w:val="22"/>
                <w:szCs w:val="22"/>
              </w:rPr>
              <w:t xml:space="preserve">August </w:t>
            </w:r>
            <w:r w:rsidRPr="7CD398CC">
              <w:rPr>
                <w:rFonts w:ascii="Times New Roman" w:hAnsi="Times New Roman"/>
                <w:b/>
                <w:bCs/>
                <w:sz w:val="22"/>
                <w:szCs w:val="22"/>
              </w:rPr>
              <w:t>2000 - 2005</w:t>
            </w:r>
          </w:p>
        </w:tc>
      </w:tr>
      <w:tr w:rsidR="00CE5722" w14:paraId="3E583E11" w14:textId="77777777" w:rsidTr="003B37BD">
        <w:trPr>
          <w:trHeight w:val="300"/>
        </w:trPr>
        <w:tc>
          <w:tcPr>
            <w:tcW w:w="4623" w:type="dxa"/>
            <w:gridSpan w:val="2"/>
          </w:tcPr>
          <w:p w14:paraId="3B705D31" w14:textId="226C374F" w:rsidR="00CE5722" w:rsidRDefault="00CE5722" w:rsidP="00CE5722">
            <w:pPr>
              <w:rPr>
                <w:rFonts w:ascii="Times New Roman" w:hAnsi="Times New Roman"/>
                <w:b/>
                <w:bCs/>
                <w:sz w:val="22"/>
                <w:szCs w:val="22"/>
              </w:rPr>
            </w:pPr>
          </w:p>
        </w:tc>
        <w:tc>
          <w:tcPr>
            <w:tcW w:w="4619" w:type="dxa"/>
            <w:gridSpan w:val="2"/>
          </w:tcPr>
          <w:p w14:paraId="6C760465" w14:textId="770776CF" w:rsidR="00CE5722" w:rsidRDefault="00CE5722" w:rsidP="00CE5722">
            <w:pPr>
              <w:rPr>
                <w:rFonts w:ascii="Times New Roman" w:hAnsi="Times New Roman"/>
                <w:b/>
                <w:bCs/>
                <w:sz w:val="22"/>
                <w:szCs w:val="22"/>
              </w:rPr>
            </w:pPr>
          </w:p>
        </w:tc>
      </w:tr>
      <w:tr w:rsidR="00CE5722" w14:paraId="0274E6D2" w14:textId="77777777" w:rsidTr="003B37BD">
        <w:trPr>
          <w:trHeight w:val="300"/>
        </w:trPr>
        <w:tc>
          <w:tcPr>
            <w:tcW w:w="9242" w:type="dxa"/>
            <w:gridSpan w:val="4"/>
          </w:tcPr>
          <w:p w14:paraId="5234D896" w14:textId="6D921334" w:rsidR="00CE5722" w:rsidRDefault="00CE5722" w:rsidP="00CE5722">
            <w:pPr>
              <w:pStyle w:val="ResumeBullet0"/>
              <w:rPr>
                <w:b/>
                <w:bCs/>
              </w:rPr>
            </w:pPr>
            <w:r w:rsidRPr="7CD398CC">
              <w:rPr>
                <w:b/>
                <w:bCs/>
              </w:rPr>
              <w:t>Led HD Audio soft modem project. Modem representative on Intel's HD Audio initiative team and on the Intel/Microsoft HD Audio joint development team.</w:t>
            </w:r>
          </w:p>
          <w:p w14:paraId="1EC49FEF" w14:textId="3B9D04AC" w:rsidR="00CE5722" w:rsidRDefault="00CE5722" w:rsidP="002356CE">
            <w:pPr>
              <w:pStyle w:val="Resumebullet"/>
            </w:pPr>
            <w:r>
              <w:t xml:space="preserve">Identified and helped resolve issues in HD Audio bus driver. Ported HD Audio modem </w:t>
            </w:r>
            <w:proofErr w:type="gramStart"/>
            <w:r>
              <w:t>driver</w:t>
            </w:r>
            <w:proofErr w:type="gramEnd"/>
            <w:r>
              <w:t xml:space="preserve"> to </w:t>
            </w:r>
            <w:r w:rsidR="006A4D70">
              <w:t xml:space="preserve">x86 </w:t>
            </w:r>
            <w:r>
              <w:t>64-bit architecture.</w:t>
            </w:r>
          </w:p>
          <w:p w14:paraId="47DC1E77" w14:textId="77777777" w:rsidR="00686FBC" w:rsidRPr="00686FBC" w:rsidRDefault="00686FBC" w:rsidP="00686FBC"/>
          <w:p w14:paraId="1D60F619" w14:textId="6C0FE186" w:rsidR="00CE5722" w:rsidRDefault="00CE5722" w:rsidP="00CE5722">
            <w:pPr>
              <w:pStyle w:val="MyNormalIndent"/>
              <w:ind w:firstLine="0"/>
              <w:rPr>
                <w:b/>
                <w:bCs/>
              </w:rPr>
            </w:pPr>
            <w:r w:rsidRPr="7CD398CC">
              <w:rPr>
                <w:b/>
                <w:bCs/>
              </w:rPr>
              <w:t>Technical lead on embedded V.92 modem project where the goals were 1) to switch to have Intel manufacture the modem silicon and 2) to have this silicon support both controller-based and controller-less modems.</w:t>
            </w:r>
          </w:p>
          <w:p w14:paraId="76257FF7" w14:textId="51DCB53F" w:rsidR="00CE5722" w:rsidRDefault="00CE5722" w:rsidP="002356CE">
            <w:pPr>
              <w:pStyle w:val="Resumebullet"/>
            </w:pPr>
            <w:r>
              <w:t>Ported existing modem controller from a Windows driver implementation to an 8051 implementation. Responsible for development of new platform-dependent code for controller-less mode: selected development tools and specified debugging methodology, consisting of In-Circuit Emulator, debug monitor and use of logic analyzer to facilitate offline analysis of program traces.</w:t>
            </w:r>
          </w:p>
          <w:p w14:paraId="26140251" w14:textId="77777777" w:rsidR="00601776" w:rsidRDefault="00601776" w:rsidP="00601776">
            <w:pPr>
              <w:pStyle w:val="Resumebullet"/>
            </w:pPr>
            <w:r>
              <w:t xml:space="preserve">Worked with design teams on the design of the new modem chip’s programming interface and to ensure evaluation boards for the new modem chip met chip validation and development requirements. Drove </w:t>
            </w:r>
            <w:proofErr w:type="gramStart"/>
            <w:r>
              <w:t>evaluation</w:t>
            </w:r>
            <w:proofErr w:type="gramEnd"/>
            <w:r>
              <w:t xml:space="preserve"> board project to make sure boards were ready as soon as chips were available.</w:t>
            </w:r>
          </w:p>
          <w:p w14:paraId="02D45A04" w14:textId="4985C80D" w:rsidR="00CE5722" w:rsidRDefault="00CE5722" w:rsidP="002356CE">
            <w:pPr>
              <w:pStyle w:val="Resumebullet"/>
            </w:pPr>
            <w:r>
              <w:t>Responsible for design/programming of Lattice FPGAs on evaluation board.</w:t>
            </w:r>
          </w:p>
          <w:p w14:paraId="789D2DEA" w14:textId="76E64D87" w:rsidR="00CE5722" w:rsidRDefault="00CE5722" w:rsidP="002356CE">
            <w:pPr>
              <w:pStyle w:val="Resumebullet"/>
            </w:pPr>
            <w:r>
              <w:t>Wrote 8051 code for new modem chip’s boot ROM.</w:t>
            </w:r>
          </w:p>
          <w:p w14:paraId="21DC12CD" w14:textId="6539CFE4" w:rsidR="00CE5722" w:rsidRDefault="00CE5722" w:rsidP="002356CE">
            <w:pPr>
              <w:pStyle w:val="Resumebullet"/>
            </w:pPr>
            <w:r>
              <w:t xml:space="preserve">Defined API designed to hide HW-dependent and OS-dependent details.  Wrote corresponding code for both </w:t>
            </w:r>
            <w:proofErr w:type="spellStart"/>
            <w:r>
              <w:t>bondouts</w:t>
            </w:r>
            <w:proofErr w:type="spellEnd"/>
            <w:r>
              <w:t xml:space="preserve"> (controller-based and controllerless/PCI) of the new modem chip.</w:t>
            </w:r>
          </w:p>
          <w:p w14:paraId="4BD0F65A" w14:textId="69565BFB" w:rsidR="00CE5722" w:rsidRDefault="00CE5722" w:rsidP="002356CE">
            <w:pPr>
              <w:pStyle w:val="Resumebullet"/>
            </w:pPr>
            <w:r>
              <w:lastRenderedPageBreak/>
              <w:t xml:space="preserve">Developed </w:t>
            </w:r>
            <w:proofErr w:type="spellStart"/>
            <w:proofErr w:type="gramStart"/>
            <w:r>
              <w:t>bringup</w:t>
            </w:r>
            <w:proofErr w:type="spellEnd"/>
            <w:proofErr w:type="gramEnd"/>
            <w:r>
              <w:t xml:space="preserve"> Windows drivers for the new modem chip: read/write registers, read/write chip memory, test DMA, timers, and GPIO, and load DSP and controller code.</w:t>
            </w:r>
          </w:p>
          <w:p w14:paraId="4D0BBEDA" w14:textId="5E06BDA5" w:rsidR="00CE5722" w:rsidRDefault="00CE5722" w:rsidP="002356CE">
            <w:pPr>
              <w:pStyle w:val="Resumebullet"/>
            </w:pPr>
            <w:r>
              <w:t>Designed automated modem test, including simple network protocol to allow sharing of modem test equipment.</w:t>
            </w:r>
          </w:p>
        </w:tc>
      </w:tr>
      <w:tr w:rsidR="00CE5722" w14:paraId="3FDC9061" w14:textId="77777777" w:rsidTr="003B37BD">
        <w:tc>
          <w:tcPr>
            <w:tcW w:w="663" w:type="dxa"/>
          </w:tcPr>
          <w:p w14:paraId="55651F30" w14:textId="77777777" w:rsidR="00CE5722" w:rsidRDefault="00CE5722" w:rsidP="00CE5722">
            <w:pPr>
              <w:rPr>
                <w:rFonts w:ascii="Times New Roman" w:hAnsi="Times New Roman"/>
                <w:b/>
                <w:sz w:val="22"/>
              </w:rPr>
            </w:pPr>
          </w:p>
        </w:tc>
        <w:tc>
          <w:tcPr>
            <w:tcW w:w="8579" w:type="dxa"/>
            <w:gridSpan w:val="3"/>
          </w:tcPr>
          <w:p w14:paraId="236A4B6E" w14:textId="77777777" w:rsidR="00CE5722" w:rsidRDefault="00CE5722" w:rsidP="00CE5722">
            <w:pPr>
              <w:pStyle w:val="ResumeBullet0"/>
            </w:pPr>
          </w:p>
        </w:tc>
      </w:tr>
      <w:tr w:rsidR="00CE5722" w14:paraId="681CCFA4" w14:textId="77777777" w:rsidTr="003B37BD">
        <w:tc>
          <w:tcPr>
            <w:tcW w:w="4623" w:type="dxa"/>
            <w:gridSpan w:val="2"/>
          </w:tcPr>
          <w:p w14:paraId="0B9BB5C7" w14:textId="4016DE13" w:rsidR="00CE5722" w:rsidRDefault="00CE5722" w:rsidP="00CE5722">
            <w:pPr>
              <w:pStyle w:val="Heading1"/>
              <w:rPr>
                <w:bCs/>
              </w:rPr>
            </w:pPr>
            <w:r>
              <w:rPr>
                <w:caps w:val="0"/>
              </w:rPr>
              <w:t>Hughes Network Systems</w:t>
            </w:r>
            <w:r w:rsidRPr="7CD398CC">
              <w:rPr>
                <w:caps w:val="0"/>
                <w:szCs w:val="22"/>
              </w:rPr>
              <w:t>, Gaithersburg, MD</w:t>
            </w:r>
          </w:p>
        </w:tc>
        <w:tc>
          <w:tcPr>
            <w:tcW w:w="4619" w:type="dxa"/>
            <w:gridSpan w:val="2"/>
          </w:tcPr>
          <w:p w14:paraId="6F995347" w14:textId="6AA1F688" w:rsidR="00CE5722" w:rsidRPr="008D5428" w:rsidRDefault="008D5428" w:rsidP="00CE5722">
            <w:pPr>
              <w:pStyle w:val="Heading1"/>
              <w:jc w:val="right"/>
              <w:rPr>
                <w:caps w:val="0"/>
              </w:rPr>
            </w:pPr>
            <w:r w:rsidRPr="008D5428">
              <w:rPr>
                <w:caps w:val="0"/>
              </w:rPr>
              <w:t xml:space="preserve">August </w:t>
            </w:r>
            <w:r w:rsidR="00CE5722" w:rsidRPr="008D5428">
              <w:rPr>
                <w:caps w:val="0"/>
              </w:rPr>
              <w:t xml:space="preserve">1999 – </w:t>
            </w:r>
            <w:r w:rsidRPr="008D5428">
              <w:rPr>
                <w:caps w:val="0"/>
              </w:rPr>
              <w:t xml:space="preserve">August </w:t>
            </w:r>
            <w:r w:rsidR="00CE5722" w:rsidRPr="008D5428">
              <w:rPr>
                <w:caps w:val="0"/>
              </w:rPr>
              <w:t>2000</w:t>
            </w:r>
          </w:p>
        </w:tc>
      </w:tr>
      <w:tr w:rsidR="00CE5722" w14:paraId="5C43410B" w14:textId="77777777" w:rsidTr="003B37BD">
        <w:tc>
          <w:tcPr>
            <w:tcW w:w="4623" w:type="dxa"/>
            <w:gridSpan w:val="2"/>
          </w:tcPr>
          <w:p w14:paraId="3456A25E" w14:textId="77777777" w:rsidR="00CE5722" w:rsidRDefault="00CE5722" w:rsidP="00CE5722">
            <w:pPr>
              <w:rPr>
                <w:rFonts w:ascii="Times New Roman" w:hAnsi="Times New Roman"/>
                <w:b/>
                <w:sz w:val="22"/>
              </w:rPr>
            </w:pPr>
          </w:p>
        </w:tc>
        <w:tc>
          <w:tcPr>
            <w:tcW w:w="4619" w:type="dxa"/>
            <w:gridSpan w:val="2"/>
          </w:tcPr>
          <w:p w14:paraId="7A9FB72D" w14:textId="625FE76A" w:rsidR="00CE5722" w:rsidRDefault="00CE5722" w:rsidP="00CE5722">
            <w:pPr>
              <w:pStyle w:val="mynormal"/>
            </w:pPr>
          </w:p>
        </w:tc>
      </w:tr>
      <w:tr w:rsidR="00CE5722" w14:paraId="6BC04185" w14:textId="77777777" w:rsidTr="003B37BD">
        <w:tc>
          <w:tcPr>
            <w:tcW w:w="9242" w:type="dxa"/>
            <w:gridSpan w:val="4"/>
          </w:tcPr>
          <w:p w14:paraId="7CD85B36" w14:textId="7C802A55" w:rsidR="00CE5722" w:rsidRDefault="00CE5722" w:rsidP="00CE5722">
            <w:pPr>
              <w:rPr>
                <w:rFonts w:ascii="Times New Roman" w:hAnsi="Times New Roman"/>
                <w:b/>
                <w:bCs/>
                <w:sz w:val="22"/>
                <w:szCs w:val="22"/>
              </w:rPr>
            </w:pPr>
            <w:r w:rsidRPr="7CD398CC">
              <w:rPr>
                <w:rFonts w:ascii="Times New Roman" w:hAnsi="Times New Roman"/>
                <w:b/>
                <w:bCs/>
                <w:sz w:val="22"/>
                <w:szCs w:val="22"/>
              </w:rPr>
              <w:t xml:space="preserve">Principal Engineer, </w:t>
            </w:r>
            <w:r w:rsidR="008D5428">
              <w:rPr>
                <w:rFonts w:ascii="Times New Roman" w:hAnsi="Times New Roman"/>
                <w:b/>
                <w:bCs/>
                <w:sz w:val="22"/>
                <w:szCs w:val="22"/>
              </w:rPr>
              <w:t xml:space="preserve">August </w:t>
            </w:r>
            <w:r w:rsidRPr="7CD398CC">
              <w:rPr>
                <w:rFonts w:ascii="Times New Roman" w:hAnsi="Times New Roman"/>
                <w:b/>
                <w:bCs/>
                <w:sz w:val="22"/>
                <w:szCs w:val="22"/>
              </w:rPr>
              <w:t xml:space="preserve">1999 </w:t>
            </w:r>
            <w:r w:rsidR="008D5428">
              <w:rPr>
                <w:rFonts w:ascii="Times New Roman" w:hAnsi="Times New Roman"/>
                <w:b/>
                <w:bCs/>
                <w:sz w:val="22"/>
                <w:szCs w:val="22"/>
              </w:rPr>
              <w:t>–</w:t>
            </w:r>
            <w:r w:rsidRPr="7CD398CC">
              <w:rPr>
                <w:rFonts w:ascii="Times New Roman" w:hAnsi="Times New Roman"/>
                <w:b/>
                <w:bCs/>
                <w:sz w:val="22"/>
                <w:szCs w:val="22"/>
              </w:rPr>
              <w:t xml:space="preserve"> </w:t>
            </w:r>
            <w:r w:rsidR="008D5428">
              <w:rPr>
                <w:rFonts w:ascii="Times New Roman" w:hAnsi="Times New Roman"/>
                <w:b/>
                <w:bCs/>
                <w:sz w:val="22"/>
                <w:szCs w:val="22"/>
              </w:rPr>
              <w:t xml:space="preserve">August </w:t>
            </w:r>
            <w:r w:rsidRPr="7CD398CC">
              <w:rPr>
                <w:rFonts w:ascii="Times New Roman" w:hAnsi="Times New Roman"/>
                <w:b/>
                <w:bCs/>
                <w:sz w:val="22"/>
                <w:szCs w:val="22"/>
              </w:rPr>
              <w:t>2000</w:t>
            </w:r>
          </w:p>
        </w:tc>
      </w:tr>
      <w:tr w:rsidR="00CE5722" w14:paraId="5F6206D0" w14:textId="77777777" w:rsidTr="003B37BD">
        <w:trPr>
          <w:trHeight w:val="300"/>
        </w:trPr>
        <w:tc>
          <w:tcPr>
            <w:tcW w:w="4623" w:type="dxa"/>
            <w:gridSpan w:val="2"/>
          </w:tcPr>
          <w:p w14:paraId="5A50C835" w14:textId="4A176F9E" w:rsidR="00CE5722" w:rsidRDefault="00CE5722" w:rsidP="00CE5722">
            <w:pPr>
              <w:rPr>
                <w:rFonts w:ascii="Times New Roman" w:hAnsi="Times New Roman"/>
                <w:b/>
                <w:bCs/>
                <w:sz w:val="22"/>
                <w:szCs w:val="22"/>
              </w:rPr>
            </w:pPr>
          </w:p>
        </w:tc>
        <w:tc>
          <w:tcPr>
            <w:tcW w:w="4619" w:type="dxa"/>
            <w:gridSpan w:val="2"/>
          </w:tcPr>
          <w:p w14:paraId="3D34B437" w14:textId="3E9FC4E0" w:rsidR="00CE5722" w:rsidRDefault="00CE5722" w:rsidP="00CE5722">
            <w:pPr>
              <w:rPr>
                <w:rFonts w:ascii="Times New Roman" w:hAnsi="Times New Roman"/>
                <w:b/>
                <w:bCs/>
                <w:sz w:val="22"/>
                <w:szCs w:val="22"/>
              </w:rPr>
            </w:pPr>
          </w:p>
        </w:tc>
      </w:tr>
      <w:tr w:rsidR="00CE5722" w14:paraId="6BE8895D" w14:textId="77777777" w:rsidTr="003B37BD">
        <w:trPr>
          <w:trHeight w:val="1200"/>
        </w:trPr>
        <w:tc>
          <w:tcPr>
            <w:tcW w:w="9242" w:type="dxa"/>
            <w:gridSpan w:val="4"/>
          </w:tcPr>
          <w:p w14:paraId="13CBE6B1" w14:textId="638C2118" w:rsidR="00CE5722" w:rsidRDefault="00CE5722" w:rsidP="002356CE">
            <w:pPr>
              <w:pStyle w:val="Resumebullet"/>
            </w:pPr>
            <w:bookmarkStart w:id="2" w:name="hughes"/>
            <w:bookmarkEnd w:id="2"/>
            <w:r>
              <w:t xml:space="preserve">Responsible for video and audio SW development for Hughes's version of the AOLTV </w:t>
            </w:r>
            <w:proofErr w:type="spellStart"/>
            <w:r>
              <w:t>settop</w:t>
            </w:r>
            <w:proofErr w:type="spellEnd"/>
            <w:r>
              <w:t xml:space="preserve"> box, which combined the standard DirecTV box with HW and SW required to browse the web on a TV.  </w:t>
            </w:r>
          </w:p>
          <w:p w14:paraId="3B845F28" w14:textId="77777777" w:rsidR="000D1BEF" w:rsidRDefault="000D1BEF" w:rsidP="000D1BEF">
            <w:pPr>
              <w:pStyle w:val="Resumebullet"/>
            </w:pPr>
            <w:r>
              <w:t xml:space="preserve">Quickly developed knowledge needed to develop and debug multimedia HW subsystem, including understanding advantages of using </w:t>
            </w:r>
            <w:proofErr w:type="spellStart"/>
            <w:r>
              <w:t>synclocked</w:t>
            </w:r>
            <w:proofErr w:type="spellEnd"/>
            <w:r>
              <w:t xml:space="preserve"> video, how to use the video capture and playback engines on the IGST CyberPro5055-based HW design and implementing closed-captioning feature.</w:t>
            </w:r>
          </w:p>
          <w:p w14:paraId="2BA50106" w14:textId="225CEE38" w:rsidR="00CE5722" w:rsidRDefault="00CE5722" w:rsidP="002356CE">
            <w:pPr>
              <w:pStyle w:val="Resumebullet"/>
            </w:pPr>
            <w:r>
              <w:t>Used Tornado (VxWorks, GNU C/C++) development environment and remote debugging.</w:t>
            </w:r>
          </w:p>
        </w:tc>
      </w:tr>
      <w:tr w:rsidR="00CE5722" w14:paraId="5F0D8D4D" w14:textId="77777777" w:rsidTr="003B37BD">
        <w:tc>
          <w:tcPr>
            <w:tcW w:w="663" w:type="dxa"/>
          </w:tcPr>
          <w:p w14:paraId="3C039931" w14:textId="77777777" w:rsidR="00CE5722" w:rsidRDefault="00CE5722" w:rsidP="00CE5722">
            <w:pPr>
              <w:rPr>
                <w:rFonts w:ascii="Times New Roman" w:hAnsi="Times New Roman"/>
                <w:b/>
                <w:sz w:val="22"/>
              </w:rPr>
            </w:pPr>
          </w:p>
        </w:tc>
        <w:tc>
          <w:tcPr>
            <w:tcW w:w="8579" w:type="dxa"/>
            <w:gridSpan w:val="3"/>
          </w:tcPr>
          <w:p w14:paraId="7118CA15" w14:textId="77777777" w:rsidR="00CE5722" w:rsidRDefault="00CE5722" w:rsidP="00CE5722">
            <w:pPr>
              <w:pStyle w:val="ResumeBullet0"/>
            </w:pPr>
          </w:p>
        </w:tc>
      </w:tr>
      <w:tr w:rsidR="008E123E" w14:paraId="1DDC9CF1" w14:textId="77777777" w:rsidTr="009C6B5B">
        <w:tc>
          <w:tcPr>
            <w:tcW w:w="9242" w:type="dxa"/>
            <w:gridSpan w:val="4"/>
          </w:tcPr>
          <w:p w14:paraId="4FC6EF71" w14:textId="77777777" w:rsidR="008E123E" w:rsidRDefault="008E123E" w:rsidP="009C6B5B">
            <w:pPr>
              <w:spacing w:line="259" w:lineRule="auto"/>
              <w:rPr>
                <w:rFonts w:ascii="Times New Roman" w:hAnsi="Times New Roman"/>
                <w:b/>
                <w:bCs/>
                <w:sz w:val="22"/>
                <w:szCs w:val="22"/>
              </w:rPr>
            </w:pPr>
            <w:r w:rsidRPr="5555EB27">
              <w:rPr>
                <w:rFonts w:ascii="Times New Roman" w:hAnsi="Times New Roman"/>
                <w:b/>
                <w:bCs/>
                <w:sz w:val="22"/>
                <w:szCs w:val="22"/>
              </w:rPr>
              <w:t>ADDITIONAL RELEVANT EXPERIENCE</w:t>
            </w:r>
          </w:p>
        </w:tc>
      </w:tr>
      <w:tr w:rsidR="008E123E" w14:paraId="205EC9E5" w14:textId="77777777" w:rsidTr="009C6B5B">
        <w:tc>
          <w:tcPr>
            <w:tcW w:w="663" w:type="dxa"/>
          </w:tcPr>
          <w:p w14:paraId="337D89B1" w14:textId="77777777" w:rsidR="008E123E" w:rsidRDefault="008E123E" w:rsidP="009C6B5B">
            <w:pPr>
              <w:rPr>
                <w:rFonts w:ascii="Times New Roman" w:hAnsi="Times New Roman"/>
                <w:sz w:val="22"/>
              </w:rPr>
            </w:pPr>
          </w:p>
        </w:tc>
        <w:tc>
          <w:tcPr>
            <w:tcW w:w="8579" w:type="dxa"/>
            <w:gridSpan w:val="3"/>
          </w:tcPr>
          <w:p w14:paraId="7218115B" w14:textId="77777777" w:rsidR="008E123E" w:rsidRDefault="008E123E" w:rsidP="009C6B5B">
            <w:pPr>
              <w:pStyle w:val="ResumeBullet0"/>
            </w:pPr>
          </w:p>
        </w:tc>
      </w:tr>
      <w:tr w:rsidR="008E123E" w:rsidRPr="00701660" w14:paraId="1A2AD79B" w14:textId="77777777" w:rsidTr="009C6B5B">
        <w:tc>
          <w:tcPr>
            <w:tcW w:w="4623" w:type="dxa"/>
            <w:gridSpan w:val="2"/>
          </w:tcPr>
          <w:p w14:paraId="6F741727" w14:textId="77777777" w:rsidR="008E123E" w:rsidRPr="009B6B7A" w:rsidRDefault="008E123E" w:rsidP="009C6B5B">
            <w:pPr>
              <w:rPr>
                <w:rFonts w:ascii="Times New Roman" w:hAnsi="Times New Roman"/>
                <w:b/>
                <w:bCs/>
                <w:sz w:val="22"/>
                <w:szCs w:val="22"/>
                <w:lang w:val="fr-FR"/>
              </w:rPr>
            </w:pPr>
            <w:r w:rsidRPr="009B6B7A">
              <w:rPr>
                <w:rFonts w:ascii="Times New Roman" w:hAnsi="Times New Roman"/>
                <w:b/>
                <w:bCs/>
                <w:sz w:val="22"/>
                <w:szCs w:val="22"/>
                <w:lang w:val="fr-FR"/>
              </w:rPr>
              <w:t>Cirrus Logic Inc., Austin, TX</w:t>
            </w:r>
          </w:p>
        </w:tc>
        <w:tc>
          <w:tcPr>
            <w:tcW w:w="4619" w:type="dxa"/>
            <w:gridSpan w:val="2"/>
          </w:tcPr>
          <w:p w14:paraId="53A91F83" w14:textId="77777777" w:rsidR="008E123E" w:rsidRPr="0032661D" w:rsidRDefault="008E123E" w:rsidP="009C6B5B">
            <w:pPr>
              <w:spacing w:line="259" w:lineRule="auto"/>
              <w:jc w:val="right"/>
              <w:rPr>
                <w:rFonts w:ascii="Times New Roman" w:hAnsi="Times New Roman"/>
                <w:b/>
                <w:bCs/>
                <w:sz w:val="22"/>
                <w:szCs w:val="22"/>
                <w:lang w:val="fr-FR"/>
              </w:rPr>
            </w:pPr>
          </w:p>
        </w:tc>
      </w:tr>
      <w:tr w:rsidR="008E123E" w14:paraId="66784280" w14:textId="77777777" w:rsidTr="009C6B5B">
        <w:tc>
          <w:tcPr>
            <w:tcW w:w="9242" w:type="dxa"/>
            <w:gridSpan w:val="4"/>
          </w:tcPr>
          <w:p w14:paraId="789E282D" w14:textId="77777777" w:rsidR="008E123E" w:rsidRPr="003F7AEE" w:rsidRDefault="008E123E" w:rsidP="009C6B5B">
            <w:pPr>
              <w:rPr>
                <w:rFonts w:ascii="Times New Roman" w:hAnsi="Times New Roman"/>
                <w:sz w:val="22"/>
                <w:szCs w:val="22"/>
              </w:rPr>
            </w:pPr>
            <w:r w:rsidRPr="003F7AEE">
              <w:rPr>
                <w:rFonts w:ascii="Times New Roman" w:hAnsi="Times New Roman"/>
                <w:sz w:val="22"/>
                <w:szCs w:val="22"/>
              </w:rPr>
              <w:t>Audio SW Manager | Project Lead | Engineer</w:t>
            </w:r>
          </w:p>
        </w:tc>
      </w:tr>
      <w:tr w:rsidR="008E123E" w14:paraId="4C09434B" w14:textId="77777777" w:rsidTr="009C6B5B">
        <w:tc>
          <w:tcPr>
            <w:tcW w:w="4623" w:type="dxa"/>
            <w:gridSpan w:val="2"/>
          </w:tcPr>
          <w:p w14:paraId="2E9C27F4" w14:textId="77777777" w:rsidR="008E123E" w:rsidRDefault="008E123E" w:rsidP="009C6B5B">
            <w:pPr>
              <w:rPr>
                <w:rFonts w:ascii="Times New Roman" w:hAnsi="Times New Roman"/>
                <w:sz w:val="22"/>
              </w:rPr>
            </w:pPr>
          </w:p>
        </w:tc>
        <w:tc>
          <w:tcPr>
            <w:tcW w:w="4619" w:type="dxa"/>
            <w:gridSpan w:val="2"/>
          </w:tcPr>
          <w:p w14:paraId="37B5945B" w14:textId="77777777" w:rsidR="008E123E" w:rsidRPr="003F7AEE" w:rsidRDefault="008E123E" w:rsidP="009C6B5B">
            <w:pPr>
              <w:pStyle w:val="mynormal"/>
              <w:rPr>
                <w:rFonts w:ascii="Times New Roman" w:hAnsi="Times New Roman"/>
                <w:sz w:val="22"/>
                <w:szCs w:val="22"/>
              </w:rPr>
            </w:pPr>
          </w:p>
        </w:tc>
      </w:tr>
      <w:tr w:rsidR="008E123E" w14:paraId="3C2B3695" w14:textId="77777777" w:rsidTr="009C6B5B">
        <w:tc>
          <w:tcPr>
            <w:tcW w:w="9242" w:type="dxa"/>
            <w:gridSpan w:val="4"/>
          </w:tcPr>
          <w:p w14:paraId="1A678517" w14:textId="77777777" w:rsidR="008E123E" w:rsidRDefault="008E123E" w:rsidP="009C6B5B">
            <w:pPr>
              <w:rPr>
                <w:rFonts w:ascii="Times New Roman" w:hAnsi="Times New Roman"/>
                <w:b/>
                <w:bCs/>
                <w:sz w:val="22"/>
                <w:szCs w:val="22"/>
              </w:rPr>
            </w:pPr>
            <w:r w:rsidRPr="5555EB27">
              <w:rPr>
                <w:rFonts w:ascii="Times New Roman" w:hAnsi="Times New Roman"/>
                <w:b/>
                <w:bCs/>
                <w:sz w:val="22"/>
                <w:szCs w:val="22"/>
              </w:rPr>
              <w:t>Compaq Computer Corporation, Houston, TX</w:t>
            </w:r>
          </w:p>
          <w:p w14:paraId="10698BF7" w14:textId="77777777" w:rsidR="008E123E" w:rsidRDefault="008E123E" w:rsidP="009C6B5B">
            <w:pPr>
              <w:rPr>
                <w:rFonts w:ascii="Times New Roman" w:hAnsi="Times New Roman"/>
                <w:sz w:val="22"/>
                <w:szCs w:val="22"/>
              </w:rPr>
            </w:pPr>
            <w:r w:rsidRPr="5555EB27">
              <w:rPr>
                <w:rFonts w:ascii="Times New Roman" w:hAnsi="Times New Roman"/>
                <w:sz w:val="22"/>
                <w:szCs w:val="22"/>
              </w:rPr>
              <w:t>Systems Engineer: Graphics Development</w:t>
            </w:r>
          </w:p>
        </w:tc>
      </w:tr>
      <w:tr w:rsidR="008E123E" w14:paraId="7F8B43A5" w14:textId="77777777" w:rsidTr="009C6B5B">
        <w:tc>
          <w:tcPr>
            <w:tcW w:w="663" w:type="dxa"/>
          </w:tcPr>
          <w:p w14:paraId="60D9C047" w14:textId="77777777" w:rsidR="008E123E" w:rsidRDefault="008E123E" w:rsidP="009C6B5B">
            <w:pPr>
              <w:rPr>
                <w:rFonts w:ascii="Times New Roman" w:hAnsi="Times New Roman"/>
                <w:sz w:val="22"/>
              </w:rPr>
            </w:pPr>
          </w:p>
        </w:tc>
        <w:tc>
          <w:tcPr>
            <w:tcW w:w="8579" w:type="dxa"/>
            <w:gridSpan w:val="3"/>
          </w:tcPr>
          <w:p w14:paraId="1CB24EF1" w14:textId="77777777" w:rsidR="008E123E" w:rsidRDefault="008E123E" w:rsidP="009C6B5B">
            <w:pPr>
              <w:pStyle w:val="ResumeBullet0"/>
            </w:pPr>
          </w:p>
        </w:tc>
      </w:tr>
      <w:tr w:rsidR="008E123E" w14:paraId="75072431" w14:textId="77777777" w:rsidTr="009C6B5B">
        <w:tc>
          <w:tcPr>
            <w:tcW w:w="9242" w:type="dxa"/>
            <w:gridSpan w:val="4"/>
          </w:tcPr>
          <w:p w14:paraId="1CAF17D1" w14:textId="77777777" w:rsidR="008E123E" w:rsidRDefault="008E123E" w:rsidP="009C6B5B">
            <w:pPr>
              <w:rPr>
                <w:rFonts w:ascii="Times New Roman" w:hAnsi="Times New Roman"/>
                <w:sz w:val="22"/>
                <w:szCs w:val="22"/>
              </w:rPr>
            </w:pPr>
            <w:r w:rsidRPr="5555EB27">
              <w:rPr>
                <w:rFonts w:ascii="Times New Roman" w:hAnsi="Times New Roman"/>
                <w:b/>
                <w:bCs/>
                <w:sz w:val="22"/>
                <w:szCs w:val="22"/>
              </w:rPr>
              <w:t>Research Planning Inc., Arlington, VA</w:t>
            </w:r>
          </w:p>
          <w:p w14:paraId="04315E9B" w14:textId="77777777" w:rsidR="008E123E" w:rsidRDefault="008E123E" w:rsidP="009C6B5B">
            <w:pPr>
              <w:rPr>
                <w:rFonts w:ascii="Times New Roman" w:hAnsi="Times New Roman"/>
                <w:sz w:val="22"/>
                <w:szCs w:val="22"/>
              </w:rPr>
            </w:pPr>
            <w:r w:rsidRPr="5555EB27">
              <w:rPr>
                <w:rFonts w:ascii="Times New Roman" w:hAnsi="Times New Roman"/>
                <w:sz w:val="22"/>
                <w:szCs w:val="22"/>
              </w:rPr>
              <w:t>SW Engineer</w:t>
            </w:r>
          </w:p>
        </w:tc>
      </w:tr>
      <w:tr w:rsidR="008E123E" w14:paraId="33BC22CE" w14:textId="77777777" w:rsidTr="009C6B5B">
        <w:tc>
          <w:tcPr>
            <w:tcW w:w="663" w:type="dxa"/>
          </w:tcPr>
          <w:p w14:paraId="2E045B5F" w14:textId="77777777" w:rsidR="008E123E" w:rsidRDefault="008E123E" w:rsidP="009C6B5B">
            <w:pPr>
              <w:rPr>
                <w:rFonts w:ascii="Times New Roman" w:hAnsi="Times New Roman"/>
                <w:b/>
                <w:sz w:val="22"/>
              </w:rPr>
            </w:pPr>
          </w:p>
        </w:tc>
        <w:tc>
          <w:tcPr>
            <w:tcW w:w="8579" w:type="dxa"/>
            <w:gridSpan w:val="3"/>
          </w:tcPr>
          <w:p w14:paraId="783210D1" w14:textId="77777777" w:rsidR="008E123E" w:rsidRDefault="008E123E" w:rsidP="009C6B5B">
            <w:pPr>
              <w:pStyle w:val="ResumeBullet0"/>
            </w:pPr>
          </w:p>
        </w:tc>
      </w:tr>
      <w:tr w:rsidR="008E123E" w14:paraId="1E658012" w14:textId="77777777" w:rsidTr="009C6B5B">
        <w:tc>
          <w:tcPr>
            <w:tcW w:w="4623" w:type="dxa"/>
            <w:gridSpan w:val="2"/>
          </w:tcPr>
          <w:p w14:paraId="538FFC7F" w14:textId="77777777" w:rsidR="008E123E" w:rsidRDefault="008E123E" w:rsidP="009C6B5B">
            <w:pPr>
              <w:rPr>
                <w:rFonts w:ascii="Times New Roman" w:hAnsi="Times New Roman"/>
                <w:sz w:val="22"/>
              </w:rPr>
            </w:pPr>
            <w:r>
              <w:rPr>
                <w:rFonts w:ascii="Times New Roman" w:hAnsi="Times New Roman"/>
                <w:b/>
                <w:sz w:val="22"/>
              </w:rPr>
              <w:t>EDUCATION</w:t>
            </w:r>
          </w:p>
        </w:tc>
        <w:tc>
          <w:tcPr>
            <w:tcW w:w="4619" w:type="dxa"/>
            <w:gridSpan w:val="2"/>
          </w:tcPr>
          <w:p w14:paraId="55D66ECD" w14:textId="77777777" w:rsidR="008E123E" w:rsidRDefault="008E123E" w:rsidP="009C6B5B">
            <w:pPr>
              <w:rPr>
                <w:rFonts w:ascii="Times New Roman" w:hAnsi="Times New Roman"/>
                <w:sz w:val="22"/>
              </w:rPr>
            </w:pPr>
          </w:p>
        </w:tc>
      </w:tr>
      <w:tr w:rsidR="00CE5722" w14:paraId="686D1FFF" w14:textId="77777777" w:rsidTr="003B37BD">
        <w:trPr>
          <w:trHeight w:val="300"/>
        </w:trPr>
        <w:tc>
          <w:tcPr>
            <w:tcW w:w="4623" w:type="dxa"/>
            <w:gridSpan w:val="2"/>
          </w:tcPr>
          <w:p w14:paraId="65DD956A" w14:textId="0FE7AC05" w:rsidR="00CE5722" w:rsidRDefault="00CE5722" w:rsidP="00CE5722">
            <w:pPr>
              <w:rPr>
                <w:rFonts w:ascii="Times New Roman" w:hAnsi="Times New Roman"/>
                <w:b/>
                <w:bCs/>
                <w:sz w:val="22"/>
                <w:szCs w:val="22"/>
              </w:rPr>
            </w:pPr>
          </w:p>
        </w:tc>
        <w:tc>
          <w:tcPr>
            <w:tcW w:w="4619" w:type="dxa"/>
            <w:gridSpan w:val="2"/>
          </w:tcPr>
          <w:p w14:paraId="61F32B24" w14:textId="56E8A296" w:rsidR="00CE5722" w:rsidRDefault="00CE5722" w:rsidP="00CE5722">
            <w:pPr>
              <w:rPr>
                <w:rFonts w:ascii="Times New Roman" w:hAnsi="Times New Roman"/>
                <w:b/>
                <w:bCs/>
                <w:sz w:val="22"/>
                <w:szCs w:val="22"/>
              </w:rPr>
            </w:pPr>
          </w:p>
        </w:tc>
      </w:tr>
      <w:tr w:rsidR="00CE5722" w14:paraId="40D2457C" w14:textId="77777777" w:rsidTr="003B37BD">
        <w:trPr>
          <w:trHeight w:val="300"/>
        </w:trPr>
        <w:tc>
          <w:tcPr>
            <w:tcW w:w="9242" w:type="dxa"/>
            <w:gridSpan w:val="4"/>
          </w:tcPr>
          <w:p w14:paraId="2631A0FB" w14:textId="5A8CF23D" w:rsidR="00CE5722" w:rsidRDefault="00CE5722" w:rsidP="00CE5722">
            <w:pPr>
              <w:spacing w:line="259" w:lineRule="auto"/>
            </w:pPr>
            <w:r w:rsidRPr="5555EB27">
              <w:rPr>
                <w:rFonts w:ascii="Times New Roman" w:hAnsi="Times New Roman"/>
                <w:b/>
                <w:bCs/>
                <w:sz w:val="22"/>
                <w:szCs w:val="22"/>
              </w:rPr>
              <w:t>Master of Science (MS), Electrical Engineering</w:t>
            </w:r>
          </w:p>
          <w:p w14:paraId="13F1E22B" w14:textId="03479070" w:rsidR="00CE5722" w:rsidRDefault="00CE5722" w:rsidP="00CE5722">
            <w:pPr>
              <w:spacing w:line="259" w:lineRule="auto"/>
              <w:rPr>
                <w:rFonts w:ascii="Times New Roman" w:hAnsi="Times New Roman"/>
                <w:sz w:val="22"/>
                <w:szCs w:val="22"/>
              </w:rPr>
            </w:pPr>
            <w:r w:rsidRPr="5555EB27">
              <w:rPr>
                <w:rFonts w:ascii="Times New Roman" w:hAnsi="Times New Roman"/>
                <w:sz w:val="22"/>
                <w:szCs w:val="22"/>
              </w:rPr>
              <w:t>Georgia Institute of Technology, Atlanta, GA</w:t>
            </w:r>
          </w:p>
        </w:tc>
      </w:tr>
      <w:tr w:rsidR="00CE5722" w14:paraId="0F8BE2E0" w14:textId="77777777" w:rsidTr="003B37BD">
        <w:tc>
          <w:tcPr>
            <w:tcW w:w="663" w:type="dxa"/>
          </w:tcPr>
          <w:p w14:paraId="4737CBCF" w14:textId="77777777" w:rsidR="00CE5722" w:rsidRDefault="00CE5722" w:rsidP="00CE5722">
            <w:pPr>
              <w:rPr>
                <w:rFonts w:ascii="Times New Roman" w:hAnsi="Times New Roman"/>
                <w:sz w:val="22"/>
              </w:rPr>
            </w:pPr>
          </w:p>
        </w:tc>
        <w:tc>
          <w:tcPr>
            <w:tcW w:w="8579" w:type="dxa"/>
            <w:gridSpan w:val="3"/>
          </w:tcPr>
          <w:p w14:paraId="4292A9E1" w14:textId="77777777" w:rsidR="00CE5722" w:rsidRDefault="00CE5722" w:rsidP="00CE5722">
            <w:pPr>
              <w:pStyle w:val="ResumeBullet0"/>
            </w:pPr>
          </w:p>
        </w:tc>
      </w:tr>
      <w:tr w:rsidR="00CE5722" w14:paraId="56900F7F" w14:textId="77777777" w:rsidTr="003B37BD">
        <w:tc>
          <w:tcPr>
            <w:tcW w:w="9242" w:type="dxa"/>
            <w:gridSpan w:val="4"/>
          </w:tcPr>
          <w:p w14:paraId="7B30FB3C" w14:textId="539C2E7B" w:rsidR="00CE5722" w:rsidRDefault="00CE5722" w:rsidP="00CE5722">
            <w:pPr>
              <w:spacing w:line="259" w:lineRule="auto"/>
            </w:pPr>
            <w:r w:rsidRPr="5555EB27">
              <w:rPr>
                <w:rFonts w:ascii="Times New Roman" w:hAnsi="Times New Roman"/>
                <w:b/>
                <w:bCs/>
                <w:sz w:val="22"/>
                <w:szCs w:val="22"/>
              </w:rPr>
              <w:t>Bachelor of Science (BS), Electrical Engineering</w:t>
            </w:r>
          </w:p>
          <w:p w14:paraId="711751AA" w14:textId="13254287" w:rsidR="00CE5722" w:rsidRDefault="00CE5722" w:rsidP="00CE5722">
            <w:pPr>
              <w:spacing w:line="259" w:lineRule="auto"/>
              <w:rPr>
                <w:rFonts w:ascii="Times New Roman" w:hAnsi="Times New Roman"/>
                <w:sz w:val="22"/>
                <w:szCs w:val="22"/>
              </w:rPr>
            </w:pPr>
            <w:r w:rsidRPr="5555EB27">
              <w:rPr>
                <w:rFonts w:ascii="Times New Roman" w:hAnsi="Times New Roman"/>
                <w:sz w:val="22"/>
                <w:szCs w:val="22"/>
              </w:rPr>
              <w:t>University of Maryland, College Park, MD</w:t>
            </w:r>
          </w:p>
        </w:tc>
      </w:tr>
    </w:tbl>
    <w:p w14:paraId="7736140F" w14:textId="54477419" w:rsidR="5555EB27" w:rsidRDefault="5555EB27"/>
    <w:p w14:paraId="3F1C4B14" w14:textId="77777777" w:rsidR="001532F8" w:rsidRDefault="001532F8">
      <w:pPr>
        <w:jc w:val="both"/>
        <w:rPr>
          <w:rFonts w:ascii="Times New Roman" w:hAnsi="Times New Roman"/>
          <w:vanish/>
        </w:rPr>
      </w:pPr>
    </w:p>
    <w:sectPr w:rsidR="001532F8" w:rsidSect="00330D92">
      <w:headerReference w:type="default" r:id="rId14"/>
      <w:footerReference w:type="default" r:id="rId15"/>
      <w:pgSz w:w="12240" w:h="15840"/>
      <w:pgMar w:top="1440" w:right="1440" w:bottom="720" w:left="1440" w:header="720"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D639DA" w14:textId="77777777" w:rsidR="00382DBF" w:rsidRDefault="00382DBF" w:rsidP="001532F8">
      <w:pPr>
        <w:pStyle w:val="ResumeBullet0"/>
      </w:pPr>
      <w:r>
        <w:separator/>
      </w:r>
    </w:p>
  </w:endnote>
  <w:endnote w:type="continuationSeparator" w:id="0">
    <w:p w14:paraId="50136EA9" w14:textId="77777777" w:rsidR="00382DBF" w:rsidRDefault="00382DBF" w:rsidP="001532F8">
      <w:pPr>
        <w:pStyle w:val="ResumeBullet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2"/>
        <w:szCs w:val="18"/>
      </w:rPr>
      <w:id w:val="-1819495201"/>
      <w:docPartObj>
        <w:docPartGallery w:val="Page Numbers (Bottom of Page)"/>
        <w:docPartUnique/>
      </w:docPartObj>
    </w:sdtPr>
    <w:sdtEndPr>
      <w:rPr>
        <w:noProof/>
        <w:sz w:val="16"/>
        <w:szCs w:val="12"/>
      </w:rPr>
    </w:sdtEndPr>
    <w:sdtContent>
      <w:p w14:paraId="69152F56" w14:textId="3DE62A16" w:rsidR="001532F8" w:rsidRPr="00686FBC" w:rsidRDefault="000B360D" w:rsidP="7CD398CC">
        <w:pPr>
          <w:pStyle w:val="Footer"/>
          <w:rPr>
            <w:noProof/>
            <w:sz w:val="16"/>
            <w:szCs w:val="16"/>
          </w:rPr>
        </w:pPr>
        <w:r w:rsidRPr="00686FBC">
          <w:rPr>
            <w:noProof/>
            <w:sz w:val="16"/>
            <w:szCs w:val="16"/>
          </w:rPr>
          <w:fldChar w:fldCharType="begin"/>
        </w:r>
        <w:r w:rsidRPr="00686FBC">
          <w:rPr>
            <w:sz w:val="16"/>
            <w:szCs w:val="16"/>
          </w:rPr>
          <w:instrText xml:space="preserve"> PAGE   \* MERGEFORMAT </w:instrText>
        </w:r>
        <w:r w:rsidRPr="00686FBC">
          <w:rPr>
            <w:sz w:val="16"/>
            <w:szCs w:val="16"/>
          </w:rPr>
          <w:fldChar w:fldCharType="separate"/>
        </w:r>
        <w:r w:rsidR="7CD398CC" w:rsidRPr="00686FBC">
          <w:rPr>
            <w:noProof/>
            <w:sz w:val="16"/>
            <w:szCs w:val="16"/>
          </w:rPr>
          <w:t>2</w:t>
        </w:r>
        <w:r w:rsidRPr="00686FBC">
          <w:rPr>
            <w:noProof/>
            <w:sz w:val="16"/>
            <w:szCs w:val="16"/>
          </w:rPr>
          <w:fldChar w:fldCharType="end"/>
        </w:r>
        <w:r w:rsidRPr="00686FBC">
          <w:rPr>
            <w:sz w:val="22"/>
            <w:szCs w:val="18"/>
          </w:rPr>
          <w:tab/>
        </w:r>
        <w:r w:rsidRPr="00686FBC">
          <w:rPr>
            <w:sz w:val="22"/>
            <w:szCs w:val="18"/>
          </w:rPr>
          <w:tab/>
        </w:r>
        <w:r w:rsidR="7CD398CC" w:rsidRPr="00686FBC">
          <w:rPr>
            <w:noProof/>
            <w:sz w:val="16"/>
            <w:szCs w:val="16"/>
          </w:rPr>
          <w:t>202</w:t>
        </w:r>
        <w:r w:rsidR="003A1926">
          <w:rPr>
            <w:noProof/>
            <w:sz w:val="16"/>
            <w:szCs w:val="16"/>
          </w:rPr>
          <w:t>5</w:t>
        </w:r>
        <w:r w:rsidR="002F6EB5">
          <w:rPr>
            <w:noProof/>
            <w:sz w:val="16"/>
            <w:szCs w:val="16"/>
          </w:rPr>
          <w:t>012</w:t>
        </w:r>
        <w:r w:rsidR="00914030">
          <w:rPr>
            <w:noProof/>
            <w:sz w:val="16"/>
            <w:szCs w:val="16"/>
          </w:rPr>
          <w:t>2</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D2A913" w14:textId="77777777" w:rsidR="00382DBF" w:rsidRDefault="00382DBF" w:rsidP="001532F8">
      <w:pPr>
        <w:pStyle w:val="ResumeBullet0"/>
      </w:pPr>
      <w:r>
        <w:separator/>
      </w:r>
    </w:p>
  </w:footnote>
  <w:footnote w:type="continuationSeparator" w:id="0">
    <w:p w14:paraId="5BA52C7A" w14:textId="77777777" w:rsidR="00382DBF" w:rsidRDefault="00382DBF" w:rsidP="001532F8">
      <w:pPr>
        <w:pStyle w:val="ResumeBullet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558" w:type="dxa"/>
      <w:tblLayout w:type="fixed"/>
      <w:tblLook w:val="0000" w:firstRow="0" w:lastRow="0" w:firstColumn="0" w:lastColumn="0" w:noHBand="0" w:noVBand="0"/>
    </w:tblPr>
    <w:tblGrid>
      <w:gridCol w:w="2505"/>
      <w:gridCol w:w="2760"/>
      <w:gridCol w:w="4293"/>
    </w:tblGrid>
    <w:tr w:rsidR="001532F8" w14:paraId="475506BD" w14:textId="77777777" w:rsidTr="5555EB27">
      <w:trPr>
        <w:cantSplit/>
        <w:trHeight w:val="300"/>
      </w:trPr>
      <w:tc>
        <w:tcPr>
          <w:tcW w:w="2505" w:type="dxa"/>
        </w:tcPr>
        <w:p w14:paraId="63B9E4FA" w14:textId="77777777" w:rsidR="001532F8" w:rsidRDefault="001532F8">
          <w:pPr>
            <w:pStyle w:val="Header"/>
            <w:rPr>
              <w:rFonts w:ascii="Times New Roman" w:hAnsi="Times New Roman"/>
              <w:b/>
              <w:sz w:val="22"/>
            </w:rPr>
          </w:pPr>
        </w:p>
      </w:tc>
      <w:tc>
        <w:tcPr>
          <w:tcW w:w="2760" w:type="dxa"/>
        </w:tcPr>
        <w:p w14:paraId="6D924999" w14:textId="77777777" w:rsidR="001532F8" w:rsidRDefault="001532F8">
          <w:pPr>
            <w:pStyle w:val="Header"/>
            <w:jc w:val="center"/>
            <w:rPr>
              <w:rFonts w:ascii="Times New Roman" w:hAnsi="Times New Roman"/>
              <w:sz w:val="22"/>
            </w:rPr>
          </w:pPr>
          <w:r>
            <w:rPr>
              <w:rFonts w:ascii="Times New Roman" w:hAnsi="Times New Roman"/>
              <w:b/>
              <w:sz w:val="22"/>
            </w:rPr>
            <w:t>Mark Gentry</w:t>
          </w:r>
        </w:p>
      </w:tc>
      <w:tc>
        <w:tcPr>
          <w:tcW w:w="4293" w:type="dxa"/>
        </w:tcPr>
        <w:p w14:paraId="201E5950" w14:textId="77777777" w:rsidR="001532F8" w:rsidRDefault="001532F8">
          <w:pPr>
            <w:pStyle w:val="Header"/>
            <w:jc w:val="right"/>
            <w:rPr>
              <w:rFonts w:ascii="Times New Roman" w:hAnsi="Times New Roman"/>
              <w:sz w:val="22"/>
            </w:rPr>
          </w:pPr>
        </w:p>
      </w:tc>
    </w:tr>
    <w:tr w:rsidR="001532F8" w14:paraId="6245D044" w14:textId="77777777" w:rsidTr="5555EB27">
      <w:trPr>
        <w:cantSplit/>
        <w:trHeight w:val="300"/>
      </w:trPr>
      <w:tc>
        <w:tcPr>
          <w:tcW w:w="2505" w:type="dxa"/>
        </w:tcPr>
        <w:p w14:paraId="23F04EBD" w14:textId="239A99B4" w:rsidR="001532F8" w:rsidRDefault="5555EB27" w:rsidP="5555EB27">
          <w:pPr>
            <w:pStyle w:val="Header"/>
            <w:rPr>
              <w:rFonts w:ascii="Times New Roman" w:hAnsi="Times New Roman"/>
              <w:sz w:val="22"/>
              <w:szCs w:val="22"/>
            </w:rPr>
          </w:pPr>
          <w:r w:rsidRPr="5555EB27">
            <w:rPr>
              <w:rFonts w:ascii="Times New Roman" w:hAnsi="Times New Roman"/>
              <w:sz w:val="22"/>
              <w:szCs w:val="22"/>
            </w:rPr>
            <w:t>(919) 673-4193</w:t>
          </w:r>
        </w:p>
      </w:tc>
      <w:tc>
        <w:tcPr>
          <w:tcW w:w="2760" w:type="dxa"/>
        </w:tcPr>
        <w:p w14:paraId="5509667A" w14:textId="1742E94F" w:rsidR="001532F8" w:rsidRDefault="001532F8">
          <w:pPr>
            <w:pStyle w:val="Header"/>
            <w:jc w:val="center"/>
            <w:rPr>
              <w:rFonts w:ascii="Times New Roman" w:hAnsi="Times New Roman"/>
              <w:sz w:val="22"/>
            </w:rPr>
          </w:pPr>
        </w:p>
      </w:tc>
      <w:tc>
        <w:tcPr>
          <w:tcW w:w="4293" w:type="dxa"/>
        </w:tcPr>
        <w:p w14:paraId="64AD2A8A" w14:textId="108DB4F0" w:rsidR="001532F8" w:rsidRDefault="5555EB27" w:rsidP="5555EB27">
          <w:pPr>
            <w:pStyle w:val="Header"/>
            <w:jc w:val="right"/>
            <w:rPr>
              <w:rFonts w:ascii="Times New Roman" w:hAnsi="Times New Roman"/>
              <w:sz w:val="22"/>
              <w:szCs w:val="22"/>
            </w:rPr>
          </w:pPr>
          <w:r w:rsidRPr="5555EB27">
            <w:rPr>
              <w:rFonts w:ascii="Times New Roman" w:hAnsi="Times New Roman"/>
              <w:sz w:val="22"/>
              <w:szCs w:val="22"/>
            </w:rPr>
            <w:t>markg.inspire@gmail.com</w:t>
          </w:r>
        </w:p>
      </w:tc>
    </w:tr>
    <w:tr w:rsidR="001532F8" w14:paraId="2FF80CFB" w14:textId="77777777" w:rsidTr="5555EB27">
      <w:trPr>
        <w:cantSplit/>
        <w:trHeight w:val="300"/>
      </w:trPr>
      <w:tc>
        <w:tcPr>
          <w:tcW w:w="2505" w:type="dxa"/>
          <w:tcBorders>
            <w:bottom w:val="single" w:sz="4" w:space="0" w:color="auto"/>
          </w:tcBorders>
        </w:tcPr>
        <w:p w14:paraId="2B539C44" w14:textId="77777777" w:rsidR="001532F8" w:rsidRDefault="001532F8">
          <w:pPr>
            <w:pStyle w:val="Header"/>
            <w:rPr>
              <w:rFonts w:ascii="Times New Roman" w:hAnsi="Times New Roman"/>
              <w:sz w:val="22"/>
            </w:rPr>
          </w:pPr>
          <w:r>
            <w:rPr>
              <w:rFonts w:ascii="Times New Roman" w:hAnsi="Times New Roman"/>
              <w:sz w:val="22"/>
            </w:rPr>
            <w:t>Raleigh, NC 27613</w:t>
          </w:r>
        </w:p>
      </w:tc>
      <w:tc>
        <w:tcPr>
          <w:tcW w:w="2760" w:type="dxa"/>
          <w:tcBorders>
            <w:bottom w:val="single" w:sz="4" w:space="0" w:color="auto"/>
          </w:tcBorders>
        </w:tcPr>
        <w:p w14:paraId="419EB532" w14:textId="77777777" w:rsidR="001532F8" w:rsidRDefault="001532F8">
          <w:pPr>
            <w:pStyle w:val="Header"/>
            <w:jc w:val="center"/>
            <w:rPr>
              <w:rFonts w:ascii="Times New Roman" w:hAnsi="Times New Roman"/>
              <w:sz w:val="22"/>
            </w:rPr>
          </w:pPr>
        </w:p>
      </w:tc>
      <w:tc>
        <w:tcPr>
          <w:tcW w:w="4293" w:type="dxa"/>
          <w:tcBorders>
            <w:bottom w:val="single" w:sz="4" w:space="0" w:color="auto"/>
          </w:tcBorders>
        </w:tcPr>
        <w:p w14:paraId="009A0680" w14:textId="6F15D26E" w:rsidR="001532F8" w:rsidRDefault="5555EB27" w:rsidP="5555EB27">
          <w:pPr>
            <w:pStyle w:val="Header"/>
            <w:jc w:val="right"/>
            <w:rPr>
              <w:rFonts w:ascii="Times New Roman" w:hAnsi="Times New Roman"/>
              <w:sz w:val="22"/>
              <w:szCs w:val="22"/>
            </w:rPr>
          </w:pPr>
          <w:r w:rsidRPr="5555EB27">
            <w:rPr>
              <w:rFonts w:ascii="Times New Roman" w:hAnsi="Times New Roman"/>
              <w:sz w:val="22"/>
              <w:szCs w:val="22"/>
            </w:rPr>
            <w:t xml:space="preserve"> www.linkedin.com/in/mark-gentry-5aa74a7/</w:t>
          </w:r>
        </w:p>
      </w:tc>
    </w:tr>
  </w:tbl>
  <w:p w14:paraId="5A16C0AA" w14:textId="77777777" w:rsidR="001532F8" w:rsidRDefault="001532F8">
    <w:pPr>
      <w:pStyle w:val="Header"/>
      <w:rPr>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36D6E"/>
    <w:multiLevelType w:val="hybridMultilevel"/>
    <w:tmpl w:val="D7BC0152"/>
    <w:lvl w:ilvl="0" w:tplc="4E64B1E6">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9F2F3A"/>
    <w:multiLevelType w:val="hybridMultilevel"/>
    <w:tmpl w:val="DF8EF6F4"/>
    <w:lvl w:ilvl="0" w:tplc="4E64B1E6">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1B5BFA"/>
    <w:multiLevelType w:val="hybridMultilevel"/>
    <w:tmpl w:val="B7D4EA48"/>
    <w:lvl w:ilvl="0" w:tplc="503443A0">
      <w:start w:val="1"/>
      <w:numFmt w:val="bullet"/>
      <w:pStyle w:val="Resum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1941EE"/>
    <w:multiLevelType w:val="hybridMultilevel"/>
    <w:tmpl w:val="3208B5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9B478A"/>
    <w:multiLevelType w:val="hybridMultilevel"/>
    <w:tmpl w:val="7EFCEF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6645AD3"/>
    <w:multiLevelType w:val="hybridMultilevel"/>
    <w:tmpl w:val="3B6608CE"/>
    <w:lvl w:ilvl="0" w:tplc="4E64B1E6">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7B611FB"/>
    <w:multiLevelType w:val="hybridMultilevel"/>
    <w:tmpl w:val="3208B528"/>
    <w:lvl w:ilvl="0" w:tplc="4E64B1E6">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48E37C2"/>
    <w:multiLevelType w:val="hybridMultilevel"/>
    <w:tmpl w:val="8B72F764"/>
    <w:lvl w:ilvl="0" w:tplc="4E64B1E6">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54CF2D8"/>
    <w:multiLevelType w:val="hybridMultilevel"/>
    <w:tmpl w:val="C706CB4E"/>
    <w:lvl w:ilvl="0" w:tplc="2CECDE3C">
      <w:start w:val="1"/>
      <w:numFmt w:val="decimal"/>
      <w:lvlText w:val="%1."/>
      <w:lvlJc w:val="left"/>
      <w:pPr>
        <w:ind w:left="720" w:hanging="360"/>
      </w:pPr>
    </w:lvl>
    <w:lvl w:ilvl="1" w:tplc="313C205E">
      <w:start w:val="1"/>
      <w:numFmt w:val="bullet"/>
      <w:lvlText w:val="o"/>
      <w:lvlJc w:val="left"/>
      <w:pPr>
        <w:ind w:left="1440" w:hanging="360"/>
      </w:pPr>
      <w:rPr>
        <w:rFonts w:ascii="Courier New" w:hAnsi="Courier New" w:hint="default"/>
      </w:rPr>
    </w:lvl>
    <w:lvl w:ilvl="2" w:tplc="FFB201C2">
      <w:start w:val="1"/>
      <w:numFmt w:val="bullet"/>
      <w:lvlText w:val=""/>
      <w:lvlJc w:val="left"/>
      <w:pPr>
        <w:ind w:left="2160" w:hanging="360"/>
      </w:pPr>
      <w:rPr>
        <w:rFonts w:ascii="Wingdings" w:hAnsi="Wingdings" w:hint="default"/>
      </w:rPr>
    </w:lvl>
    <w:lvl w:ilvl="3" w:tplc="B4A00786">
      <w:start w:val="1"/>
      <w:numFmt w:val="bullet"/>
      <w:lvlText w:val=""/>
      <w:lvlJc w:val="left"/>
      <w:pPr>
        <w:ind w:left="2880" w:hanging="360"/>
      </w:pPr>
      <w:rPr>
        <w:rFonts w:ascii="Symbol" w:hAnsi="Symbol" w:hint="default"/>
      </w:rPr>
    </w:lvl>
    <w:lvl w:ilvl="4" w:tplc="0F7C775A">
      <w:start w:val="1"/>
      <w:numFmt w:val="bullet"/>
      <w:lvlText w:val="o"/>
      <w:lvlJc w:val="left"/>
      <w:pPr>
        <w:ind w:left="3600" w:hanging="360"/>
      </w:pPr>
      <w:rPr>
        <w:rFonts w:ascii="Courier New" w:hAnsi="Courier New" w:hint="default"/>
      </w:rPr>
    </w:lvl>
    <w:lvl w:ilvl="5" w:tplc="274E2ADE">
      <w:start w:val="1"/>
      <w:numFmt w:val="bullet"/>
      <w:lvlText w:val=""/>
      <w:lvlJc w:val="left"/>
      <w:pPr>
        <w:ind w:left="4320" w:hanging="360"/>
      </w:pPr>
      <w:rPr>
        <w:rFonts w:ascii="Wingdings" w:hAnsi="Wingdings" w:hint="default"/>
      </w:rPr>
    </w:lvl>
    <w:lvl w:ilvl="6" w:tplc="D8B0771A">
      <w:start w:val="1"/>
      <w:numFmt w:val="bullet"/>
      <w:lvlText w:val=""/>
      <w:lvlJc w:val="left"/>
      <w:pPr>
        <w:ind w:left="5040" w:hanging="360"/>
      </w:pPr>
      <w:rPr>
        <w:rFonts w:ascii="Symbol" w:hAnsi="Symbol" w:hint="default"/>
      </w:rPr>
    </w:lvl>
    <w:lvl w:ilvl="7" w:tplc="B3C2C8E0">
      <w:start w:val="1"/>
      <w:numFmt w:val="bullet"/>
      <w:lvlText w:val="o"/>
      <w:lvlJc w:val="left"/>
      <w:pPr>
        <w:ind w:left="5760" w:hanging="360"/>
      </w:pPr>
      <w:rPr>
        <w:rFonts w:ascii="Courier New" w:hAnsi="Courier New" w:hint="default"/>
      </w:rPr>
    </w:lvl>
    <w:lvl w:ilvl="8" w:tplc="F856862C">
      <w:start w:val="1"/>
      <w:numFmt w:val="bullet"/>
      <w:lvlText w:val=""/>
      <w:lvlJc w:val="left"/>
      <w:pPr>
        <w:ind w:left="6480" w:hanging="360"/>
      </w:pPr>
      <w:rPr>
        <w:rFonts w:ascii="Wingdings" w:hAnsi="Wingdings" w:hint="default"/>
      </w:rPr>
    </w:lvl>
  </w:abstractNum>
  <w:abstractNum w:abstractNumId="9" w15:restartNumberingAfterBreak="0">
    <w:nsid w:val="77541814"/>
    <w:multiLevelType w:val="hybridMultilevel"/>
    <w:tmpl w:val="B4BC1DC8"/>
    <w:lvl w:ilvl="0" w:tplc="17543C20">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BA83E7F"/>
    <w:multiLevelType w:val="hybridMultilevel"/>
    <w:tmpl w:val="7F26618A"/>
    <w:lvl w:ilvl="0" w:tplc="4E64B1E6">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23418370">
    <w:abstractNumId w:val="8"/>
  </w:num>
  <w:num w:numId="2" w16cid:durableId="1334718434">
    <w:abstractNumId w:val="4"/>
  </w:num>
  <w:num w:numId="3" w16cid:durableId="696081232">
    <w:abstractNumId w:val="3"/>
  </w:num>
  <w:num w:numId="4" w16cid:durableId="1351180833">
    <w:abstractNumId w:val="6"/>
  </w:num>
  <w:num w:numId="5" w16cid:durableId="1237327917">
    <w:abstractNumId w:val="0"/>
  </w:num>
  <w:num w:numId="6" w16cid:durableId="157693762">
    <w:abstractNumId w:val="10"/>
  </w:num>
  <w:num w:numId="7" w16cid:durableId="333727362">
    <w:abstractNumId w:val="5"/>
  </w:num>
  <w:num w:numId="8" w16cid:durableId="567148952">
    <w:abstractNumId w:val="1"/>
  </w:num>
  <w:num w:numId="9" w16cid:durableId="1195002124">
    <w:abstractNumId w:val="7"/>
  </w:num>
  <w:num w:numId="10" w16cid:durableId="404451806">
    <w:abstractNumId w:val="9"/>
  </w:num>
  <w:num w:numId="11" w16cid:durableId="11907533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C6B"/>
    <w:rsid w:val="000009BA"/>
    <w:rsid w:val="00001D8B"/>
    <w:rsid w:val="00007BA6"/>
    <w:rsid w:val="00011A9F"/>
    <w:rsid w:val="000134EA"/>
    <w:rsid w:val="00013CE7"/>
    <w:rsid w:val="00027AEB"/>
    <w:rsid w:val="000311CF"/>
    <w:rsid w:val="000643B7"/>
    <w:rsid w:val="000657F6"/>
    <w:rsid w:val="000805F0"/>
    <w:rsid w:val="000A4E1D"/>
    <w:rsid w:val="000B360D"/>
    <w:rsid w:val="000B3627"/>
    <w:rsid w:val="000C464D"/>
    <w:rsid w:val="000C73C0"/>
    <w:rsid w:val="000D1BEF"/>
    <w:rsid w:val="000D37B2"/>
    <w:rsid w:val="000E56E7"/>
    <w:rsid w:val="000E7553"/>
    <w:rsid w:val="000F1492"/>
    <w:rsid w:val="000F2CEB"/>
    <w:rsid w:val="000F3318"/>
    <w:rsid w:val="000F7809"/>
    <w:rsid w:val="0010013F"/>
    <w:rsid w:val="00101640"/>
    <w:rsid w:val="001062BB"/>
    <w:rsid w:val="00111D77"/>
    <w:rsid w:val="00116183"/>
    <w:rsid w:val="00121A44"/>
    <w:rsid w:val="00132A6D"/>
    <w:rsid w:val="001532F8"/>
    <w:rsid w:val="00190305"/>
    <w:rsid w:val="00197961"/>
    <w:rsid w:val="001A2D37"/>
    <w:rsid w:val="001C06EA"/>
    <w:rsid w:val="001D0061"/>
    <w:rsid w:val="001E484B"/>
    <w:rsid w:val="001E61A5"/>
    <w:rsid w:val="001F708B"/>
    <w:rsid w:val="0020403B"/>
    <w:rsid w:val="00211B31"/>
    <w:rsid w:val="00217A22"/>
    <w:rsid w:val="00230EF6"/>
    <w:rsid w:val="002356CE"/>
    <w:rsid w:val="00237D72"/>
    <w:rsid w:val="00245AC8"/>
    <w:rsid w:val="00246171"/>
    <w:rsid w:val="00254A16"/>
    <w:rsid w:val="0026026E"/>
    <w:rsid w:val="002627A4"/>
    <w:rsid w:val="00264983"/>
    <w:rsid w:val="00294D43"/>
    <w:rsid w:val="00294FBE"/>
    <w:rsid w:val="002A189F"/>
    <w:rsid w:val="002B2416"/>
    <w:rsid w:val="002B7EEE"/>
    <w:rsid w:val="002C2F03"/>
    <w:rsid w:val="002C5610"/>
    <w:rsid w:val="002C6ABD"/>
    <w:rsid w:val="002D012D"/>
    <w:rsid w:val="002E4C2C"/>
    <w:rsid w:val="002E6545"/>
    <w:rsid w:val="002F0613"/>
    <w:rsid w:val="002F6EB5"/>
    <w:rsid w:val="00300E7B"/>
    <w:rsid w:val="00315A50"/>
    <w:rsid w:val="00330D92"/>
    <w:rsid w:val="00331764"/>
    <w:rsid w:val="0033338A"/>
    <w:rsid w:val="00341B46"/>
    <w:rsid w:val="00371A69"/>
    <w:rsid w:val="00382DBF"/>
    <w:rsid w:val="00384789"/>
    <w:rsid w:val="00387A60"/>
    <w:rsid w:val="00393216"/>
    <w:rsid w:val="00394EE2"/>
    <w:rsid w:val="003A1926"/>
    <w:rsid w:val="003A78AA"/>
    <w:rsid w:val="003B32F4"/>
    <w:rsid w:val="003B3350"/>
    <w:rsid w:val="003B37BD"/>
    <w:rsid w:val="003B423F"/>
    <w:rsid w:val="003B6F12"/>
    <w:rsid w:val="003B77A2"/>
    <w:rsid w:val="003C0CCA"/>
    <w:rsid w:val="003C4D2C"/>
    <w:rsid w:val="003E1F84"/>
    <w:rsid w:val="00415127"/>
    <w:rsid w:val="004156C7"/>
    <w:rsid w:val="004168B7"/>
    <w:rsid w:val="00423064"/>
    <w:rsid w:val="00426228"/>
    <w:rsid w:val="004302E4"/>
    <w:rsid w:val="00430E47"/>
    <w:rsid w:val="004405C3"/>
    <w:rsid w:val="00450EFF"/>
    <w:rsid w:val="00450F71"/>
    <w:rsid w:val="0045598B"/>
    <w:rsid w:val="0046104B"/>
    <w:rsid w:val="00461517"/>
    <w:rsid w:val="004771C8"/>
    <w:rsid w:val="004877F5"/>
    <w:rsid w:val="004A48AE"/>
    <w:rsid w:val="004C1CD2"/>
    <w:rsid w:val="004D42FF"/>
    <w:rsid w:val="004D71B4"/>
    <w:rsid w:val="004E3A77"/>
    <w:rsid w:val="004F669E"/>
    <w:rsid w:val="00503B3C"/>
    <w:rsid w:val="00506A0E"/>
    <w:rsid w:val="00512C87"/>
    <w:rsid w:val="005254A2"/>
    <w:rsid w:val="0052654A"/>
    <w:rsid w:val="00527717"/>
    <w:rsid w:val="00536B40"/>
    <w:rsid w:val="00543D98"/>
    <w:rsid w:val="0054576E"/>
    <w:rsid w:val="00550379"/>
    <w:rsid w:val="00566B94"/>
    <w:rsid w:val="005752BB"/>
    <w:rsid w:val="00581827"/>
    <w:rsid w:val="00587FB7"/>
    <w:rsid w:val="00591A64"/>
    <w:rsid w:val="00595BEC"/>
    <w:rsid w:val="00596E80"/>
    <w:rsid w:val="005A596D"/>
    <w:rsid w:val="005A64B1"/>
    <w:rsid w:val="005A7A5A"/>
    <w:rsid w:val="005B130F"/>
    <w:rsid w:val="005C5E75"/>
    <w:rsid w:val="005D1DE8"/>
    <w:rsid w:val="005D46CF"/>
    <w:rsid w:val="005E6518"/>
    <w:rsid w:val="00601776"/>
    <w:rsid w:val="00606E25"/>
    <w:rsid w:val="00606F6D"/>
    <w:rsid w:val="0062343A"/>
    <w:rsid w:val="006409F2"/>
    <w:rsid w:val="006516D0"/>
    <w:rsid w:val="00654930"/>
    <w:rsid w:val="00667B5E"/>
    <w:rsid w:val="00677F99"/>
    <w:rsid w:val="00680379"/>
    <w:rsid w:val="006822F4"/>
    <w:rsid w:val="00682B31"/>
    <w:rsid w:val="00686FBC"/>
    <w:rsid w:val="00691028"/>
    <w:rsid w:val="006A4D70"/>
    <w:rsid w:val="006B0544"/>
    <w:rsid w:val="006B1A2F"/>
    <w:rsid w:val="006B34C7"/>
    <w:rsid w:val="006C319B"/>
    <w:rsid w:val="006C4DC2"/>
    <w:rsid w:val="006D07D6"/>
    <w:rsid w:val="006D2D07"/>
    <w:rsid w:val="006D3B4A"/>
    <w:rsid w:val="006E0F76"/>
    <w:rsid w:val="006E1C73"/>
    <w:rsid w:val="006E3613"/>
    <w:rsid w:val="00701660"/>
    <w:rsid w:val="00713CCB"/>
    <w:rsid w:val="00714BEC"/>
    <w:rsid w:val="0071713B"/>
    <w:rsid w:val="00730847"/>
    <w:rsid w:val="00732569"/>
    <w:rsid w:val="00732905"/>
    <w:rsid w:val="00736245"/>
    <w:rsid w:val="007420DA"/>
    <w:rsid w:val="00760ED1"/>
    <w:rsid w:val="00762D59"/>
    <w:rsid w:val="00764BB8"/>
    <w:rsid w:val="00766954"/>
    <w:rsid w:val="00792542"/>
    <w:rsid w:val="007928EC"/>
    <w:rsid w:val="00793813"/>
    <w:rsid w:val="00796FE8"/>
    <w:rsid w:val="007B2684"/>
    <w:rsid w:val="007B61D5"/>
    <w:rsid w:val="007D4282"/>
    <w:rsid w:val="007D7BF4"/>
    <w:rsid w:val="007F5BCD"/>
    <w:rsid w:val="007F5D18"/>
    <w:rsid w:val="007F7ED6"/>
    <w:rsid w:val="00800BE4"/>
    <w:rsid w:val="00814D47"/>
    <w:rsid w:val="00830709"/>
    <w:rsid w:val="0083232F"/>
    <w:rsid w:val="00840570"/>
    <w:rsid w:val="00856D51"/>
    <w:rsid w:val="00862A89"/>
    <w:rsid w:val="00877AEC"/>
    <w:rsid w:val="008804CC"/>
    <w:rsid w:val="00897BEC"/>
    <w:rsid w:val="008A2D83"/>
    <w:rsid w:val="008B52A0"/>
    <w:rsid w:val="008C1B3A"/>
    <w:rsid w:val="008C250A"/>
    <w:rsid w:val="008C2A09"/>
    <w:rsid w:val="008D0E3E"/>
    <w:rsid w:val="008D5428"/>
    <w:rsid w:val="008E123E"/>
    <w:rsid w:val="008E42AD"/>
    <w:rsid w:val="008E6822"/>
    <w:rsid w:val="008F4FC0"/>
    <w:rsid w:val="009042DF"/>
    <w:rsid w:val="00910941"/>
    <w:rsid w:val="00914030"/>
    <w:rsid w:val="009167C1"/>
    <w:rsid w:val="009253DC"/>
    <w:rsid w:val="0093010D"/>
    <w:rsid w:val="00931D29"/>
    <w:rsid w:val="00932A27"/>
    <w:rsid w:val="009348DC"/>
    <w:rsid w:val="00945245"/>
    <w:rsid w:val="009471D1"/>
    <w:rsid w:val="00955C6B"/>
    <w:rsid w:val="0097207C"/>
    <w:rsid w:val="00990427"/>
    <w:rsid w:val="009A1F73"/>
    <w:rsid w:val="009A4AA1"/>
    <w:rsid w:val="009A6BAE"/>
    <w:rsid w:val="009B6B7A"/>
    <w:rsid w:val="009C5E97"/>
    <w:rsid w:val="009E3E70"/>
    <w:rsid w:val="009E67D0"/>
    <w:rsid w:val="009F1F80"/>
    <w:rsid w:val="009F7B80"/>
    <w:rsid w:val="00A04585"/>
    <w:rsid w:val="00A073E9"/>
    <w:rsid w:val="00A15359"/>
    <w:rsid w:val="00A17618"/>
    <w:rsid w:val="00A20867"/>
    <w:rsid w:val="00A3454F"/>
    <w:rsid w:val="00A3706F"/>
    <w:rsid w:val="00A37BE0"/>
    <w:rsid w:val="00A4231B"/>
    <w:rsid w:val="00A53ACA"/>
    <w:rsid w:val="00A57087"/>
    <w:rsid w:val="00A57CAD"/>
    <w:rsid w:val="00A61CF5"/>
    <w:rsid w:val="00A73C94"/>
    <w:rsid w:val="00A74346"/>
    <w:rsid w:val="00A85FAB"/>
    <w:rsid w:val="00A956E2"/>
    <w:rsid w:val="00A9571C"/>
    <w:rsid w:val="00AB7A3C"/>
    <w:rsid w:val="00AC2340"/>
    <w:rsid w:val="00AC6B7B"/>
    <w:rsid w:val="00AD1D96"/>
    <w:rsid w:val="00AE2204"/>
    <w:rsid w:val="00AE5550"/>
    <w:rsid w:val="00AF2FC4"/>
    <w:rsid w:val="00AF44B8"/>
    <w:rsid w:val="00AF7048"/>
    <w:rsid w:val="00B126E5"/>
    <w:rsid w:val="00B14662"/>
    <w:rsid w:val="00B16C07"/>
    <w:rsid w:val="00B36A54"/>
    <w:rsid w:val="00B44DB5"/>
    <w:rsid w:val="00B4550E"/>
    <w:rsid w:val="00B555EB"/>
    <w:rsid w:val="00B56E74"/>
    <w:rsid w:val="00B64EAA"/>
    <w:rsid w:val="00B77B9E"/>
    <w:rsid w:val="00B83B5C"/>
    <w:rsid w:val="00B85E0F"/>
    <w:rsid w:val="00B90657"/>
    <w:rsid w:val="00B9398F"/>
    <w:rsid w:val="00B941A0"/>
    <w:rsid w:val="00B955FE"/>
    <w:rsid w:val="00BA6258"/>
    <w:rsid w:val="00BB4941"/>
    <w:rsid w:val="00BC1B05"/>
    <w:rsid w:val="00BD4AD6"/>
    <w:rsid w:val="00BE135F"/>
    <w:rsid w:val="00BE60EC"/>
    <w:rsid w:val="00BE7295"/>
    <w:rsid w:val="00BE787B"/>
    <w:rsid w:val="00C33BB9"/>
    <w:rsid w:val="00C5788D"/>
    <w:rsid w:val="00C60DB9"/>
    <w:rsid w:val="00C61F76"/>
    <w:rsid w:val="00C622A4"/>
    <w:rsid w:val="00C72E5A"/>
    <w:rsid w:val="00C74292"/>
    <w:rsid w:val="00C749AA"/>
    <w:rsid w:val="00CB1BBC"/>
    <w:rsid w:val="00CB3258"/>
    <w:rsid w:val="00CB3B8C"/>
    <w:rsid w:val="00CD3351"/>
    <w:rsid w:val="00CD7EC6"/>
    <w:rsid w:val="00CE27F8"/>
    <w:rsid w:val="00CE5722"/>
    <w:rsid w:val="00CE635A"/>
    <w:rsid w:val="00CE7FE9"/>
    <w:rsid w:val="00D01D57"/>
    <w:rsid w:val="00D36CF5"/>
    <w:rsid w:val="00D4335A"/>
    <w:rsid w:val="00D54695"/>
    <w:rsid w:val="00D549FB"/>
    <w:rsid w:val="00D56C2C"/>
    <w:rsid w:val="00D76B00"/>
    <w:rsid w:val="00D91F0E"/>
    <w:rsid w:val="00DA0C2F"/>
    <w:rsid w:val="00DA2A4B"/>
    <w:rsid w:val="00DB558A"/>
    <w:rsid w:val="00DC0BC3"/>
    <w:rsid w:val="00DD4DF1"/>
    <w:rsid w:val="00DE5B58"/>
    <w:rsid w:val="00DF6569"/>
    <w:rsid w:val="00E036C5"/>
    <w:rsid w:val="00E050C6"/>
    <w:rsid w:val="00E14C67"/>
    <w:rsid w:val="00E3279C"/>
    <w:rsid w:val="00E34274"/>
    <w:rsid w:val="00E427C1"/>
    <w:rsid w:val="00E5681C"/>
    <w:rsid w:val="00E72030"/>
    <w:rsid w:val="00E81DC2"/>
    <w:rsid w:val="00E87189"/>
    <w:rsid w:val="00E9027A"/>
    <w:rsid w:val="00E908F0"/>
    <w:rsid w:val="00EB3D9B"/>
    <w:rsid w:val="00EB64BF"/>
    <w:rsid w:val="00EC2A2E"/>
    <w:rsid w:val="00ED10D3"/>
    <w:rsid w:val="00ED7AD9"/>
    <w:rsid w:val="00EE0893"/>
    <w:rsid w:val="00EE5218"/>
    <w:rsid w:val="00EE5ECC"/>
    <w:rsid w:val="00EE7E7F"/>
    <w:rsid w:val="00EF03D4"/>
    <w:rsid w:val="00F07270"/>
    <w:rsid w:val="00F23935"/>
    <w:rsid w:val="00F3044B"/>
    <w:rsid w:val="00F32AFE"/>
    <w:rsid w:val="00F40A14"/>
    <w:rsid w:val="00F40DB5"/>
    <w:rsid w:val="00F44534"/>
    <w:rsid w:val="00F4587A"/>
    <w:rsid w:val="00F84301"/>
    <w:rsid w:val="00F8578D"/>
    <w:rsid w:val="00F903AC"/>
    <w:rsid w:val="00F9231E"/>
    <w:rsid w:val="00F92ADA"/>
    <w:rsid w:val="00F96B26"/>
    <w:rsid w:val="00FA2048"/>
    <w:rsid w:val="00FA2DD2"/>
    <w:rsid w:val="00FA3675"/>
    <w:rsid w:val="00FA3BBE"/>
    <w:rsid w:val="00FA71C7"/>
    <w:rsid w:val="00FB438B"/>
    <w:rsid w:val="00FB769C"/>
    <w:rsid w:val="00FC22A6"/>
    <w:rsid w:val="00FC400C"/>
    <w:rsid w:val="00FD3137"/>
    <w:rsid w:val="00FD6B37"/>
    <w:rsid w:val="00FD7A95"/>
    <w:rsid w:val="00FE1490"/>
    <w:rsid w:val="00FE1E22"/>
    <w:rsid w:val="00FE5DB2"/>
    <w:rsid w:val="00FF154B"/>
    <w:rsid w:val="00FF2F40"/>
    <w:rsid w:val="00FF37F0"/>
    <w:rsid w:val="0146AF15"/>
    <w:rsid w:val="02434EE7"/>
    <w:rsid w:val="028204CB"/>
    <w:rsid w:val="0342DC16"/>
    <w:rsid w:val="03D618FF"/>
    <w:rsid w:val="044942F5"/>
    <w:rsid w:val="048551E0"/>
    <w:rsid w:val="049DD9D3"/>
    <w:rsid w:val="0534EE64"/>
    <w:rsid w:val="058E1057"/>
    <w:rsid w:val="062DE721"/>
    <w:rsid w:val="06A50D2C"/>
    <w:rsid w:val="07789FE7"/>
    <w:rsid w:val="0B00FB11"/>
    <w:rsid w:val="0B49C64D"/>
    <w:rsid w:val="0BF4CFC9"/>
    <w:rsid w:val="0C625277"/>
    <w:rsid w:val="0D6FA04D"/>
    <w:rsid w:val="0DC536BC"/>
    <w:rsid w:val="0E0F02F1"/>
    <w:rsid w:val="0F40F27B"/>
    <w:rsid w:val="0FB1D2FB"/>
    <w:rsid w:val="0FE436B7"/>
    <w:rsid w:val="10219AF2"/>
    <w:rsid w:val="107B93DE"/>
    <w:rsid w:val="10B6DAC6"/>
    <w:rsid w:val="11173602"/>
    <w:rsid w:val="113C56F2"/>
    <w:rsid w:val="116C472B"/>
    <w:rsid w:val="119AEA0B"/>
    <w:rsid w:val="12F2E4B5"/>
    <w:rsid w:val="14124201"/>
    <w:rsid w:val="17FCEF28"/>
    <w:rsid w:val="192E404C"/>
    <w:rsid w:val="19A7EC69"/>
    <w:rsid w:val="1B8E6053"/>
    <w:rsid w:val="1D791FCD"/>
    <w:rsid w:val="1E329517"/>
    <w:rsid w:val="1E3D56EA"/>
    <w:rsid w:val="2188D898"/>
    <w:rsid w:val="22B37AD1"/>
    <w:rsid w:val="2375D8EF"/>
    <w:rsid w:val="265ABC64"/>
    <w:rsid w:val="275CAF09"/>
    <w:rsid w:val="275D560C"/>
    <w:rsid w:val="2838C0A1"/>
    <w:rsid w:val="28AC9938"/>
    <w:rsid w:val="2A0D79FF"/>
    <w:rsid w:val="2B17E431"/>
    <w:rsid w:val="2B557B10"/>
    <w:rsid w:val="2BA94FA1"/>
    <w:rsid w:val="2BB17EBC"/>
    <w:rsid w:val="2BC8F134"/>
    <w:rsid w:val="2C63755C"/>
    <w:rsid w:val="2CD80E91"/>
    <w:rsid w:val="2E70DB99"/>
    <w:rsid w:val="2F34FABA"/>
    <w:rsid w:val="2F855CB3"/>
    <w:rsid w:val="2FF585E2"/>
    <w:rsid w:val="31392DC7"/>
    <w:rsid w:val="31B2A88B"/>
    <w:rsid w:val="330439AA"/>
    <w:rsid w:val="34635EB6"/>
    <w:rsid w:val="3468483E"/>
    <w:rsid w:val="348240F4"/>
    <w:rsid w:val="35643005"/>
    <w:rsid w:val="36C29318"/>
    <w:rsid w:val="36C67D1A"/>
    <w:rsid w:val="3803CAE8"/>
    <w:rsid w:val="381E3400"/>
    <w:rsid w:val="38A89D9D"/>
    <w:rsid w:val="395E7F62"/>
    <w:rsid w:val="39D5E828"/>
    <w:rsid w:val="3AAA8556"/>
    <w:rsid w:val="3B21A1AE"/>
    <w:rsid w:val="3B2891EE"/>
    <w:rsid w:val="3B2E258F"/>
    <w:rsid w:val="3B6D00A5"/>
    <w:rsid w:val="3D6B0A81"/>
    <w:rsid w:val="3DD202E2"/>
    <w:rsid w:val="3EF8B91A"/>
    <w:rsid w:val="3F0F78A3"/>
    <w:rsid w:val="4167549D"/>
    <w:rsid w:val="416A8385"/>
    <w:rsid w:val="4243A3C5"/>
    <w:rsid w:val="447B2D25"/>
    <w:rsid w:val="44DBFEF2"/>
    <w:rsid w:val="46DD17F0"/>
    <w:rsid w:val="470C4AB3"/>
    <w:rsid w:val="48801B13"/>
    <w:rsid w:val="4A9C51B8"/>
    <w:rsid w:val="4AA30ECD"/>
    <w:rsid w:val="4B707CF7"/>
    <w:rsid w:val="4CB55CBF"/>
    <w:rsid w:val="4CCC92A5"/>
    <w:rsid w:val="4E03BE7A"/>
    <w:rsid w:val="4F18FF42"/>
    <w:rsid w:val="4FB78575"/>
    <w:rsid w:val="50759255"/>
    <w:rsid w:val="50A6B161"/>
    <w:rsid w:val="51D660DD"/>
    <w:rsid w:val="52921EC8"/>
    <w:rsid w:val="5302C8B7"/>
    <w:rsid w:val="5555EB27"/>
    <w:rsid w:val="56E78BC4"/>
    <w:rsid w:val="5810C007"/>
    <w:rsid w:val="591EC38C"/>
    <w:rsid w:val="5A55D7C1"/>
    <w:rsid w:val="5CBA5B14"/>
    <w:rsid w:val="5CD5F72B"/>
    <w:rsid w:val="5D855F5B"/>
    <w:rsid w:val="5FE82ADA"/>
    <w:rsid w:val="6025883C"/>
    <w:rsid w:val="6133C6B5"/>
    <w:rsid w:val="61399FCB"/>
    <w:rsid w:val="62BAF394"/>
    <w:rsid w:val="62D1F58D"/>
    <w:rsid w:val="630AFD88"/>
    <w:rsid w:val="63F7BC8B"/>
    <w:rsid w:val="64F1DCAA"/>
    <w:rsid w:val="658940F7"/>
    <w:rsid w:val="671A8AE1"/>
    <w:rsid w:val="67D9A7B3"/>
    <w:rsid w:val="681862A2"/>
    <w:rsid w:val="6840166D"/>
    <w:rsid w:val="6844BDC3"/>
    <w:rsid w:val="692BECCE"/>
    <w:rsid w:val="69CBFBF1"/>
    <w:rsid w:val="6A0FDEC4"/>
    <w:rsid w:val="6C9E036F"/>
    <w:rsid w:val="6D898239"/>
    <w:rsid w:val="6E2299CC"/>
    <w:rsid w:val="6EAD0192"/>
    <w:rsid w:val="6EBFCFF6"/>
    <w:rsid w:val="6EDD008F"/>
    <w:rsid w:val="6FC5E8D4"/>
    <w:rsid w:val="7011E8E5"/>
    <w:rsid w:val="70660AB6"/>
    <w:rsid w:val="70788953"/>
    <w:rsid w:val="708F8595"/>
    <w:rsid w:val="728FE101"/>
    <w:rsid w:val="74515476"/>
    <w:rsid w:val="74A1DC77"/>
    <w:rsid w:val="768C459D"/>
    <w:rsid w:val="772C5B7E"/>
    <w:rsid w:val="77FCC27A"/>
    <w:rsid w:val="78052DDD"/>
    <w:rsid w:val="7A8E3537"/>
    <w:rsid w:val="7AA8FB6F"/>
    <w:rsid w:val="7ABCD375"/>
    <w:rsid w:val="7B0EE1B8"/>
    <w:rsid w:val="7CB4BD59"/>
    <w:rsid w:val="7CD398CC"/>
    <w:rsid w:val="7D3213D8"/>
    <w:rsid w:val="7D36F38A"/>
    <w:rsid w:val="7D90A05F"/>
    <w:rsid w:val="7DAE86A1"/>
    <w:rsid w:val="7E7CB997"/>
    <w:rsid w:val="7F01A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E16B3A"/>
  <w15:chartTrackingRefBased/>
  <w15:docId w15:val="{EB12E75B-EBA0-4EB7-9FBA-15E715D02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rPr>
  </w:style>
  <w:style w:type="paragraph" w:styleId="Heading1">
    <w:name w:val="heading 1"/>
    <w:basedOn w:val="Normal"/>
    <w:next w:val="Normal"/>
    <w:qFormat/>
    <w:pPr>
      <w:keepNext/>
      <w:outlineLvl w:val="0"/>
    </w:pPr>
    <w:rPr>
      <w:rFonts w:ascii="Times New Roman" w:hAnsi="Times New Roman"/>
      <w:b/>
      <w:caps/>
      <w:sz w:val="22"/>
    </w:rPr>
  </w:style>
  <w:style w:type="paragraph" w:styleId="Heading8">
    <w:name w:val="heading 8"/>
    <w:basedOn w:val="Normal"/>
    <w:next w:val="Normal"/>
    <w:link w:val="Heading8Char"/>
    <w:qFormat/>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paragraph" w:customStyle="1" w:styleId="mynormal">
    <w:name w:val="mynormal"/>
    <w:basedOn w:val="Normal"/>
    <w:next w:val="MyNormalIndent"/>
    <w:rPr>
      <w:sz w:val="20"/>
    </w:rPr>
  </w:style>
  <w:style w:type="paragraph" w:styleId="BalloonText">
    <w:name w:val="Balloon Text"/>
    <w:basedOn w:val="Normal"/>
    <w:semiHidden/>
    <w:rsid w:val="00736245"/>
    <w:rPr>
      <w:rFonts w:ascii="Tahoma" w:hAnsi="Tahoma" w:cs="Tahoma"/>
      <w:sz w:val="16"/>
      <w:szCs w:val="16"/>
    </w:rPr>
  </w:style>
  <w:style w:type="paragraph" w:customStyle="1" w:styleId="MyNormalIndent">
    <w:name w:val="MyNormalIndent"/>
    <w:basedOn w:val="mynormal"/>
    <w:pPr>
      <w:ind w:firstLine="360"/>
    </w:pPr>
  </w:style>
  <w:style w:type="paragraph" w:customStyle="1" w:styleId="ResumeBullet0">
    <w:name w:val="ResumeBullet"/>
    <w:basedOn w:val="Heading8"/>
    <w:link w:val="ResumeBulletChar"/>
    <w:pPr>
      <w:spacing w:before="0" w:after="0"/>
      <w:outlineLvl w:val="9"/>
    </w:pPr>
    <w:rPr>
      <w:i w:val="0"/>
      <w:sz w:val="20"/>
    </w:rPr>
  </w:style>
  <w:style w:type="paragraph" w:styleId="Revision">
    <w:name w:val="Revision"/>
    <w:hidden/>
    <w:uiPriority w:val="99"/>
    <w:semiHidden/>
    <w:rsid w:val="00FA2048"/>
    <w:rPr>
      <w:rFonts w:ascii="Times" w:hAnsi="Times"/>
      <w:sz w:val="24"/>
    </w:rPr>
  </w:style>
  <w:style w:type="character" w:styleId="CommentReference">
    <w:name w:val="annotation reference"/>
    <w:basedOn w:val="DefaultParagraphFont"/>
    <w:rsid w:val="00394EE2"/>
    <w:rPr>
      <w:sz w:val="16"/>
      <w:szCs w:val="16"/>
    </w:rPr>
  </w:style>
  <w:style w:type="paragraph" w:styleId="CommentText">
    <w:name w:val="annotation text"/>
    <w:basedOn w:val="Normal"/>
    <w:link w:val="CommentTextChar"/>
    <w:rsid w:val="00394EE2"/>
    <w:rPr>
      <w:sz w:val="20"/>
    </w:rPr>
  </w:style>
  <w:style w:type="character" w:customStyle="1" w:styleId="CommentTextChar">
    <w:name w:val="Comment Text Char"/>
    <w:basedOn w:val="DefaultParagraphFont"/>
    <w:link w:val="CommentText"/>
    <w:rsid w:val="00394EE2"/>
    <w:rPr>
      <w:rFonts w:ascii="Times" w:hAnsi="Times"/>
    </w:rPr>
  </w:style>
  <w:style w:type="paragraph" w:styleId="CommentSubject">
    <w:name w:val="annotation subject"/>
    <w:basedOn w:val="CommentText"/>
    <w:next w:val="CommentText"/>
    <w:link w:val="CommentSubjectChar"/>
    <w:rsid w:val="00394EE2"/>
    <w:rPr>
      <w:b/>
      <w:bCs/>
    </w:rPr>
  </w:style>
  <w:style w:type="character" w:customStyle="1" w:styleId="CommentSubjectChar">
    <w:name w:val="Comment Subject Char"/>
    <w:basedOn w:val="CommentTextChar"/>
    <w:link w:val="CommentSubject"/>
    <w:rsid w:val="00394EE2"/>
    <w:rPr>
      <w:rFonts w:ascii="Times" w:hAnsi="Times"/>
      <w:b/>
      <w:bCs/>
    </w:rPr>
  </w:style>
  <w:style w:type="character" w:styleId="Hyperlink">
    <w:name w:val="Hyperlink"/>
    <w:basedOn w:val="DefaultParagraphFont"/>
    <w:rsid w:val="00AC2340"/>
    <w:rPr>
      <w:color w:val="467886" w:themeColor="hyperlink"/>
      <w:u w:val="single"/>
    </w:rPr>
  </w:style>
  <w:style w:type="character" w:styleId="UnresolvedMention">
    <w:name w:val="Unresolved Mention"/>
    <w:basedOn w:val="DefaultParagraphFont"/>
    <w:uiPriority w:val="99"/>
    <w:semiHidden/>
    <w:unhideWhenUsed/>
    <w:rsid w:val="00AC2340"/>
    <w:rPr>
      <w:color w:val="605E5C"/>
      <w:shd w:val="clear" w:color="auto" w:fill="E1DFDD"/>
    </w:rPr>
  </w:style>
  <w:style w:type="character" w:customStyle="1" w:styleId="FooterChar">
    <w:name w:val="Footer Char"/>
    <w:basedOn w:val="DefaultParagraphFont"/>
    <w:link w:val="Footer"/>
    <w:uiPriority w:val="99"/>
    <w:rsid w:val="000B360D"/>
    <w:rPr>
      <w:rFonts w:ascii="Times" w:hAnsi="Times"/>
      <w:sz w:val="24"/>
    </w:rPr>
  </w:style>
  <w:style w:type="paragraph" w:customStyle="1" w:styleId="Resumebullet">
    <w:name w:val="Resume bullet"/>
    <w:basedOn w:val="ResumeBullet0"/>
    <w:link w:val="ResumebulletChar0"/>
    <w:qFormat/>
    <w:rsid w:val="00550379"/>
    <w:pPr>
      <w:numPr>
        <w:numId w:val="11"/>
      </w:numPr>
      <w:ind w:left="216" w:hanging="216"/>
    </w:pPr>
  </w:style>
  <w:style w:type="character" w:customStyle="1" w:styleId="Heading8Char">
    <w:name w:val="Heading 8 Char"/>
    <w:basedOn w:val="DefaultParagraphFont"/>
    <w:link w:val="Heading8"/>
    <w:rsid w:val="00550379"/>
    <w:rPr>
      <w:i/>
      <w:iCs/>
      <w:sz w:val="24"/>
      <w:szCs w:val="24"/>
    </w:rPr>
  </w:style>
  <w:style w:type="character" w:customStyle="1" w:styleId="ResumeBulletChar">
    <w:name w:val="ResumeBullet Char"/>
    <w:basedOn w:val="Heading8Char"/>
    <w:link w:val="ResumeBullet0"/>
    <w:rsid w:val="00550379"/>
    <w:rPr>
      <w:i w:val="0"/>
      <w:iCs/>
      <w:sz w:val="24"/>
      <w:szCs w:val="24"/>
    </w:rPr>
  </w:style>
  <w:style w:type="character" w:customStyle="1" w:styleId="ResumebulletChar0">
    <w:name w:val="Resume bullet Char"/>
    <w:basedOn w:val="ResumeBulletChar"/>
    <w:link w:val="Resumebullet"/>
    <w:rsid w:val="00550379"/>
    <w:rPr>
      <w:i w:val="0"/>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usenix.org/system/files/sec21summer_chen-zitai.pdf" TargetMode="External"/><Relationship Id="rId13" Type="http://schemas.openxmlformats.org/officeDocument/2006/relationships/hyperlink" Target="https://foreshadowattack.eu/" TargetMode="External"/><Relationship Id="rId3" Type="http://schemas.openxmlformats.org/officeDocument/2006/relationships/settings" Target="settings.xml"/><Relationship Id="rId7" Type="http://schemas.openxmlformats.org/officeDocument/2006/relationships/hyperlink" Target="https://sgx.fail/" TargetMode="External"/><Relationship Id="rId12" Type="http://schemas.openxmlformats.org/officeDocument/2006/relationships/hyperlink" Target="https://lviattack.e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viattack.eu/"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lviattack.eu/" TargetMode="External"/><Relationship Id="rId4" Type="http://schemas.openxmlformats.org/officeDocument/2006/relationships/webSettings" Target="webSettings.xml"/><Relationship Id="rId9" Type="http://schemas.openxmlformats.org/officeDocument/2006/relationships/hyperlink" Target="https://lviattack.eu/"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sync\MARK_GENTRY_RESUM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MARK_GENTRY_RESUME-template.dot</Template>
  <TotalTime>0</TotalTime>
  <Pages>3</Pages>
  <Words>1335</Words>
  <Characters>7615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Mark Gentry resume</vt:lpstr>
    </vt:vector>
  </TitlesOfParts>
  <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 Gentry resume</dc:title>
  <dc:subject/>
  <dc:creator>Mark Gentry</dc:creator>
  <cp:keywords/>
  <dc:description/>
  <cp:lastModifiedBy>Mark Gentry</cp:lastModifiedBy>
  <cp:revision>3</cp:revision>
  <cp:lastPrinted>2025-01-22T03:36:00Z</cp:lastPrinted>
  <dcterms:created xsi:type="dcterms:W3CDTF">2025-01-22T13:15:00Z</dcterms:created>
  <dcterms:modified xsi:type="dcterms:W3CDTF">2025-01-22T13:15:00Z</dcterms:modified>
</cp:coreProperties>
</file>