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Data Flow Diagrams</w:t>
      </w:r>
    </w:p>
    <w:p>
      <w:pPr>
        <w:spacing w:after="240" w:line="276"/>
      </w:pPr>
      <w:r>
        <w:rPr>
          <w:i/>
          <w:iCs/>
          <w:color w:val="595959"/>
          <w:sz w:val="20"/>
          <w:szCs w:val="20"/>
        </w:rPr>
        <w:t xml:space="preserve">Server Infrastructure Monitoring System · CSPC — ICTU · Gane–Sarson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5360"/>
      </w:tblGrid>
      <w:tr>
        <w:trPr>
          <w:tblHeader/>
        </w:trPr>
        <w:tc>
          <w:tcPr>
            <w:tcW w:type="dxa" w:w="2900"/>
            <w:shd w:fill="F2F2F2" w:color="auto" w:val="clear"/>
            <w:tcMar>
              <w:top w:type="dxa" w:w="80"/>
              <w:left w:type="dxa" w:w="120"/>
              <w:bottom w:type="dxa" w:w="80"/>
              <w:right w:type="dxa" w:w="120"/>
            </w:tcMar>
          </w:tcPr>
          <w:p>
            <w:pPr>
              <w:spacing w:after="0"/>
            </w:pPr>
            <w:r>
              <w:rPr>
                <w:b/>
                <w:bCs/>
                <w:sz w:val="18"/>
                <w:szCs w:val="18"/>
              </w:rPr>
              <w:t xml:space="preserve">File</w:t>
            </w:r>
          </w:p>
        </w:tc>
        <w:tc>
          <w:tcPr>
            <w:tcW w:type="dxa" w:w="1100"/>
            <w:shd w:fill="F2F2F2" w:color="auto" w:val="clear"/>
            <w:tcMar>
              <w:top w:type="dxa" w:w="80"/>
              <w:left w:type="dxa" w:w="120"/>
              <w:bottom w:type="dxa" w:w="80"/>
              <w:right w:type="dxa" w:w="120"/>
            </w:tcMar>
          </w:tcPr>
          <w:p>
            <w:pPr>
              <w:spacing w:after="0"/>
            </w:pPr>
            <w:r>
              <w:rPr>
                <w:b/>
                <w:bCs/>
                <w:sz w:val="18"/>
                <w:szCs w:val="18"/>
              </w:rPr>
              <w:t xml:space="preserve">Figure</w:t>
            </w:r>
          </w:p>
        </w:tc>
        <w:tc>
          <w:tcPr>
            <w:tcW w:type="dxa" w:w="5360"/>
            <w:shd w:fill="F2F2F2" w:color="auto" w:val="clear"/>
            <w:tcMar>
              <w:top w:type="dxa" w:w="80"/>
              <w:left w:type="dxa" w:w="120"/>
              <w:bottom w:type="dxa" w:w="80"/>
              <w:right w:type="dxa" w:w="120"/>
            </w:tcMar>
          </w:tcPr>
          <w:p>
            <w:pPr>
              <w:spacing w:after="0"/>
            </w:pPr>
            <w:r>
              <w:rPr>
                <w:b/>
                <w:bCs/>
                <w:sz w:val="18"/>
                <w:szCs w:val="18"/>
              </w:rPr>
              <w:t xml:space="preserve">Content</w:t>
            </w:r>
          </w:p>
        </w:tc>
      </w:tr>
      <w:tr>
        <w:trPr>
          <w:tblHeader w:val="false"/>
        </w:trPr>
        <w:tc>
          <w:tcPr>
            <w:tcW w:type="dxa" w:w="2900"/>
            <w:tcMar>
              <w:top w:type="dxa" w:w="80"/>
              <w:left w:type="dxa" w:w="120"/>
              <w:bottom w:type="dxa" w:w="80"/>
              <w:right w:type="dxa" w:w="120"/>
            </w:tcMar>
          </w:tcPr>
          <w:p>
            <w:pPr>
              <w:spacing w:after="0"/>
            </w:pPr>
            <w:r>
              <w:rPr>
                <w:b w:val="false"/>
                <w:bCs w:val="false"/>
                <w:sz w:val="18"/>
                <w:szCs w:val="18"/>
              </w:rPr>
              <w:t xml:space="preserve">dfd-level0-clean.drawio</w:t>
            </w:r>
          </w:p>
        </w:tc>
        <w:tc>
          <w:tcPr>
            <w:tcW w:type="dxa" w:w="1100"/>
            <w:tcMar>
              <w:top w:type="dxa" w:w="80"/>
              <w:left w:type="dxa" w:w="120"/>
              <w:bottom w:type="dxa" w:w="80"/>
              <w:right w:type="dxa" w:w="120"/>
            </w:tcMar>
          </w:tcPr>
          <w:p>
            <w:pPr>
              <w:spacing w:after="0"/>
            </w:pPr>
            <w:r>
              <w:rPr>
                <w:b w:val="false"/>
                <w:bCs w:val="false"/>
                <w:sz w:val="18"/>
                <w:szCs w:val="18"/>
              </w:rPr>
              <w:t xml:space="preserve">Figure 3</w:t>
            </w:r>
          </w:p>
        </w:tc>
        <w:tc>
          <w:tcPr>
            <w:tcW w:type="dxa" w:w="5360"/>
            <w:tcMar>
              <w:top w:type="dxa" w:w="80"/>
              <w:left w:type="dxa" w:w="120"/>
              <w:bottom w:type="dxa" w:w="80"/>
              <w:right w:type="dxa" w:w="120"/>
            </w:tcMar>
          </w:tcPr>
          <w:p>
            <w:pPr>
              <w:spacing w:after="0"/>
            </w:pPr>
            <w:r>
              <w:rPr>
                <w:b w:val="false"/>
                <w:bCs w:val="false"/>
                <w:sz w:val="18"/>
                <w:szCs w:val="18"/>
              </w:rPr>
              <w:t xml:space="preserve">Context diagram — the whole system as ONE process, 9 external entities, 16 composite flows</w:t>
            </w:r>
          </w:p>
        </w:tc>
      </w:tr>
      <w:tr>
        <w:trPr>
          <w:tblHeader w:val="false"/>
        </w:trPr>
        <w:tc>
          <w:tcPr>
            <w:tcW w:type="dxa" w:w="2900"/>
            <w:tcMar>
              <w:top w:type="dxa" w:w="80"/>
              <w:left w:type="dxa" w:w="120"/>
              <w:bottom w:type="dxa" w:w="80"/>
              <w:right w:type="dxa" w:w="120"/>
            </w:tcMar>
          </w:tcPr>
          <w:p>
            <w:pPr>
              <w:spacing w:after="0"/>
            </w:pPr>
            <w:r>
              <w:rPr>
                <w:b w:val="false"/>
                <w:bCs w:val="false"/>
                <w:sz w:val="18"/>
                <w:szCs w:val="18"/>
              </w:rPr>
              <w:t xml:space="preserve">dfd-level1-clean.drawio</w:t>
            </w:r>
          </w:p>
        </w:tc>
        <w:tc>
          <w:tcPr>
            <w:tcW w:type="dxa" w:w="1100"/>
            <w:tcMar>
              <w:top w:type="dxa" w:w="80"/>
              <w:left w:type="dxa" w:w="120"/>
              <w:bottom w:type="dxa" w:w="80"/>
              <w:right w:type="dxa" w:w="120"/>
            </w:tcMar>
          </w:tcPr>
          <w:p>
            <w:pPr>
              <w:spacing w:after="0"/>
            </w:pPr>
            <w:r>
              <w:rPr>
                <w:b w:val="false"/>
                <w:bCs w:val="false"/>
                <w:sz w:val="18"/>
                <w:szCs w:val="18"/>
              </w:rPr>
              <w:t xml:space="preserve">Figure 4</w:t>
            </w:r>
          </w:p>
        </w:tc>
        <w:tc>
          <w:tcPr>
            <w:tcW w:type="dxa" w:w="5360"/>
            <w:tcMar>
              <w:top w:type="dxa" w:w="80"/>
              <w:left w:type="dxa" w:w="120"/>
              <w:bottom w:type="dxa" w:w="80"/>
              <w:right w:type="dxa" w:w="120"/>
            </w:tcMar>
          </w:tcPr>
          <w:p>
            <w:pPr>
              <w:spacing w:after="0"/>
            </w:pPr>
            <w:r>
              <w:rPr>
                <w:b w:val="false"/>
                <w:bCs w:val="false"/>
                <w:sz w:val="18"/>
                <w:szCs w:val="18"/>
              </w:rPr>
              <w:t xml:space="preserve">The same system decomposed into 6 processes, 10 data stores, 29 boundary flows</w:t>
            </w:r>
          </w:p>
        </w:tc>
      </w:tr>
    </w:tbl>
    <w:p>
      <w:pPr>
        <w:spacing w:after="120" w:line="276"/>
      </w:pPr>
      <w:r>
        <w:rPr>
          <w:sz w:val="20"/>
          <w:szCs w:val="20"/>
        </w:rPr>
        <w:t xml:space="preserve"/>
      </w:r>
    </w:p>
    <w:p>
      <w:pPr>
        <w:pStyle w:val="Heading1"/>
        <w:spacing w:after="140" w:before="280"/>
      </w:pPr>
      <w:r>
        <w:t xml:space="preserve">Manuscript narrative</w:t>
      </w:r>
    </w:p>
    <w:p>
      <w:pPr>
        <w:pStyle w:val="Heading2"/>
        <w:spacing w:after="140" w:before="280"/>
      </w:pPr>
      <w:r>
        <w:t xml:space="preserve">Figure 3 — Level 0 (context)</w:t>
      </w:r>
    </w:p>
    <w:p>
      <w:pPr>
        <w:pBdr>
          <w:left w:val="single" w:color="BFBFBF" w:sz="12" w:space="12"/>
        </w:pBdr>
        <w:spacing w:after="160" w:line="300"/>
        <w:ind w:left="480" w:right="480"/>
      </w:pPr>
      <w:r>
        <w:rPr>
          <w:sz w:val="20"/>
          <w:szCs w:val="20"/>
        </w:rPr>
        <w:t xml:space="preserve">Figure 3 presents the Level 0, or context, data flow diagram of the developed system, treating the system as a single process bounded by nine external entities. Two are human actors: Admin and IT Staff exchange sign-in, approvals, alert-rule configuration, gas-sensor setup, acknowledgements, and air-conditioner control requests for a session, role, and live dashboards, alerts, reports, and forecasts in return. Four are the monitored sources — the Server Room, Monitored Server, Router/MikroTik, and UPS Unit — each supplying its respective reading (temperature/humidity/gas, CPU/memory/disk, traffic and link state, or battery/load/runtime) in exchange for a query or an agent token. The Server Room additionally reports the pin map of its MQ-2 gas channels and receives in return the gas-sensor configuration that determines which of those channels are read and how each is labelled. The remaining two entities support authentication and notification: Google Workspace exchanges an authorisation code for a verified identity, and the Email Recipient receives alert and report e-mail. Figure 4 decomposes this single process into its constituent functions.</w:t>
      </w:r>
    </w:p>
    <w:p>
      <w:pPr>
        <w:spacing w:after="120" w:line="276"/>
      </w:pPr>
      <w:r>
        <w:rPr>
          <w:sz w:val="20"/>
          <w:szCs w:val="20"/>
        </w:rPr>
        <w:t xml:space="preserve">The Server Room sentence carries two flows that did not exist before the MQ-2 sensors became managed data (</w:t>
      </w:r>
      <w:r>
        <w:rPr>
          <w:rFonts w:ascii="Consolas" w:cs="Consolas" w:eastAsia="Consolas" w:hAnsi="Consolas"/>
          <w:sz w:val="18"/>
          <w:szCs w:val="18"/>
        </w:rPr>
        <w:t xml:space="preserve">migrations/2026-09-17_gas_sensors.sql</w:t>
      </w:r>
      <w:r>
        <w:rPr>
          <w:sz w:val="20"/>
          <w:szCs w:val="20"/>
        </w:rPr>
        <w:t xml:space="preserve">): the room now </w:t>
      </w:r>
      <w:r>
        <w:rPr>
          <w:b/>
          <w:bCs/>
          <w:sz w:val="20"/>
          <w:szCs w:val="20"/>
        </w:rPr>
        <w:t xml:space="preserve">reports</w:t>
      </w:r>
      <w:r>
        <w:rPr>
          <w:sz w:val="20"/>
          <w:szCs w:val="20"/>
        </w:rPr>
        <w:t xml:space="preserve"> which ADC pin each gas channel sits on, and </w:t>
      </w:r>
      <w:r>
        <w:rPr>
          <w:b/>
          <w:bCs/>
          <w:sz w:val="20"/>
          <w:szCs w:val="20"/>
        </w:rPr>
        <w:t xml:space="preserve">receives</w:t>
      </w:r>
      <w:r>
        <w:rPr>
          <w:sz w:val="20"/>
          <w:szCs w:val="20"/>
        </w:rPr>
        <w:t xml:space="preserve"> which channels are wired and what each is called. It is the only monitored source whose return flow is a configuration rather than a poll, which is why it gets a sentence of its own rather than being folded into the list.</w:t>
      </w:r>
    </w:p>
    <w:p>
      <w:pPr>
        <w:pStyle w:val="Heading2"/>
        <w:spacing w:after="140" w:before="280"/>
      </w:pPr>
      <w:r>
        <w:t xml:space="preserve">Figure 4 — Level 1</w:t>
      </w:r>
    </w:p>
    <w:p>
      <w:pPr>
        <w:pBdr>
          <w:left w:val="single" w:color="BFBFBF" w:sz="12" w:space="12"/>
        </w:pBdr>
        <w:spacing w:after="160" w:line="300"/>
        <w:ind w:left="480" w:right="480"/>
      </w:pPr>
      <w:r>
        <w:rPr>
          <w:sz w:val="20"/>
          <w:szCs w:val="20"/>
        </w:rPr>
        <w:t xml:space="preserve">Figure 4 decomposes the context process of Figure 3 into six processes and ten data stores. Process 1.0, Authenticate and Authorize, exchanges the Google authorization code and sign-in requests for a verified identity, session, and role, and records each account in D1 users and each enrollment key in D9 agent_install_keys. Process 2.0, Collect Monitoring Data, receives readings from all four monitored sources, writes each sample to D3 measurements and D7 backup files, and updates device status in D2 devices. It also holds the MQ-2 gas sensors as managed data: Admin supplies each channel’s label and whether it is enabled, which Process 2.0 stores in D10 gas_sensors and reads back on every reading to decide which channels count and how each is named; the wiring is pushed to the Server Room as a gas channel configuration, the Server Room reports the pin map of those channels in return, and the change is logged to D6 system_logs. Process 3.0, Evaluate Rules and Notify, checks each incoming sample against the thresholds held in D8 alert_rules, writes new alerts to D4 alerts, and returns alert notifications to IT Staff and alert e-mail to the Email Recipient; it also forwards a temperature-zone change to Process 4.0. Process 4.0, Control Air Conditioning, combines that zone change with manual on/off commands from IT Staff to issue an IR command to the Air Conditioner Unit and log the resulting unit state to D2 and D6 system_logs. Process 5.0, Generate Reports, draws period measurements and alerts from D3 and D4 to produce the CSV/PDF file recorded in D5 reports and e-mailed to the Email Recipient. Process 6.0, Analyse and Forecast, queries a history window from D3 to return forecasts, anomalies, and recommendations to IT Staff, and feeds a forecast alert back into Process 3.0. All rule changes, acknowledgements, and report actions are additionally logged to D6 system_logs.</w:t>
      </w:r>
    </w:p>
    <w:p>
      <w:pPr>
        <w:spacing w:after="120" w:line="276"/>
      </w:pPr>
      <w:r>
        <w:rPr>
          <w:sz w:val="20"/>
          <w:szCs w:val="20"/>
        </w:rPr>
        <w:t xml:space="preserve">The added Process 2.0 sentence carries all six gas-sensor flows at this level — Admin → 2.0, 2.0 → D10, D10 → 2.0, 2.0 → Server Room, Server Room → 2.0, and 2.0 → D6. The store count moved from nine to ten because D10 gas_sensors is new; every other word is as originally written.</w:t>
      </w:r>
    </w:p>
    <w:p>
      <w:pPr>
        <w:pStyle w:val="Heading1"/>
        <w:spacing w:after="140" w:before="280"/>
      </w:pPr>
      <w:r>
        <w:t xml:space="preserve">Reading the diagrams</w:t>
      </w:r>
    </w:p>
    <w:p>
      <w:pPr>
        <w:spacing w:after="120" w:line="276"/>
      </w:pPr>
      <w:r>
        <w:rPr>
          <w:b/>
          <w:bCs/>
          <w:sz w:val="20"/>
          <w:szCs w:val="20"/>
        </w:rPr>
        <w:t xml:space="preserve">Processes. </w:t>
      </w:r>
      <w:r>
        <w:rPr>
          <w:sz w:val="20"/>
          <w:szCs w:val="20"/>
        </w:rPr>
        <w:t xml:space="preserve">1.0 Authenticate &amp; Authorise · 2.0 Collect Monitoring Data · 3.0 Evaluate Rules &amp; Notify · 4.0 Control Air Conditioning · 5.0 Generate Reports · 6.0 Analyse &amp; Forecast.</w:t>
      </w:r>
    </w:p>
    <w:p>
      <w:pPr>
        <w:spacing w:after="120" w:line="276"/>
      </w:pPr>
      <w:r>
        <w:rPr>
          <w:b/>
          <w:bCs/>
          <w:sz w:val="20"/>
          <w:szCs w:val="20"/>
        </w:rPr>
        <w:t xml:space="preserve">Data stores. </w:t>
      </w:r>
      <w:r>
        <w:rPr>
          <w:sz w:val="20"/>
          <w:szCs w:val="20"/>
        </w:rPr>
        <w:t xml:space="preserve">D1 users · D2 devices · D3 measurements (InfluxDB) · D4 alerts · D5 reports · D6 system_logs · D7 backup files · D8 alert_rules · D9 agent_install_keys · D10 gas_sensors.</w:t>
      </w:r>
    </w:p>
    <w:p>
      <w:pPr>
        <w:spacing w:after="120" w:line="276"/>
      </w:pPr>
      <w:r>
        <w:rPr>
          <w:b/>
          <w:bCs/>
          <w:sz w:val="20"/>
          <w:szCs w:val="20"/>
        </w:rPr>
        <w:t xml:space="preserve">The asterisk marks a duplicated symbol</w:t>
      </w:r>
      <w:r>
        <w:rPr>
          <w:sz w:val="20"/>
          <w:szCs w:val="20"/>
        </w:rPr>
        <w:t xml:space="preserve"> — the same entity or store drawn more than once so that no flow line has to cross another. There is still only one IT Staff (drawn six times, once per process it talks to), one Admin (three times), one system_logs (five times). The D-number is the identity, not the box: every box labelled D6 is the same table. Count entities by name, never by symbol, or Level 1 appears to have 17 entities against Level 0's 9.</w:t>
      </w:r>
    </w:p>
    <w:p>
      <w:pPr>
        <w:spacing w:after="120" w:line="276"/>
      </w:pPr>
      <w:r>
        <w:rPr>
          <w:b/>
          <w:bCs/>
          <w:sz w:val="20"/>
          <w:szCs w:val="20"/>
        </w:rPr>
        <w:t xml:space="preserve">Entities that appear exactly once</w:t>
      </w:r>
      <w:r>
        <w:rPr>
          <w:sz w:val="20"/>
          <w:szCs w:val="20"/>
        </w:rPr>
        <w:t xml:space="preserve"> carry no asterisk: Server Room, Monitored Server, Router/MikroTik, UPS Unit, Air Conditioner Unit, Google Workspace, and stores D1, D5, D7, D8, D9, D10.</w:t>
      </w:r>
    </w:p>
    <w:p>
      <w:pPr>
        <w:spacing w:after="120" w:line="276"/>
      </w:pPr>
      <w:r>
        <w:rPr>
          <w:b/>
          <w:bCs/>
          <w:sz w:val="20"/>
          <w:szCs w:val="20"/>
        </w:rPr>
        <w:t xml:space="preserve">Layout convention. </w:t>
      </w:r>
      <w:r>
        <w:rPr>
          <w:sz w:val="20"/>
          <w:szCs w:val="20"/>
        </w:rPr>
        <w:t xml:space="preserve">One horizontal band per process: external entities on the left, the process in the centre, data stores on the right. Every flow has its own connection point and its own straight line — no two flows share a segment. Three flows run process-to-process (2.0→3.0 evaluated sample, 2.0→4.0 temperature zone change, 6.0→3.0 forecast alert); each is routed in its own reserved corridor.</w:t>
      </w:r>
    </w:p>
    <w:p>
      <w:pPr>
        <w:pStyle w:val="Heading1"/>
        <w:spacing w:after="140" w:before="280"/>
      </w:pPr>
      <w:r>
        <w:t xml:space="preserve">Balance</w:t>
      </w:r>
    </w:p>
    <w:p>
      <w:pPr>
        <w:spacing w:after="120" w:line="276"/>
      </w:pPr>
      <w:r>
        <w:rPr>
          <w:sz w:val="20"/>
          <w:szCs w:val="20"/>
        </w:rPr>
        <w:t xml:space="preserve">The two levels are balanced: every flow crossing the system boundary at Level 1 rolls up into exactly one Level 0 composite, and every Level 0 flow has at least one Level 1 counterpart.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F2F2F2" w:color="auto" w:val="clear"/>
            <w:tcMar>
              <w:top w:type="dxa" w:w="80"/>
              <w:left w:type="dxa" w:w="120"/>
              <w:bottom w:type="dxa" w:w="80"/>
              <w:right w:type="dxa" w:w="120"/>
            </w:tcMar>
          </w:tcPr>
          <w:p>
            <w:pPr>
              <w:spacing w:after="0"/>
            </w:pPr>
            <w:r>
              <w:rPr>
                <w:b/>
                <w:bCs/>
                <w:sz w:val="18"/>
                <w:szCs w:val="18"/>
              </w:rPr>
              <w:t xml:space="preserve">Measure</w:t>
            </w:r>
          </w:p>
        </w:tc>
        <w:tc>
          <w:tcPr>
            <w:tcW w:type="dxa" w:w="4760"/>
            <w:shd w:fill="F2F2F2" w:color="auto" w:val="clear"/>
            <w:tcMar>
              <w:top w:type="dxa" w:w="80"/>
              <w:left w:type="dxa" w:w="120"/>
              <w:bottom w:type="dxa" w:w="80"/>
              <w:right w:type="dxa" w:w="120"/>
            </w:tcMar>
          </w:tcPr>
          <w:p>
            <w:pPr>
              <w:spacing w:after="0"/>
            </w:pPr>
            <w:r>
              <w:rPr>
                <w:b/>
                <w:bCs/>
                <w:sz w:val="18"/>
                <w:szCs w:val="18"/>
              </w:rPr>
              <w:t xml:space="preserve">Value</w:t>
            </w:r>
          </w:p>
        </w:tc>
      </w:tr>
      <w:tr>
        <w:trPr>
          <w:tblHeader w:val="false"/>
        </w:trPr>
        <w:tc>
          <w:tcPr>
            <w:tcW w:type="dxa" w:w="4600"/>
            <w:tcMar>
              <w:top w:type="dxa" w:w="80"/>
              <w:left w:type="dxa" w:w="120"/>
              <w:bottom w:type="dxa" w:w="80"/>
              <w:right w:type="dxa" w:w="120"/>
            </w:tcMar>
          </w:tcPr>
          <w:p>
            <w:pPr>
              <w:spacing w:after="0"/>
            </w:pPr>
            <w:r>
              <w:rPr>
                <w:b w:val="false"/>
                <w:bCs w:val="false"/>
                <w:sz w:val="18"/>
                <w:szCs w:val="18"/>
              </w:rPr>
              <w:t xml:space="preserve">Level 0 flows</w:t>
            </w:r>
          </w:p>
        </w:tc>
        <w:tc>
          <w:tcPr>
            <w:tcW w:type="dxa" w:w="4760"/>
            <w:tcMar>
              <w:top w:type="dxa" w:w="80"/>
              <w:left w:type="dxa" w:w="120"/>
              <w:bottom w:type="dxa" w:w="80"/>
              <w:right w:type="dxa" w:w="120"/>
            </w:tcMar>
          </w:tcPr>
          <w:p>
            <w:pPr>
              <w:spacing w:after="0"/>
            </w:pPr>
            <w:r>
              <w:rPr>
                <w:b w:val="false"/>
                <w:bCs w:val="false"/>
                <w:sz w:val="18"/>
                <w:szCs w:val="18"/>
              </w:rPr>
              <w:t xml:space="preserve">16</w:t>
            </w:r>
          </w:p>
        </w:tc>
      </w:tr>
      <w:tr>
        <w:trPr>
          <w:tblHeader w:val="false"/>
        </w:trPr>
        <w:tc>
          <w:tcPr>
            <w:tcW w:type="dxa" w:w="4600"/>
            <w:tcMar>
              <w:top w:type="dxa" w:w="80"/>
              <w:left w:type="dxa" w:w="120"/>
              <w:bottom w:type="dxa" w:w="80"/>
              <w:right w:type="dxa" w:w="120"/>
            </w:tcMar>
          </w:tcPr>
          <w:p>
            <w:pPr>
              <w:spacing w:after="0"/>
            </w:pPr>
            <w:r>
              <w:rPr>
                <w:b w:val="false"/>
                <w:bCs w:val="false"/>
                <w:sz w:val="18"/>
                <w:szCs w:val="18"/>
              </w:rPr>
              <w:t xml:space="preserve">Level 1 boundary flows</w:t>
            </w:r>
          </w:p>
        </w:tc>
        <w:tc>
          <w:tcPr>
            <w:tcW w:type="dxa" w:w="4760"/>
            <w:tcMar>
              <w:top w:type="dxa" w:w="80"/>
              <w:left w:type="dxa" w:w="120"/>
              <w:bottom w:type="dxa" w:w="80"/>
              <w:right w:type="dxa" w:w="120"/>
            </w:tcMar>
          </w:tcPr>
          <w:p>
            <w:pPr>
              <w:spacing w:after="0"/>
            </w:pPr>
            <w:r>
              <w:rPr>
                <w:b w:val="false"/>
                <w:bCs w:val="false"/>
                <w:sz w:val="18"/>
                <w:szCs w:val="18"/>
              </w:rPr>
              <w:t xml:space="preserve">29   (1.0: 8 · 2.0: 11 · 3.0: 4 · 4.0: 2 · 5.0: 3 · 6.0: 1)</w:t>
            </w:r>
          </w:p>
        </w:tc>
      </w:tr>
      <w:tr>
        <w:trPr>
          <w:tblHeader w:val="false"/>
        </w:trPr>
        <w:tc>
          <w:tcPr>
            <w:tcW w:type="dxa" w:w="4600"/>
            <w:tcMar>
              <w:top w:type="dxa" w:w="80"/>
              <w:left w:type="dxa" w:w="120"/>
              <w:bottom w:type="dxa" w:w="80"/>
              <w:right w:type="dxa" w:w="120"/>
            </w:tcMar>
          </w:tcPr>
          <w:p>
            <w:pPr>
              <w:spacing w:after="0"/>
            </w:pPr>
            <w:r>
              <w:rPr>
                <w:b w:val="false"/>
                <w:bCs w:val="false"/>
                <w:sz w:val="18"/>
                <w:szCs w:val="18"/>
              </w:rPr>
              <w:t xml:space="preserve">Level 1 data-store flows</w:t>
            </w:r>
          </w:p>
        </w:tc>
        <w:tc>
          <w:tcPr>
            <w:tcW w:type="dxa" w:w="4760"/>
            <w:tcMar>
              <w:top w:type="dxa" w:w="80"/>
              <w:left w:type="dxa" w:w="120"/>
              <w:bottom w:type="dxa" w:w="80"/>
              <w:right w:type="dxa" w:w="120"/>
            </w:tcMar>
          </w:tcPr>
          <w:p>
            <w:pPr>
              <w:spacing w:after="0"/>
            </w:pPr>
            <w:r>
              <w:rPr>
                <w:b w:val="false"/>
                <w:bCs w:val="false"/>
                <w:sz w:val="18"/>
                <w:szCs w:val="18"/>
              </w:rPr>
              <w:t xml:space="preserve">23   internal — correctly absent from Level 0</w:t>
            </w:r>
          </w:p>
        </w:tc>
      </w:tr>
      <w:tr>
        <w:trPr>
          <w:tblHeader w:val="false"/>
        </w:trPr>
        <w:tc>
          <w:tcPr>
            <w:tcW w:type="dxa" w:w="4600"/>
            <w:tcMar>
              <w:top w:type="dxa" w:w="80"/>
              <w:left w:type="dxa" w:w="120"/>
              <w:bottom w:type="dxa" w:w="80"/>
              <w:right w:type="dxa" w:w="120"/>
            </w:tcMar>
          </w:tcPr>
          <w:p>
            <w:pPr>
              <w:spacing w:after="0"/>
            </w:pPr>
            <w:r>
              <w:rPr>
                <w:b w:val="false"/>
                <w:bCs w:val="false"/>
                <w:sz w:val="18"/>
                <w:szCs w:val="18"/>
              </w:rPr>
              <w:t xml:space="preserve">Level 1 process-to-process flows</w:t>
            </w:r>
          </w:p>
        </w:tc>
        <w:tc>
          <w:tcPr>
            <w:tcW w:type="dxa" w:w="4760"/>
            <w:tcMar>
              <w:top w:type="dxa" w:w="80"/>
              <w:left w:type="dxa" w:w="120"/>
              <w:bottom w:type="dxa" w:w="80"/>
              <w:right w:type="dxa" w:w="120"/>
            </w:tcMar>
          </w:tcPr>
          <w:p>
            <w:pPr>
              <w:spacing w:after="0"/>
            </w:pPr>
            <w:r>
              <w:rPr>
                <w:b w:val="false"/>
                <w:bCs w:val="false"/>
                <w:sz w:val="18"/>
                <w:szCs w:val="18"/>
              </w:rPr>
              <w:t xml:space="preserve">3   internal — correctly absent from Level 0</w:t>
            </w:r>
          </w:p>
        </w:tc>
      </w:tr>
      <w:tr>
        <w:trPr>
          <w:tblHeader w:val="false"/>
        </w:trPr>
        <w:tc>
          <w:tcPr>
            <w:tcW w:type="dxa" w:w="4600"/>
            <w:tcMar>
              <w:top w:type="dxa" w:w="80"/>
              <w:left w:type="dxa" w:w="120"/>
              <w:bottom w:type="dxa" w:w="80"/>
              <w:right w:type="dxa" w:w="120"/>
            </w:tcMar>
          </w:tcPr>
          <w:p>
            <w:pPr>
              <w:spacing w:after="0"/>
            </w:pPr>
            <w:r>
              <w:rPr>
                <w:b w:val="false"/>
                <w:bCs w:val="false"/>
                <w:sz w:val="18"/>
                <w:szCs w:val="18"/>
              </w:rPr>
              <w:t xml:space="preserve">External entities</w:t>
            </w:r>
          </w:p>
        </w:tc>
        <w:tc>
          <w:tcPr>
            <w:tcW w:type="dxa" w:w="4760"/>
            <w:tcMar>
              <w:top w:type="dxa" w:w="80"/>
              <w:left w:type="dxa" w:w="120"/>
              <w:bottom w:type="dxa" w:w="80"/>
              <w:right w:type="dxa" w:w="120"/>
            </w:tcMar>
          </w:tcPr>
          <w:p>
            <w:pPr>
              <w:spacing w:after="0"/>
            </w:pPr>
            <w:r>
              <w:rPr>
                <w:b w:val="false"/>
                <w:bCs w:val="false"/>
                <w:sz w:val="18"/>
                <w:szCs w:val="18"/>
              </w:rPr>
              <w:t xml:space="preserve">9 vs 9, identical sets</w:t>
            </w:r>
          </w:p>
        </w:tc>
      </w:tr>
    </w:tbl>
    <w:p>
      <w:pPr>
        <w:spacing w:after="120" w:line="276"/>
      </w:pPr>
      <w:r>
        <w:rPr>
          <w:sz w:val="20"/>
          <w:szCs w:val="20"/>
        </w:rPr>
        <w:t xml:space="preserve"/>
      </w:r>
    </w:p>
    <w:p>
      <w:pPr>
        <w:spacing w:after="120" w:line="276"/>
      </w:pPr>
      <w:r>
        <w:rPr>
          <w:b/>
          <w:bCs/>
          <w:sz w:val="20"/>
          <w:szCs w:val="20"/>
        </w:rPr>
        <w:t xml:space="preserve">Roll-up, by entity and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
        <w:gridCol w:w="520"/>
        <w:gridCol w:w="5820"/>
      </w:tblGrid>
      <w:tr>
        <w:trPr>
          <w:tblHeader/>
        </w:trPr>
        <w:tc>
          <w:tcPr>
            <w:tcW w:type="dxa" w:w="2500"/>
            <w:shd w:fill="F2F2F2" w:color="auto" w:val="clear"/>
            <w:tcMar>
              <w:top w:type="dxa" w:w="80"/>
              <w:left w:type="dxa" w:w="120"/>
              <w:bottom w:type="dxa" w:w="80"/>
              <w:right w:type="dxa" w:w="120"/>
            </w:tcMar>
          </w:tcPr>
          <w:p>
            <w:pPr>
              <w:spacing w:after="0"/>
            </w:pPr>
            <w:r>
              <w:rPr>
                <w:b/>
                <w:bCs/>
                <w:sz w:val="18"/>
                <w:szCs w:val="18"/>
              </w:rPr>
              <w:t xml:space="preserve">Flow</w:t>
            </w:r>
          </w:p>
        </w:tc>
        <w:tc>
          <w:tcPr>
            <w:tcW w:type="dxa" w:w="520"/>
            <w:shd w:fill="F2F2F2" w:color="auto" w:val="clear"/>
            <w:tcMar>
              <w:top w:type="dxa" w:w="80"/>
              <w:left w:type="dxa" w:w="120"/>
              <w:bottom w:type="dxa" w:w="80"/>
              <w:right w:type="dxa" w:w="120"/>
            </w:tcMar>
          </w:tcPr>
          <w:p>
            <w:pPr>
              <w:spacing w:after="0"/>
            </w:pPr>
            <w:r>
              <w:rPr>
                <w:b/>
                <w:bCs/>
                <w:sz w:val="18"/>
                <w:szCs w:val="18"/>
              </w:rPr>
              <w:t xml:space="preserve">L1</w:t>
            </w:r>
          </w:p>
        </w:tc>
        <w:tc>
          <w:tcPr>
            <w:tcW w:type="dxa" w:w="520"/>
            <w:shd w:fill="F2F2F2" w:color="auto" w:val="clear"/>
            <w:tcMar>
              <w:top w:type="dxa" w:w="80"/>
              <w:left w:type="dxa" w:w="120"/>
              <w:bottom w:type="dxa" w:w="80"/>
              <w:right w:type="dxa" w:w="120"/>
            </w:tcMar>
          </w:tcPr>
          <w:p>
            <w:pPr>
              <w:spacing w:after="0"/>
            </w:pPr>
            <w:r>
              <w:rPr>
                <w:b/>
                <w:bCs/>
                <w:sz w:val="18"/>
                <w:szCs w:val="18"/>
              </w:rPr>
              <w:t xml:space="preserve">L0</w:t>
            </w:r>
          </w:p>
        </w:tc>
        <w:tc>
          <w:tcPr>
            <w:tcW w:type="dxa" w:w="5820"/>
            <w:shd w:fill="F2F2F2" w:color="auto" w:val="clear"/>
            <w:tcMar>
              <w:top w:type="dxa" w:w="80"/>
              <w:left w:type="dxa" w:w="120"/>
              <w:bottom w:type="dxa" w:w="80"/>
              <w:right w:type="dxa" w:w="120"/>
            </w:tcMar>
          </w:tcPr>
          <w:p>
            <w:pPr>
              <w:spacing w:after="0"/>
            </w:pPr>
            <w:r>
              <w:rPr>
                <w:b/>
                <w:bCs/>
                <w:sz w:val="18"/>
                <w:szCs w:val="18"/>
              </w:rPr>
              <w:t xml:space="preserve">Level 1 detail</w:t>
            </w:r>
          </w:p>
        </w:tc>
      </w:tr>
      <w:tr>
        <w:trPr>
          <w:tblHeader w:val="false"/>
        </w:trPr>
        <w:tc>
          <w:tcPr>
            <w:tcW w:type="dxa" w:w="2500"/>
            <w:tcMar>
              <w:top w:type="dxa" w:w="80"/>
              <w:left w:type="dxa" w:w="120"/>
              <w:bottom w:type="dxa" w:w="80"/>
              <w:right w:type="dxa" w:w="120"/>
            </w:tcMar>
          </w:tcPr>
          <w:p>
            <w:pPr>
              <w:spacing w:after="0"/>
            </w:pPr>
            <w:r>
              <w:rPr>
                <w:b w:val="false"/>
                <w:bCs w:val="false"/>
                <w:sz w:val="18"/>
                <w:szCs w:val="18"/>
              </w:rPr>
              <w:t xml:space="preserve">Admin → system</w:t>
            </w:r>
          </w:p>
        </w:tc>
        <w:tc>
          <w:tcPr>
            <w:tcW w:type="dxa" w:w="520"/>
            <w:tcMar>
              <w:top w:type="dxa" w:w="80"/>
              <w:left w:type="dxa" w:w="120"/>
              <w:bottom w:type="dxa" w:w="80"/>
              <w:right w:type="dxa" w:w="120"/>
            </w:tcMar>
          </w:tcPr>
          <w:p>
            <w:pPr>
              <w:spacing w:after="0"/>
            </w:pPr>
            <w:r>
              <w:rPr>
                <w:b w:val="false"/>
                <w:bCs w:val="false"/>
                <w:sz w:val="18"/>
                <w:szCs w:val="18"/>
              </w:rPr>
              <w:t xml:space="preserve">5</w:t>
            </w:r>
          </w:p>
        </w:tc>
        <w:tc>
          <w:tcPr>
            <w:tcW w:type="dxa" w:w="520"/>
            <w:tcMar>
              <w:top w:type="dxa" w:w="80"/>
              <w:left w:type="dxa" w:w="120"/>
              <w:bottom w:type="dxa" w:w="80"/>
              <w:right w:type="dxa" w:w="120"/>
            </w:tcMar>
          </w:tcPr>
          <w:p>
            <w:pPr>
              <w:spacing w:after="0"/>
            </w:pPr>
            <w:r>
              <w:rPr>
                <w:b w:val="false"/>
                <w:bCs w:val="false"/>
                <w:sz w:val="18"/>
                <w:szCs w:val="18"/>
              </w:rPr>
              <w:t xml:space="preserve">1</w:t>
            </w:r>
          </w:p>
        </w:tc>
        <w:tc>
          <w:tcPr>
            <w:tcW w:type="dxa" w:w="5820"/>
            <w:tcMar>
              <w:top w:type="dxa" w:w="80"/>
              <w:left w:type="dxa" w:w="120"/>
              <w:bottom w:type="dxa" w:w="80"/>
              <w:right w:type="dxa" w:w="120"/>
            </w:tcMar>
          </w:tcPr>
          <w:p>
            <w:pPr>
              <w:spacing w:after="0"/>
            </w:pPr>
            <w:r>
              <w:rPr>
                <w:b w:val="false"/>
                <w:bCs w:val="false"/>
                <w:sz w:val="18"/>
                <w:szCs w:val="18"/>
              </w:rPr>
              <w:t xml:space="preserve">sign-in · approve/reject registration · issue/revoke install key · threshold rule edits · gas-sensor label &amp; enable</w:t>
            </w:r>
          </w:p>
        </w:tc>
      </w:tr>
      <w:tr>
        <w:trPr>
          <w:tblHeader w:val="false"/>
        </w:trPr>
        <w:tc>
          <w:tcPr>
            <w:tcW w:type="dxa" w:w="2500"/>
            <w:tcMar>
              <w:top w:type="dxa" w:w="80"/>
              <w:left w:type="dxa" w:w="120"/>
              <w:bottom w:type="dxa" w:w="80"/>
              <w:right w:type="dxa" w:w="120"/>
            </w:tcMar>
          </w:tcPr>
          <w:p>
            <w:pPr>
              <w:spacing w:after="0"/>
            </w:pPr>
            <w:r>
              <w:rPr>
                <w:b w:val="false"/>
                <w:bCs w:val="false"/>
                <w:sz w:val="18"/>
                <w:szCs w:val="18"/>
              </w:rPr>
              <w:t xml:space="preserve">system → Admin</w:t>
            </w:r>
          </w:p>
        </w:tc>
        <w:tc>
          <w:tcPr>
            <w:tcW w:type="dxa" w:w="520"/>
            <w:tcMar>
              <w:top w:type="dxa" w:w="80"/>
              <w:left w:type="dxa" w:w="120"/>
              <w:bottom w:type="dxa" w:w="80"/>
              <w:right w:type="dxa" w:w="120"/>
            </w:tcMar>
          </w:tcPr>
          <w:p>
            <w:pPr>
              <w:spacing w:after="0"/>
            </w:pPr>
            <w:r>
              <w:rPr>
                <w:b w:val="false"/>
                <w:bCs w:val="false"/>
                <w:sz w:val="18"/>
                <w:szCs w:val="18"/>
              </w:rPr>
              <w:t xml:space="preserve">1</w:t>
            </w:r>
          </w:p>
        </w:tc>
        <w:tc>
          <w:tcPr>
            <w:tcW w:type="dxa" w:w="520"/>
            <w:tcMar>
              <w:top w:type="dxa" w:w="80"/>
              <w:left w:type="dxa" w:w="120"/>
              <w:bottom w:type="dxa" w:w="80"/>
              <w:right w:type="dxa" w:w="120"/>
            </w:tcMar>
          </w:tcPr>
          <w:p>
            <w:pPr>
              <w:spacing w:after="0"/>
            </w:pPr>
            <w:r>
              <w:rPr>
                <w:b w:val="false"/>
                <w:bCs w:val="false"/>
                <w:sz w:val="18"/>
                <w:szCs w:val="18"/>
              </w:rPr>
              <w:t xml:space="preserve">1</w:t>
            </w:r>
          </w:p>
        </w:tc>
        <w:tc>
          <w:tcPr>
            <w:tcW w:type="dxa" w:w="5820"/>
            <w:tcMar>
              <w:top w:type="dxa" w:w="80"/>
              <w:left w:type="dxa" w:w="120"/>
              <w:bottom w:type="dxa" w:w="80"/>
              <w:right w:type="dxa" w:w="120"/>
            </w:tcMar>
          </w:tcPr>
          <w:p>
            <w:pPr>
              <w:spacing w:after="0"/>
            </w:pPr>
            <w:r>
              <w:rPr>
                <w:b w:val="false"/>
                <w:bCs w:val="false"/>
                <w:sz w:val="18"/>
                <w:szCs w:val="18"/>
              </w:rPr>
              <w:t xml:space="preserve">session &amp; role</w:t>
            </w:r>
          </w:p>
        </w:tc>
      </w:tr>
      <w:tr>
        <w:trPr>
          <w:tblHeader w:val="false"/>
        </w:trPr>
        <w:tc>
          <w:tcPr>
            <w:tcW w:type="dxa" w:w="2500"/>
            <w:tcMar>
              <w:top w:type="dxa" w:w="80"/>
              <w:left w:type="dxa" w:w="120"/>
              <w:bottom w:type="dxa" w:w="80"/>
              <w:right w:type="dxa" w:w="120"/>
            </w:tcMar>
          </w:tcPr>
          <w:p>
            <w:pPr>
              <w:spacing w:after="0"/>
            </w:pPr>
            <w:r>
              <w:rPr>
                <w:b w:val="false"/>
                <w:bCs w:val="false"/>
                <w:sz w:val="18"/>
                <w:szCs w:val="18"/>
              </w:rPr>
              <w:t xml:space="preserve">IT Staff → system</w:t>
            </w:r>
          </w:p>
        </w:tc>
        <w:tc>
          <w:tcPr>
            <w:tcW w:type="dxa" w:w="520"/>
            <w:tcMar>
              <w:top w:type="dxa" w:w="80"/>
              <w:left w:type="dxa" w:w="120"/>
              <w:bottom w:type="dxa" w:w="80"/>
              <w:right w:type="dxa" w:w="120"/>
            </w:tcMar>
          </w:tcPr>
          <w:p>
            <w:pPr>
              <w:spacing w:after="0"/>
            </w:pPr>
            <w:r>
              <w:rPr>
                <w:b w:val="false"/>
                <w:bCs w:val="false"/>
                <w:sz w:val="18"/>
                <w:szCs w:val="18"/>
              </w:rPr>
              <w:t xml:space="preserve">4</w:t>
            </w:r>
          </w:p>
        </w:tc>
        <w:tc>
          <w:tcPr>
            <w:tcW w:type="dxa" w:w="520"/>
            <w:tcMar>
              <w:top w:type="dxa" w:w="80"/>
              <w:left w:type="dxa" w:w="120"/>
              <w:bottom w:type="dxa" w:w="80"/>
              <w:right w:type="dxa" w:w="120"/>
            </w:tcMar>
          </w:tcPr>
          <w:p>
            <w:pPr>
              <w:spacing w:after="0"/>
            </w:pPr>
            <w:r>
              <w:rPr>
                <w:b w:val="false"/>
                <w:bCs w:val="false"/>
                <w:sz w:val="18"/>
                <w:szCs w:val="18"/>
              </w:rPr>
              <w:t xml:space="preserve">1</w:t>
            </w:r>
          </w:p>
        </w:tc>
        <w:tc>
          <w:tcPr>
            <w:tcW w:type="dxa" w:w="5820"/>
            <w:tcMar>
              <w:top w:type="dxa" w:w="80"/>
              <w:left w:type="dxa" w:w="120"/>
              <w:bottom w:type="dxa" w:w="80"/>
              <w:right w:type="dxa" w:w="120"/>
            </w:tcMar>
          </w:tcPr>
          <w:p>
            <w:pPr>
              <w:spacing w:after="0"/>
            </w:pPr>
            <w:r>
              <w:rPr>
                <w:b w:val="false"/>
                <w:bCs w:val="false"/>
                <w:sz w:val="18"/>
                <w:szCs w:val="18"/>
              </w:rPr>
              <w:t xml:space="preserve">sign-in · acknowledge/resolve · manual on/off · report request</w:t>
            </w:r>
          </w:p>
        </w:tc>
      </w:tr>
      <w:tr>
        <w:trPr>
          <w:tblHeader w:val="false"/>
        </w:trPr>
        <w:tc>
          <w:tcPr>
            <w:tcW w:type="dxa" w:w="2500"/>
            <w:tcMar>
              <w:top w:type="dxa" w:w="80"/>
              <w:left w:type="dxa" w:w="120"/>
              <w:bottom w:type="dxa" w:w="80"/>
              <w:right w:type="dxa" w:w="120"/>
            </w:tcMar>
          </w:tcPr>
          <w:p>
            <w:pPr>
              <w:spacing w:after="0"/>
            </w:pPr>
            <w:r>
              <w:rPr>
                <w:b w:val="false"/>
                <w:bCs w:val="false"/>
                <w:sz w:val="18"/>
                <w:szCs w:val="18"/>
              </w:rPr>
              <w:t xml:space="preserve">system → IT Staff</w:t>
            </w:r>
          </w:p>
        </w:tc>
        <w:tc>
          <w:tcPr>
            <w:tcW w:type="dxa" w:w="520"/>
            <w:tcMar>
              <w:top w:type="dxa" w:w="80"/>
              <w:left w:type="dxa" w:w="120"/>
              <w:bottom w:type="dxa" w:w="80"/>
              <w:right w:type="dxa" w:w="120"/>
            </w:tcMar>
          </w:tcPr>
          <w:p>
            <w:pPr>
              <w:spacing w:after="0"/>
            </w:pPr>
            <w:r>
              <w:rPr>
                <w:b w:val="false"/>
                <w:bCs w:val="false"/>
                <w:sz w:val="18"/>
                <w:szCs w:val="18"/>
              </w:rPr>
              <w:t xml:space="preserve">5</w:t>
            </w:r>
          </w:p>
        </w:tc>
        <w:tc>
          <w:tcPr>
            <w:tcW w:type="dxa" w:w="520"/>
            <w:tcMar>
              <w:top w:type="dxa" w:w="80"/>
              <w:left w:type="dxa" w:w="120"/>
              <w:bottom w:type="dxa" w:w="80"/>
              <w:right w:type="dxa" w:w="120"/>
            </w:tcMar>
          </w:tcPr>
          <w:p>
            <w:pPr>
              <w:spacing w:after="0"/>
            </w:pPr>
            <w:r>
              <w:rPr>
                <w:b w:val="false"/>
                <w:bCs w:val="false"/>
                <w:sz w:val="18"/>
                <w:szCs w:val="18"/>
              </w:rPr>
              <w:t xml:space="preserve">1</w:t>
            </w:r>
          </w:p>
        </w:tc>
        <w:tc>
          <w:tcPr>
            <w:tcW w:type="dxa" w:w="5820"/>
            <w:tcMar>
              <w:top w:type="dxa" w:w="80"/>
              <w:left w:type="dxa" w:w="120"/>
              <w:bottom w:type="dxa" w:w="80"/>
              <w:right w:type="dxa" w:w="120"/>
            </w:tcMar>
          </w:tcPr>
          <w:p>
            <w:pPr>
              <w:spacing w:after="0"/>
            </w:pPr>
            <w:r>
              <w:rPr>
                <w:b w:val="false"/>
                <w:bCs w:val="false"/>
                <w:sz w:val="18"/>
                <w:szCs w:val="18"/>
              </w:rPr>
              <w:t xml:space="preserve">session &amp; role · live metrics, sensor readings &amp; labels · alert notification · report file · forecast, anomaly &amp; recommendation</w:t>
            </w:r>
          </w:p>
        </w:tc>
      </w:tr>
      <w:tr>
        <w:trPr>
          <w:tblHeader w:val="false"/>
        </w:trPr>
        <w:tc>
          <w:tcPr>
            <w:tcW w:type="dxa" w:w="2500"/>
            <w:tcMar>
              <w:top w:type="dxa" w:w="80"/>
              <w:left w:type="dxa" w:w="120"/>
              <w:bottom w:type="dxa" w:w="80"/>
              <w:right w:type="dxa" w:w="120"/>
            </w:tcMar>
          </w:tcPr>
          <w:p>
            <w:pPr>
              <w:spacing w:after="0"/>
            </w:pPr>
            <w:r>
              <w:rPr>
                <w:b w:val="false"/>
                <w:bCs w:val="false"/>
                <w:sz w:val="18"/>
                <w:szCs w:val="18"/>
              </w:rPr>
              <w:t xml:space="preserve">Server Room → system</w:t>
            </w:r>
          </w:p>
        </w:tc>
        <w:tc>
          <w:tcPr>
            <w:tcW w:type="dxa" w:w="520"/>
            <w:tcMar>
              <w:top w:type="dxa" w:w="80"/>
              <w:left w:type="dxa" w:w="120"/>
              <w:bottom w:type="dxa" w:w="80"/>
              <w:right w:type="dxa" w:w="120"/>
            </w:tcMar>
          </w:tcPr>
          <w:p>
            <w:pPr>
              <w:spacing w:after="0"/>
            </w:pPr>
            <w:r>
              <w:rPr>
                <w:b w:val="false"/>
                <w:bCs w:val="false"/>
                <w:sz w:val="18"/>
                <w:szCs w:val="18"/>
              </w:rPr>
              <w:t xml:space="preserve">2</w:t>
            </w:r>
          </w:p>
        </w:tc>
        <w:tc>
          <w:tcPr>
            <w:tcW w:type="dxa" w:w="520"/>
            <w:tcMar>
              <w:top w:type="dxa" w:w="80"/>
              <w:left w:type="dxa" w:w="120"/>
              <w:bottom w:type="dxa" w:w="80"/>
              <w:right w:type="dxa" w:w="120"/>
            </w:tcMar>
          </w:tcPr>
          <w:p>
            <w:pPr>
              <w:spacing w:after="0"/>
            </w:pPr>
            <w:r>
              <w:rPr>
                <w:b w:val="false"/>
                <w:bCs w:val="false"/>
                <w:sz w:val="18"/>
                <w:szCs w:val="18"/>
              </w:rPr>
              <w:t xml:space="preserve">1</w:t>
            </w:r>
          </w:p>
        </w:tc>
        <w:tc>
          <w:tcPr>
            <w:tcW w:type="dxa" w:w="5820"/>
            <w:tcMar>
              <w:top w:type="dxa" w:w="80"/>
              <w:left w:type="dxa" w:w="120"/>
              <w:bottom w:type="dxa" w:w="80"/>
              <w:right w:type="dxa" w:w="120"/>
            </w:tcMar>
          </w:tcPr>
          <w:p>
            <w:pPr>
              <w:spacing w:after="0"/>
            </w:pPr>
            <w:r>
              <w:rPr>
                <w:b w:val="false"/>
                <w:bCs w:val="false"/>
                <w:sz w:val="18"/>
                <w:szCs w:val="18"/>
              </w:rPr>
              <w:t xml:space="preserve">temperature, humidity, gas · gas channel pin map</w:t>
            </w:r>
          </w:p>
        </w:tc>
      </w:tr>
      <w:tr>
        <w:trPr>
          <w:tblHeader w:val="false"/>
        </w:trPr>
        <w:tc>
          <w:tcPr>
            <w:tcW w:type="dxa" w:w="2500"/>
            <w:tcMar>
              <w:top w:type="dxa" w:w="80"/>
              <w:left w:type="dxa" w:w="120"/>
              <w:bottom w:type="dxa" w:w="80"/>
              <w:right w:type="dxa" w:w="120"/>
            </w:tcMar>
          </w:tcPr>
          <w:p>
            <w:pPr>
              <w:spacing w:after="0"/>
            </w:pPr>
            <w:r>
              <w:rPr>
                <w:b w:val="false"/>
                <w:bCs w:val="false"/>
                <w:sz w:val="18"/>
                <w:szCs w:val="18"/>
              </w:rPr>
              <w:t xml:space="preserve">system → Server Room</w:t>
            </w:r>
          </w:p>
        </w:tc>
        <w:tc>
          <w:tcPr>
            <w:tcW w:type="dxa" w:w="520"/>
            <w:tcMar>
              <w:top w:type="dxa" w:w="80"/>
              <w:left w:type="dxa" w:w="120"/>
              <w:bottom w:type="dxa" w:w="80"/>
              <w:right w:type="dxa" w:w="120"/>
            </w:tcMar>
          </w:tcPr>
          <w:p>
            <w:pPr>
              <w:spacing w:after="0"/>
            </w:pPr>
            <w:r>
              <w:rPr>
                <w:b w:val="false"/>
                <w:bCs w:val="false"/>
                <w:sz w:val="18"/>
                <w:szCs w:val="18"/>
              </w:rPr>
              <w:t xml:space="preserve">1</w:t>
            </w:r>
          </w:p>
        </w:tc>
        <w:tc>
          <w:tcPr>
            <w:tcW w:type="dxa" w:w="520"/>
            <w:tcMar>
              <w:top w:type="dxa" w:w="80"/>
              <w:left w:type="dxa" w:w="120"/>
              <w:bottom w:type="dxa" w:w="80"/>
              <w:right w:type="dxa" w:w="120"/>
            </w:tcMar>
          </w:tcPr>
          <w:p>
            <w:pPr>
              <w:spacing w:after="0"/>
            </w:pPr>
            <w:r>
              <w:rPr>
                <w:b w:val="false"/>
                <w:bCs w:val="false"/>
                <w:sz w:val="18"/>
                <w:szCs w:val="18"/>
              </w:rPr>
              <w:t xml:space="preserve">1</w:t>
            </w:r>
          </w:p>
        </w:tc>
        <w:tc>
          <w:tcPr>
            <w:tcW w:type="dxa" w:w="5820"/>
            <w:tcMar>
              <w:top w:type="dxa" w:w="80"/>
              <w:left w:type="dxa" w:w="120"/>
              <w:bottom w:type="dxa" w:w="80"/>
              <w:right w:type="dxa" w:w="120"/>
            </w:tcMar>
          </w:tcPr>
          <w:p>
            <w:pPr>
              <w:spacing w:after="0"/>
            </w:pPr>
            <w:r>
              <w:rPr>
                <w:b w:val="false"/>
                <w:bCs w:val="false"/>
                <w:sz w:val="18"/>
                <w:szCs w:val="18"/>
              </w:rPr>
              <w:t xml:space="preserve">gas channel configuration</w:t>
            </w:r>
          </w:p>
        </w:tc>
      </w:tr>
      <w:tr>
        <w:trPr>
          <w:tblHeader w:val="false"/>
        </w:trPr>
        <w:tc>
          <w:tcPr>
            <w:tcW w:type="dxa" w:w="2500"/>
            <w:tcMar>
              <w:top w:type="dxa" w:w="80"/>
              <w:left w:type="dxa" w:w="120"/>
              <w:bottom w:type="dxa" w:w="80"/>
              <w:right w:type="dxa" w:w="120"/>
            </w:tcMar>
          </w:tcPr>
          <w:p>
            <w:pPr>
              <w:spacing w:after="0"/>
            </w:pPr>
            <w:r>
              <w:rPr>
                <w:b w:val="false"/>
                <w:bCs w:val="false"/>
                <w:sz w:val="18"/>
                <w:szCs w:val="18"/>
              </w:rPr>
              <w:t xml:space="preserve">Monitored Server ↔ system</w:t>
            </w:r>
          </w:p>
        </w:tc>
        <w:tc>
          <w:tcPr>
            <w:tcW w:type="dxa" w:w="520"/>
            <w:tcMar>
              <w:top w:type="dxa" w:w="80"/>
              <w:left w:type="dxa" w:w="120"/>
              <w:bottom w:type="dxa" w:w="80"/>
              <w:right w:type="dxa" w:w="120"/>
            </w:tcMar>
          </w:tcPr>
          <w:p>
            <w:pPr>
              <w:spacing w:after="0"/>
            </w:pPr>
            <w:r>
              <w:rPr>
                <w:b w:val="false"/>
                <w:bCs w:val="false"/>
                <w:sz w:val="18"/>
                <w:szCs w:val="18"/>
              </w:rPr>
              <w:t xml:space="preserve">1 / 1</w:t>
            </w:r>
          </w:p>
        </w:tc>
        <w:tc>
          <w:tcPr>
            <w:tcW w:type="dxa" w:w="520"/>
            <w:tcMar>
              <w:top w:type="dxa" w:w="80"/>
              <w:left w:type="dxa" w:w="120"/>
              <w:bottom w:type="dxa" w:w="80"/>
              <w:right w:type="dxa" w:w="120"/>
            </w:tcMar>
          </w:tcPr>
          <w:p>
            <w:pPr>
              <w:spacing w:after="0"/>
            </w:pPr>
            <w:r>
              <w:rPr>
                <w:b w:val="false"/>
                <w:bCs w:val="false"/>
                <w:sz w:val="18"/>
                <w:szCs w:val="18"/>
              </w:rPr>
              <w:t xml:space="preserve">1 / 1</w:t>
            </w:r>
          </w:p>
        </w:tc>
        <w:tc>
          <w:tcPr>
            <w:tcW w:type="dxa" w:w="5820"/>
            <w:tcMar>
              <w:top w:type="dxa" w:w="80"/>
              <w:left w:type="dxa" w:w="120"/>
              <w:bottom w:type="dxa" w:w="80"/>
              <w:right w:type="dxa" w:w="120"/>
            </w:tcMar>
          </w:tcPr>
          <w:p>
            <w:pPr>
              <w:spacing w:after="0"/>
            </w:pPr>
            <w:r>
              <w:rPr>
                <w:b w:val="false"/>
                <w:bCs w:val="false"/>
                <w:sz w:val="18"/>
                <w:szCs w:val="18"/>
              </w:rPr>
              <w:t xml:space="preserve">CPU/memory/disk sample · agent token</w:t>
            </w:r>
          </w:p>
        </w:tc>
      </w:tr>
      <w:tr>
        <w:trPr>
          <w:tblHeader w:val="false"/>
        </w:trPr>
        <w:tc>
          <w:tcPr>
            <w:tcW w:type="dxa" w:w="2500"/>
            <w:tcMar>
              <w:top w:type="dxa" w:w="80"/>
              <w:left w:type="dxa" w:w="120"/>
              <w:bottom w:type="dxa" w:w="80"/>
              <w:right w:type="dxa" w:w="120"/>
            </w:tcMar>
          </w:tcPr>
          <w:p>
            <w:pPr>
              <w:spacing w:after="0"/>
            </w:pPr>
            <w:r>
              <w:rPr>
                <w:b w:val="false"/>
                <w:bCs w:val="false"/>
                <w:sz w:val="18"/>
                <w:szCs w:val="18"/>
              </w:rPr>
              <w:t xml:space="preserve">Router/MikroTik ↔ system</w:t>
            </w:r>
          </w:p>
        </w:tc>
        <w:tc>
          <w:tcPr>
            <w:tcW w:type="dxa" w:w="520"/>
            <w:tcMar>
              <w:top w:type="dxa" w:w="80"/>
              <w:left w:type="dxa" w:w="120"/>
              <w:bottom w:type="dxa" w:w="80"/>
              <w:right w:type="dxa" w:w="120"/>
            </w:tcMar>
          </w:tcPr>
          <w:p>
            <w:pPr>
              <w:spacing w:after="0"/>
            </w:pPr>
            <w:r>
              <w:rPr>
                <w:b w:val="false"/>
                <w:bCs w:val="false"/>
                <w:sz w:val="18"/>
                <w:szCs w:val="18"/>
              </w:rPr>
              <w:t xml:space="preserve">1 / 1</w:t>
            </w:r>
          </w:p>
        </w:tc>
        <w:tc>
          <w:tcPr>
            <w:tcW w:type="dxa" w:w="520"/>
            <w:tcMar>
              <w:top w:type="dxa" w:w="80"/>
              <w:left w:type="dxa" w:w="120"/>
              <w:bottom w:type="dxa" w:w="80"/>
              <w:right w:type="dxa" w:w="120"/>
            </w:tcMar>
          </w:tcPr>
          <w:p>
            <w:pPr>
              <w:spacing w:after="0"/>
            </w:pPr>
            <w:r>
              <w:rPr>
                <w:b w:val="false"/>
                <w:bCs w:val="false"/>
                <w:sz w:val="18"/>
                <w:szCs w:val="18"/>
              </w:rPr>
              <w:t xml:space="preserve">1 / 1</w:t>
            </w:r>
          </w:p>
        </w:tc>
        <w:tc>
          <w:tcPr>
            <w:tcW w:type="dxa" w:w="5820"/>
            <w:tcMar>
              <w:top w:type="dxa" w:w="80"/>
              <w:left w:type="dxa" w:w="120"/>
              <w:bottom w:type="dxa" w:w="80"/>
              <w:right w:type="dxa" w:w="120"/>
            </w:tcMar>
          </w:tcPr>
          <w:p>
            <w:pPr>
              <w:spacing w:after="0"/>
            </w:pPr>
            <w:r>
              <w:rPr>
                <w:b w:val="false"/>
                <w:bCs w:val="false"/>
                <w:sz w:val="18"/>
                <w:szCs w:val="18"/>
              </w:rPr>
              <w:t xml:space="preserve">traffic &amp; link state · SNMP/RouterOS query</w:t>
            </w:r>
          </w:p>
        </w:tc>
      </w:tr>
      <w:tr>
        <w:trPr>
          <w:tblHeader w:val="false"/>
        </w:trPr>
        <w:tc>
          <w:tcPr>
            <w:tcW w:type="dxa" w:w="2500"/>
            <w:tcMar>
              <w:top w:type="dxa" w:w="80"/>
              <w:left w:type="dxa" w:w="120"/>
              <w:bottom w:type="dxa" w:w="80"/>
              <w:right w:type="dxa" w:w="120"/>
            </w:tcMar>
          </w:tcPr>
          <w:p>
            <w:pPr>
              <w:spacing w:after="0"/>
            </w:pPr>
            <w:r>
              <w:rPr>
                <w:b w:val="false"/>
                <w:bCs w:val="false"/>
                <w:sz w:val="18"/>
                <w:szCs w:val="18"/>
              </w:rPr>
              <w:t xml:space="preserve">UPS Unit ↔ system</w:t>
            </w:r>
          </w:p>
        </w:tc>
        <w:tc>
          <w:tcPr>
            <w:tcW w:type="dxa" w:w="520"/>
            <w:tcMar>
              <w:top w:type="dxa" w:w="80"/>
              <w:left w:type="dxa" w:w="120"/>
              <w:bottom w:type="dxa" w:w="80"/>
              <w:right w:type="dxa" w:w="120"/>
            </w:tcMar>
          </w:tcPr>
          <w:p>
            <w:pPr>
              <w:spacing w:after="0"/>
            </w:pPr>
            <w:r>
              <w:rPr>
                <w:b w:val="false"/>
                <w:bCs w:val="false"/>
                <w:sz w:val="18"/>
                <w:szCs w:val="18"/>
              </w:rPr>
              <w:t xml:space="preserve">1 / 1</w:t>
            </w:r>
          </w:p>
        </w:tc>
        <w:tc>
          <w:tcPr>
            <w:tcW w:type="dxa" w:w="520"/>
            <w:tcMar>
              <w:top w:type="dxa" w:w="80"/>
              <w:left w:type="dxa" w:w="120"/>
              <w:bottom w:type="dxa" w:w="80"/>
              <w:right w:type="dxa" w:w="120"/>
            </w:tcMar>
          </w:tcPr>
          <w:p>
            <w:pPr>
              <w:spacing w:after="0"/>
            </w:pPr>
            <w:r>
              <w:rPr>
                <w:b w:val="false"/>
                <w:bCs w:val="false"/>
                <w:sz w:val="18"/>
                <w:szCs w:val="18"/>
              </w:rPr>
              <w:t xml:space="preserve">1 / 1</w:t>
            </w:r>
          </w:p>
        </w:tc>
        <w:tc>
          <w:tcPr>
            <w:tcW w:type="dxa" w:w="5820"/>
            <w:tcMar>
              <w:top w:type="dxa" w:w="80"/>
              <w:left w:type="dxa" w:w="120"/>
              <w:bottom w:type="dxa" w:w="80"/>
              <w:right w:type="dxa" w:w="120"/>
            </w:tcMar>
          </w:tcPr>
          <w:p>
            <w:pPr>
              <w:spacing w:after="0"/>
            </w:pPr>
            <w:r>
              <w:rPr>
                <w:b w:val="false"/>
                <w:bCs w:val="false"/>
                <w:sz w:val="18"/>
                <w:szCs w:val="18"/>
              </w:rPr>
              <w:t xml:space="preserve">battery, load &amp; runtime · SNMP query</w:t>
            </w:r>
          </w:p>
        </w:tc>
      </w:tr>
      <w:tr>
        <w:trPr>
          <w:tblHeader w:val="false"/>
        </w:trPr>
        <w:tc>
          <w:tcPr>
            <w:tcW w:type="dxa" w:w="2500"/>
            <w:tcMar>
              <w:top w:type="dxa" w:w="80"/>
              <w:left w:type="dxa" w:w="120"/>
              <w:bottom w:type="dxa" w:w="80"/>
              <w:right w:type="dxa" w:w="120"/>
            </w:tcMar>
          </w:tcPr>
          <w:p>
            <w:pPr>
              <w:spacing w:after="0"/>
            </w:pPr>
            <w:r>
              <w:rPr>
                <w:b w:val="false"/>
                <w:bCs w:val="false"/>
                <w:sz w:val="18"/>
                <w:szCs w:val="18"/>
              </w:rPr>
              <w:t xml:space="preserve">system → Air Conditioner</w:t>
            </w:r>
          </w:p>
        </w:tc>
        <w:tc>
          <w:tcPr>
            <w:tcW w:type="dxa" w:w="520"/>
            <w:tcMar>
              <w:top w:type="dxa" w:w="80"/>
              <w:left w:type="dxa" w:w="120"/>
              <w:bottom w:type="dxa" w:w="80"/>
              <w:right w:type="dxa" w:w="120"/>
            </w:tcMar>
          </w:tcPr>
          <w:p>
            <w:pPr>
              <w:spacing w:after="0"/>
            </w:pPr>
            <w:r>
              <w:rPr>
                <w:b w:val="false"/>
                <w:bCs w:val="false"/>
                <w:sz w:val="18"/>
                <w:szCs w:val="18"/>
              </w:rPr>
              <w:t xml:space="preserve">1</w:t>
            </w:r>
          </w:p>
        </w:tc>
        <w:tc>
          <w:tcPr>
            <w:tcW w:type="dxa" w:w="520"/>
            <w:tcMar>
              <w:top w:type="dxa" w:w="80"/>
              <w:left w:type="dxa" w:w="120"/>
              <w:bottom w:type="dxa" w:w="80"/>
              <w:right w:type="dxa" w:w="120"/>
            </w:tcMar>
          </w:tcPr>
          <w:p>
            <w:pPr>
              <w:spacing w:after="0"/>
            </w:pPr>
            <w:r>
              <w:rPr>
                <w:b w:val="false"/>
                <w:bCs w:val="false"/>
                <w:sz w:val="18"/>
                <w:szCs w:val="18"/>
              </w:rPr>
              <w:t xml:space="preserve">1</w:t>
            </w:r>
          </w:p>
        </w:tc>
        <w:tc>
          <w:tcPr>
            <w:tcW w:type="dxa" w:w="5820"/>
            <w:tcMar>
              <w:top w:type="dxa" w:w="80"/>
              <w:left w:type="dxa" w:w="120"/>
              <w:bottom w:type="dxa" w:w="80"/>
              <w:right w:type="dxa" w:w="120"/>
            </w:tcMar>
          </w:tcPr>
          <w:p>
            <w:pPr>
              <w:spacing w:after="0"/>
            </w:pPr>
            <w:r>
              <w:rPr>
                <w:b w:val="false"/>
                <w:bCs w:val="false"/>
                <w:sz w:val="18"/>
                <w:szCs w:val="18"/>
              </w:rPr>
              <w:t xml:space="preserve">IR command</w:t>
            </w:r>
          </w:p>
        </w:tc>
      </w:tr>
      <w:tr>
        <w:trPr>
          <w:tblHeader w:val="false"/>
        </w:trPr>
        <w:tc>
          <w:tcPr>
            <w:tcW w:type="dxa" w:w="2500"/>
            <w:tcMar>
              <w:top w:type="dxa" w:w="80"/>
              <w:left w:type="dxa" w:w="120"/>
              <w:bottom w:type="dxa" w:w="80"/>
              <w:right w:type="dxa" w:w="120"/>
            </w:tcMar>
          </w:tcPr>
          <w:p>
            <w:pPr>
              <w:spacing w:after="0"/>
            </w:pPr>
            <w:r>
              <w:rPr>
                <w:b w:val="false"/>
                <w:bCs w:val="false"/>
                <w:sz w:val="18"/>
                <w:szCs w:val="18"/>
              </w:rPr>
              <w:t xml:space="preserve">Google Workspace ↔ system</w:t>
            </w:r>
          </w:p>
        </w:tc>
        <w:tc>
          <w:tcPr>
            <w:tcW w:type="dxa" w:w="520"/>
            <w:tcMar>
              <w:top w:type="dxa" w:w="80"/>
              <w:left w:type="dxa" w:w="120"/>
              <w:bottom w:type="dxa" w:w="80"/>
              <w:right w:type="dxa" w:w="120"/>
            </w:tcMar>
          </w:tcPr>
          <w:p>
            <w:pPr>
              <w:spacing w:after="0"/>
            </w:pPr>
            <w:r>
              <w:rPr>
                <w:b w:val="false"/>
                <w:bCs w:val="false"/>
                <w:sz w:val="18"/>
                <w:szCs w:val="18"/>
              </w:rPr>
              <w:t xml:space="preserve">1 / 1</w:t>
            </w:r>
          </w:p>
        </w:tc>
        <w:tc>
          <w:tcPr>
            <w:tcW w:type="dxa" w:w="520"/>
            <w:tcMar>
              <w:top w:type="dxa" w:w="80"/>
              <w:left w:type="dxa" w:w="120"/>
              <w:bottom w:type="dxa" w:w="80"/>
              <w:right w:type="dxa" w:w="120"/>
            </w:tcMar>
          </w:tcPr>
          <w:p>
            <w:pPr>
              <w:spacing w:after="0"/>
            </w:pPr>
            <w:r>
              <w:rPr>
                <w:b w:val="false"/>
                <w:bCs w:val="false"/>
                <w:sz w:val="18"/>
                <w:szCs w:val="18"/>
              </w:rPr>
              <w:t xml:space="preserve">1 / 1</w:t>
            </w:r>
          </w:p>
        </w:tc>
        <w:tc>
          <w:tcPr>
            <w:tcW w:type="dxa" w:w="5820"/>
            <w:tcMar>
              <w:top w:type="dxa" w:w="80"/>
              <w:left w:type="dxa" w:w="120"/>
              <w:bottom w:type="dxa" w:w="80"/>
              <w:right w:type="dxa" w:w="120"/>
            </w:tcMar>
          </w:tcPr>
          <w:p>
            <w:pPr>
              <w:spacing w:after="0"/>
            </w:pPr>
            <w:r>
              <w:rPr>
                <w:b w:val="false"/>
                <w:bCs w:val="false"/>
                <w:sz w:val="18"/>
                <w:szCs w:val="18"/>
              </w:rPr>
              <w:t xml:space="preserve">verified identity · authorisation code</w:t>
            </w:r>
          </w:p>
        </w:tc>
      </w:tr>
      <w:tr>
        <w:trPr>
          <w:tblHeader w:val="false"/>
        </w:trPr>
        <w:tc>
          <w:tcPr>
            <w:tcW w:type="dxa" w:w="2500"/>
            <w:tcMar>
              <w:top w:type="dxa" w:w="80"/>
              <w:left w:type="dxa" w:w="120"/>
              <w:bottom w:type="dxa" w:w="80"/>
              <w:right w:type="dxa" w:w="120"/>
            </w:tcMar>
          </w:tcPr>
          <w:p>
            <w:pPr>
              <w:spacing w:after="0"/>
            </w:pPr>
            <w:r>
              <w:rPr>
                <w:b w:val="false"/>
                <w:bCs w:val="false"/>
                <w:sz w:val="18"/>
                <w:szCs w:val="18"/>
              </w:rPr>
              <w:t xml:space="preserve">system → Email Recipient</w:t>
            </w:r>
          </w:p>
        </w:tc>
        <w:tc>
          <w:tcPr>
            <w:tcW w:type="dxa" w:w="520"/>
            <w:tcMar>
              <w:top w:type="dxa" w:w="80"/>
              <w:left w:type="dxa" w:w="120"/>
              <w:bottom w:type="dxa" w:w="80"/>
              <w:right w:type="dxa" w:w="120"/>
            </w:tcMar>
          </w:tcPr>
          <w:p>
            <w:pPr>
              <w:spacing w:after="0"/>
            </w:pPr>
            <w:r>
              <w:rPr>
                <w:b w:val="false"/>
                <w:bCs w:val="false"/>
                <w:sz w:val="18"/>
                <w:szCs w:val="18"/>
              </w:rPr>
              <w:t xml:space="preserve">2</w:t>
            </w:r>
          </w:p>
        </w:tc>
        <w:tc>
          <w:tcPr>
            <w:tcW w:type="dxa" w:w="520"/>
            <w:tcMar>
              <w:top w:type="dxa" w:w="80"/>
              <w:left w:type="dxa" w:w="120"/>
              <w:bottom w:type="dxa" w:w="80"/>
              <w:right w:type="dxa" w:w="120"/>
            </w:tcMar>
          </w:tcPr>
          <w:p>
            <w:pPr>
              <w:spacing w:after="0"/>
            </w:pPr>
            <w:r>
              <w:rPr>
                <w:b w:val="false"/>
                <w:bCs w:val="false"/>
                <w:sz w:val="18"/>
                <w:szCs w:val="18"/>
              </w:rPr>
              <w:t xml:space="preserve">1</w:t>
            </w:r>
          </w:p>
        </w:tc>
        <w:tc>
          <w:tcPr>
            <w:tcW w:type="dxa" w:w="5820"/>
            <w:tcMar>
              <w:top w:type="dxa" w:w="80"/>
              <w:left w:type="dxa" w:w="120"/>
              <w:bottom w:type="dxa" w:w="80"/>
              <w:right w:type="dxa" w:w="120"/>
            </w:tcMar>
          </w:tcPr>
          <w:p>
            <w:pPr>
              <w:spacing w:after="0"/>
            </w:pPr>
            <w:r>
              <w:rPr>
                <w:b w:val="false"/>
                <w:bCs w:val="false"/>
                <w:sz w:val="18"/>
                <w:szCs w:val="18"/>
              </w:rPr>
              <w:t xml:space="preserve">alert e-mail · report e-mail + PDF</w:t>
            </w:r>
          </w:p>
        </w:tc>
      </w:tr>
    </w:tbl>
    <w:p>
      <w:pPr>
        <w:spacing w:after="120" w:line="276"/>
      </w:pPr>
      <w:r>
        <w:rPr>
          <w:sz w:val="20"/>
          <w:szCs w:val="20"/>
        </w:rPr>
        <w:t xml:space="preserve"/>
      </w:r>
    </w:p>
    <w:p>
      <w:pPr>
        <w:spacing w:after="120" w:line="276"/>
      </w:pPr>
      <w:r>
        <w:rPr>
          <w:b/>
          <w:bCs/>
          <w:sz w:val="20"/>
          <w:szCs w:val="20"/>
        </w:rPr>
        <w:t xml:space="preserve">Why the counts differ and it is still balanced. </w:t>
      </w:r>
      <w:r>
        <w:rPr>
          <w:sz w:val="20"/>
          <w:szCs w:val="20"/>
        </w:rPr>
        <w:t xml:space="preserve">Level 0 has one process, so four separate IT Staff inputs would be four arrows into the same box, saying nothing a single arrow does not. They are bundled into one composite arrow whose label lists them — which is why f03 reads “sign-in, acknowledgements, AC control &amp; report requests”. Level 1 splits the process into six, so each item finally has a distinct process to land on. Data stores and process-to-process flows never appear at Level 0 because they do not cross the system boundary.</w:t>
      </w:r>
    </w:p>
    <w:p>
      <w:pPr>
        <w:spacing w:after="120" w:line="276"/>
      </w:pPr>
      <w:r>
        <w:rPr>
          <w:b/>
          <w:bCs/>
          <w:sz w:val="20"/>
          <w:szCs w:val="20"/>
        </w:rPr>
        <w:t xml:space="preserve">Maintaining it. </w:t>
      </w:r>
      <w:r>
        <w:rPr>
          <w:sz w:val="20"/>
          <w:szCs w:val="20"/>
        </w:rPr>
        <w:t xml:space="preserve">A feature that adds a flow crossing the system boundary changes both files. A flow that only touches a data store changes Level 1 alone. The legend note inside each .drawio states its own counts — update them, or the diagrams assert a balance they no longer have.</w:t>
      </w:r>
    </w:p>
    <w:p>
      <w:pPr>
        <w:pStyle w:val="Heading1"/>
        <w:spacing w:after="140" w:before="280"/>
      </w:pPr>
      <w:r>
        <w:t xml:space="preserve">Exporting to PDF</w:t>
      </w:r>
    </w:p>
    <w:p>
      <w:pPr>
        <w:spacing w:after="120" w:line="276"/>
      </w:pPr>
      <w:r>
        <w:rPr>
          <w:sz w:val="20"/>
          <w:szCs w:val="20"/>
        </w:rPr>
        <w:t xml:space="preserve">File → Export as → PDF, 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shd w:fill="F2F2F2" w:color="auto" w:val="clear"/>
            <w:tcMar>
              <w:top w:type="dxa" w:w="80"/>
              <w:left w:type="dxa" w:w="120"/>
              <w:bottom w:type="dxa" w:w="80"/>
              <w:right w:type="dxa" w:w="120"/>
            </w:tcMar>
          </w:tcPr>
          <w:p>
            <w:pPr>
              <w:spacing w:after="0"/>
            </w:pPr>
            <w:r>
              <w:rPr>
                <w:b/>
                <w:bCs/>
                <w:sz w:val="18"/>
                <w:szCs w:val="18"/>
              </w:rPr>
              <w:t xml:space="preserve">Setting</w:t>
            </w:r>
          </w:p>
        </w:tc>
        <w:tc>
          <w:tcPr>
            <w:tcW w:type="dxa" w:w="1500"/>
            <w:shd w:fill="F2F2F2" w:color="auto" w:val="clear"/>
            <w:tcMar>
              <w:top w:type="dxa" w:w="80"/>
              <w:left w:type="dxa" w:w="120"/>
              <w:bottom w:type="dxa" w:w="80"/>
              <w:right w:type="dxa" w:w="120"/>
            </w:tcMar>
          </w:tcPr>
          <w:p>
            <w:pPr>
              <w:spacing w:after="0"/>
            </w:pPr>
            <w:r>
              <w:rPr>
                <w:b/>
                <w:bCs/>
                <w:sz w:val="18"/>
                <w:szCs w:val="18"/>
              </w:rPr>
              <w:t xml:space="preserve">Value</w:t>
            </w:r>
          </w:p>
        </w:tc>
        <w:tc>
          <w:tcPr>
            <w:tcW w:type="dxa" w:w="5260"/>
            <w:shd w:fill="F2F2F2" w:color="auto" w:val="clear"/>
            <w:tcMar>
              <w:top w:type="dxa" w:w="80"/>
              <w:left w:type="dxa" w:w="120"/>
              <w:bottom w:type="dxa" w:w="80"/>
              <w:right w:type="dxa" w:w="120"/>
            </w:tcMar>
          </w:tcPr>
          <w:p>
            <w:pPr>
              <w:spacing w:after="0"/>
            </w:pPr>
            <w:r>
              <w:rPr>
                <w:b/>
                <w:bCs/>
                <w:sz w:val="18"/>
                <w:szCs w:val="18"/>
              </w:rPr>
              <w:t xml:space="preserve">Why</w:t>
            </w:r>
          </w:p>
        </w:tc>
      </w:tr>
      <w:tr>
        <w:trPr>
          <w:tblHeader w:val="false"/>
        </w:trPr>
        <w:tc>
          <w:tcPr>
            <w:tcW w:type="dxa" w:w="2600"/>
            <w:tcMar>
              <w:top w:type="dxa" w:w="80"/>
              <w:left w:type="dxa" w:w="120"/>
              <w:bottom w:type="dxa" w:w="80"/>
              <w:right w:type="dxa" w:w="120"/>
            </w:tcMar>
          </w:tcPr>
          <w:p>
            <w:pPr>
              <w:spacing w:after="0"/>
            </w:pPr>
            <w:r>
              <w:rPr>
                <w:b w:val="false"/>
                <w:bCs w:val="false"/>
                <w:sz w:val="18"/>
                <w:szCs w:val="18"/>
              </w:rPr>
              <w:t xml:space="preserve">Zoom</w:t>
            </w:r>
          </w:p>
        </w:tc>
        <w:tc>
          <w:tcPr>
            <w:tcW w:type="dxa" w:w="1500"/>
            <w:tcMar>
              <w:top w:type="dxa" w:w="80"/>
              <w:left w:type="dxa" w:w="120"/>
              <w:bottom w:type="dxa" w:w="80"/>
              <w:right w:type="dxa" w:w="120"/>
            </w:tcMar>
          </w:tcPr>
          <w:p>
            <w:pPr>
              <w:spacing w:after="0"/>
            </w:pPr>
            <w:r>
              <w:rPr>
                <w:b w:val="false"/>
                <w:bCs w:val="false"/>
                <w:sz w:val="18"/>
                <w:szCs w:val="18"/>
              </w:rPr>
              <w:t xml:space="preserve">100%</w:t>
            </w:r>
          </w:p>
        </w:tc>
        <w:tc>
          <w:tcPr>
            <w:tcW w:type="dxa" w:w="5260"/>
            <w:tcMar>
              <w:top w:type="dxa" w:w="80"/>
              <w:left w:type="dxa" w:w="120"/>
              <w:bottom w:type="dxa" w:w="80"/>
              <w:right w:type="dxa" w:w="120"/>
            </w:tcMar>
          </w:tcPr>
          <w:p>
            <w:pPr>
              <w:spacing w:after="0"/>
            </w:pPr>
            <w:r>
              <w:rPr>
                <w:b w:val="false"/>
                <w:bCs w:val="false"/>
                <w:sz w:val="18"/>
                <w:szCs w:val="18"/>
              </w:rPr>
              <w:t xml:space="preserve">Vector output — zoom changes the nominal page size only, never quality</w:t>
            </w:r>
          </w:p>
        </w:tc>
      </w:tr>
      <w:tr>
        <w:trPr>
          <w:tblHeader w:val="false"/>
        </w:trPr>
        <w:tc>
          <w:tcPr>
            <w:tcW w:type="dxa" w:w="2600"/>
            <w:tcMar>
              <w:top w:type="dxa" w:w="80"/>
              <w:left w:type="dxa" w:w="120"/>
              <w:bottom w:type="dxa" w:w="80"/>
              <w:right w:type="dxa" w:w="120"/>
            </w:tcMar>
          </w:tcPr>
          <w:p>
            <w:pPr>
              <w:spacing w:after="0"/>
            </w:pPr>
            <w:r>
              <w:rPr>
                <w:b w:val="false"/>
                <w:bCs w:val="false"/>
                <w:sz w:val="18"/>
                <w:szCs w:val="18"/>
              </w:rPr>
              <w:t xml:space="preserve">Border Width</w:t>
            </w:r>
          </w:p>
        </w:tc>
        <w:tc>
          <w:tcPr>
            <w:tcW w:type="dxa" w:w="1500"/>
            <w:tcMar>
              <w:top w:type="dxa" w:w="80"/>
              <w:left w:type="dxa" w:w="120"/>
              <w:bottom w:type="dxa" w:w="80"/>
              <w:right w:type="dxa" w:w="120"/>
            </w:tcMar>
          </w:tcPr>
          <w:p>
            <w:pPr>
              <w:spacing w:after="0"/>
            </w:pPr>
            <w:r>
              <w:rPr>
                <w:b w:val="false"/>
                <w:bCs w:val="false"/>
                <w:sz w:val="18"/>
                <w:szCs w:val="18"/>
              </w:rPr>
              <w:t xml:space="preserve">20</w:t>
            </w:r>
          </w:p>
        </w:tc>
        <w:tc>
          <w:tcPr>
            <w:tcW w:type="dxa" w:w="5260"/>
            <w:tcMar>
              <w:top w:type="dxa" w:w="80"/>
              <w:left w:type="dxa" w:w="120"/>
              <w:bottom w:type="dxa" w:w="80"/>
              <w:right w:type="dxa" w:w="120"/>
            </w:tcMar>
          </w:tcPr>
          <w:p>
            <w:pPr>
              <w:spacing w:after="0"/>
            </w:pPr>
            <w:r>
              <w:rPr>
                <w:b w:val="false"/>
                <w:bCs w:val="false"/>
                <w:sz w:val="18"/>
                <w:szCs w:val="18"/>
              </w:rPr>
              <w:t xml:space="preserve">The only margin you get; cropping discards the page margins in the file</w:t>
            </w:r>
          </w:p>
        </w:tc>
      </w:tr>
      <w:tr>
        <w:trPr>
          <w:tblHeader w:val="false"/>
        </w:trPr>
        <w:tc>
          <w:tcPr>
            <w:tcW w:type="dxa" w:w="2600"/>
            <w:tcMar>
              <w:top w:type="dxa" w:w="80"/>
              <w:left w:type="dxa" w:w="120"/>
              <w:bottom w:type="dxa" w:w="80"/>
              <w:right w:type="dxa" w:w="120"/>
            </w:tcMar>
          </w:tcPr>
          <w:p>
            <w:pPr>
              <w:spacing w:after="0"/>
            </w:pPr>
            <w:r>
              <w:rPr>
                <w:b w:val="false"/>
                <w:bCs w:val="false"/>
                <w:sz w:val="18"/>
                <w:szCs w:val="18"/>
              </w:rPr>
              <w:t xml:space="preserve">Size</w:t>
            </w:r>
          </w:p>
        </w:tc>
        <w:tc>
          <w:tcPr>
            <w:tcW w:type="dxa" w:w="1500"/>
            <w:tcMar>
              <w:top w:type="dxa" w:w="80"/>
              <w:left w:type="dxa" w:w="120"/>
              <w:bottom w:type="dxa" w:w="80"/>
              <w:right w:type="dxa" w:w="120"/>
            </w:tcMar>
          </w:tcPr>
          <w:p>
            <w:pPr>
              <w:spacing w:after="0"/>
            </w:pPr>
            <w:r>
              <w:rPr>
                <w:b w:val="false"/>
                <w:bCs w:val="false"/>
                <w:sz w:val="18"/>
                <w:szCs w:val="18"/>
              </w:rPr>
              <w:t xml:space="preserve">Diagram</w:t>
            </w:r>
          </w:p>
        </w:tc>
        <w:tc>
          <w:tcPr>
            <w:tcW w:type="dxa" w:w="5260"/>
            <w:tcMar>
              <w:top w:type="dxa" w:w="80"/>
              <w:left w:type="dxa" w:w="120"/>
              <w:bottom w:type="dxa" w:w="80"/>
              <w:right w:type="dxa" w:w="120"/>
            </w:tcMar>
          </w:tcPr>
          <w:p>
            <w:pPr>
              <w:spacing w:after="0"/>
            </w:pPr>
            <w:r>
              <w:rPr>
                <w:b w:val="false"/>
                <w:bCs w:val="false"/>
                <w:sz w:val="18"/>
                <w:szCs w:val="18"/>
              </w:rPr>
              <w:t xml:space="preserve">Crops the page to the drawing's bounding box → one page, never tiled</w:t>
            </w:r>
          </w:p>
        </w:tc>
      </w:tr>
      <w:tr>
        <w:trPr>
          <w:tblHeader w:val="false"/>
        </w:trPr>
        <w:tc>
          <w:tcPr>
            <w:tcW w:type="dxa" w:w="2600"/>
            <w:tcMar>
              <w:top w:type="dxa" w:w="80"/>
              <w:left w:type="dxa" w:w="120"/>
              <w:bottom w:type="dxa" w:w="80"/>
              <w:right w:type="dxa" w:w="120"/>
            </w:tcMar>
          </w:tcPr>
          <w:p>
            <w:pPr>
              <w:spacing w:after="0"/>
            </w:pPr>
            <w:r>
              <w:rPr>
                <w:b w:val="false"/>
                <w:bCs w:val="false"/>
                <w:sz w:val="18"/>
                <w:szCs w:val="18"/>
              </w:rPr>
              <w:t xml:space="preserve">Transparent Background</w:t>
            </w:r>
          </w:p>
        </w:tc>
        <w:tc>
          <w:tcPr>
            <w:tcW w:type="dxa" w:w="1500"/>
            <w:tcMar>
              <w:top w:type="dxa" w:w="80"/>
              <w:left w:type="dxa" w:w="120"/>
              <w:bottom w:type="dxa" w:w="80"/>
              <w:right w:type="dxa" w:w="120"/>
            </w:tcMar>
          </w:tcPr>
          <w:p>
            <w:pPr>
              <w:spacing w:after="0"/>
            </w:pPr>
            <w:r>
              <w:rPr>
                <w:b w:val="false"/>
                <w:bCs w:val="false"/>
                <w:sz w:val="18"/>
                <w:szCs w:val="18"/>
              </w:rPr>
              <w:t xml:space="preserve">off</w:t>
            </w:r>
          </w:p>
        </w:tc>
        <w:tc>
          <w:tcPr>
            <w:tcW w:type="dxa" w:w="5260"/>
            <w:tcMar>
              <w:top w:type="dxa" w:w="80"/>
              <w:left w:type="dxa" w:w="120"/>
              <w:bottom w:type="dxa" w:w="80"/>
              <w:right w:type="dxa" w:w="120"/>
            </w:tcMar>
          </w:tcPr>
          <w:p>
            <w:pPr>
              <w:spacing w:after="0"/>
            </w:pPr>
            <w:r>
              <w:rPr>
                <w:b w:val="false"/>
                <w:bCs w:val="false"/>
                <w:sz w:val="18"/>
                <w:szCs w:val="18"/>
              </w:rPr>
              <w:t xml:space="preserve">Transparent embeds into Word with a grey block behind it</w:t>
            </w:r>
          </w:p>
        </w:tc>
      </w:tr>
      <w:tr>
        <w:trPr>
          <w:tblHeader w:val="false"/>
        </w:trPr>
        <w:tc>
          <w:tcPr>
            <w:tcW w:type="dxa" w:w="2600"/>
            <w:tcMar>
              <w:top w:type="dxa" w:w="80"/>
              <w:left w:type="dxa" w:w="120"/>
              <w:bottom w:type="dxa" w:w="80"/>
              <w:right w:type="dxa" w:w="120"/>
            </w:tcMar>
          </w:tcPr>
          <w:p>
            <w:pPr>
              <w:spacing w:after="0"/>
            </w:pPr>
            <w:r>
              <w:rPr>
                <w:b w:val="false"/>
                <w:bCs w:val="false"/>
                <w:sz w:val="18"/>
                <w:szCs w:val="18"/>
              </w:rPr>
              <w:t xml:space="preserve">Shadow / Grid</w:t>
            </w:r>
          </w:p>
        </w:tc>
        <w:tc>
          <w:tcPr>
            <w:tcW w:type="dxa" w:w="1500"/>
            <w:tcMar>
              <w:top w:type="dxa" w:w="80"/>
              <w:left w:type="dxa" w:w="120"/>
              <w:bottom w:type="dxa" w:w="80"/>
              <w:right w:type="dxa" w:w="120"/>
            </w:tcMar>
          </w:tcPr>
          <w:p>
            <w:pPr>
              <w:spacing w:after="0"/>
            </w:pPr>
            <w:r>
              <w:rPr>
                <w:b w:val="false"/>
                <w:bCs w:val="false"/>
                <w:sz w:val="18"/>
                <w:szCs w:val="18"/>
              </w:rPr>
              <w:t xml:space="preserve">off</w:t>
            </w:r>
          </w:p>
        </w:tc>
        <w:tc>
          <w:tcPr>
            <w:tcW w:type="dxa" w:w="5260"/>
            <w:tcMar>
              <w:top w:type="dxa" w:w="80"/>
              <w:left w:type="dxa" w:w="120"/>
              <w:bottom w:type="dxa" w:w="80"/>
              <w:right w:type="dxa" w:w="120"/>
            </w:tcMar>
          </w:tcPr>
          <w:p>
            <w:pPr>
              <w:spacing w:after="0"/>
            </w:pPr>
            <w:r>
              <w:rPr>
                <w:b w:val="false"/>
                <w:bCs w:val="false"/>
                <w:sz w:val="18"/>
                <w:szCs w:val="18"/>
              </w:rPr>
              <w:t xml:space="preserve">—</w:t>
            </w:r>
          </w:p>
        </w:tc>
      </w:tr>
      <w:tr>
        <w:trPr>
          <w:tblHeader w:val="false"/>
        </w:trPr>
        <w:tc>
          <w:tcPr>
            <w:tcW w:type="dxa" w:w="2600"/>
            <w:tcMar>
              <w:top w:type="dxa" w:w="80"/>
              <w:left w:type="dxa" w:w="120"/>
              <w:bottom w:type="dxa" w:w="80"/>
              <w:right w:type="dxa" w:w="120"/>
            </w:tcMar>
          </w:tcPr>
          <w:p>
            <w:pPr>
              <w:spacing w:after="0"/>
            </w:pPr>
            <w:r>
              <w:rPr>
                <w:b w:val="false"/>
                <w:bCs w:val="false"/>
                <w:sz w:val="18"/>
                <w:szCs w:val="18"/>
              </w:rPr>
              <w:t xml:space="preserve">Include a copy of my diagram</w:t>
            </w:r>
          </w:p>
        </w:tc>
        <w:tc>
          <w:tcPr>
            <w:tcW w:type="dxa" w:w="1500"/>
            <w:tcMar>
              <w:top w:type="dxa" w:w="80"/>
              <w:left w:type="dxa" w:w="120"/>
              <w:bottom w:type="dxa" w:w="80"/>
              <w:right w:type="dxa" w:w="120"/>
            </w:tcMar>
          </w:tcPr>
          <w:p>
            <w:pPr>
              <w:spacing w:after="0"/>
            </w:pPr>
            <w:r>
              <w:rPr>
                <w:b w:val="false"/>
                <w:bCs w:val="false"/>
                <w:sz w:val="18"/>
                <w:szCs w:val="18"/>
              </w:rPr>
              <w:t xml:space="preserve">on</w:t>
            </w:r>
          </w:p>
        </w:tc>
        <w:tc>
          <w:tcPr>
            <w:tcW w:type="dxa" w:w="5260"/>
            <w:tcMar>
              <w:top w:type="dxa" w:w="80"/>
              <w:left w:type="dxa" w:w="120"/>
              <w:bottom w:type="dxa" w:w="80"/>
              <w:right w:type="dxa" w:w="120"/>
            </w:tcMar>
          </w:tcPr>
          <w:p>
            <w:pPr>
              <w:spacing w:after="0"/>
            </w:pPr>
            <w:r>
              <w:rPr>
                <w:b w:val="false"/>
                <w:bCs w:val="false"/>
                <w:sz w:val="18"/>
                <w:szCs w:val="18"/>
              </w:rPr>
              <w:t xml:space="preserve">Embeds the .drawio XML so the PDF reopens as an editable diagram</w:t>
            </w:r>
          </w:p>
        </w:tc>
      </w:tr>
    </w:tbl>
    <w:p>
      <w:pPr>
        <w:spacing w:after="120" w:line="276"/>
      </w:pPr>
      <w:r>
        <w:rPr>
          <w:sz w:val="20"/>
          <w:szCs w:val="20"/>
        </w:rPr>
        <w:t xml:space="preserve"/>
      </w:r>
    </w:p>
    <w:p>
      <w:pPr>
        <w:spacing w:after="120" w:line="276"/>
      </w:pPr>
      <w:r>
        <w:rPr>
          <w:b/>
          <w:bCs/>
          <w:sz w:val="20"/>
          <w:szCs w:val="20"/>
        </w:rPr>
        <w:t xml:space="preserve">Do not choose a paper size or “Fit to Page” for Level 1. </w:t>
      </w:r>
      <w:r>
        <w:rPr>
          <w:sz w:val="20"/>
          <w:szCs w:val="20"/>
        </w:rPr>
        <w:t xml:space="preserve">Its content is 1840 × 2890 px (≈ 19.2 × 30.1 in at 100%); against A4, draw.io tiles it across six sheets with flow lines cut mid-span. Size: Diagram keeps it whole, and scaling it down at placement is lossless.</w:t>
      </w:r>
    </w:p>
    <w:p>
      <w:pPr>
        <w:spacing w:after="120" w:line="276"/>
      </w:pPr>
      <w:r>
        <w:rPr>
          <w:b/>
          <w:bCs/>
          <w:sz w:val="20"/>
          <w:szCs w:val="20"/>
        </w:rPr>
        <w:t xml:space="preserve">Printed sizes, for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400"/>
        <w:gridCol w:w="3460"/>
      </w:tblGrid>
      <w:tr>
        <w:trPr>
          <w:tblHeader/>
        </w:trPr>
        <w:tc>
          <w:tcPr>
            <w:tcW w:type="dxa" w:w="1500"/>
            <w:shd w:fill="F2F2F2" w:color="auto" w:val="clear"/>
            <w:tcMar>
              <w:top w:type="dxa" w:w="80"/>
              <w:left w:type="dxa" w:w="120"/>
              <w:bottom w:type="dxa" w:w="80"/>
              <w:right w:type="dxa" w:w="120"/>
            </w:tcMar>
          </w:tcPr>
          <w:p>
            <w:pPr>
              <w:spacing w:after="0"/>
            </w:pPr>
            <w:r>
              <w:rPr>
                <w:b/>
                <w:bCs/>
                <w:sz w:val="18"/>
                <w:szCs w:val="18"/>
              </w:rPr>
              <w:t xml:space="preserve">Diagram</w:t>
            </w:r>
          </w:p>
        </w:tc>
        <w:tc>
          <w:tcPr>
            <w:tcW w:type="dxa" w:w="2000"/>
            <w:shd w:fill="F2F2F2" w:color="auto" w:val="clear"/>
            <w:tcMar>
              <w:top w:type="dxa" w:w="80"/>
              <w:left w:type="dxa" w:w="120"/>
              <w:bottom w:type="dxa" w:w="80"/>
              <w:right w:type="dxa" w:w="120"/>
            </w:tcMar>
          </w:tcPr>
          <w:p>
            <w:pPr>
              <w:spacing w:after="0"/>
            </w:pPr>
            <w:r>
              <w:rPr>
                <w:b/>
                <w:bCs/>
                <w:sz w:val="18"/>
                <w:szCs w:val="18"/>
              </w:rPr>
              <w:t xml:space="preserve">Content (px)</w:t>
            </w:r>
          </w:p>
        </w:tc>
        <w:tc>
          <w:tcPr>
            <w:tcW w:type="dxa" w:w="2400"/>
            <w:shd w:fill="F2F2F2" w:color="auto" w:val="clear"/>
            <w:tcMar>
              <w:top w:type="dxa" w:w="80"/>
              <w:left w:type="dxa" w:w="120"/>
              <w:bottom w:type="dxa" w:w="80"/>
              <w:right w:type="dxa" w:w="120"/>
            </w:tcMar>
          </w:tcPr>
          <w:p>
            <w:pPr>
              <w:spacing w:after="0"/>
            </w:pPr>
            <w:r>
              <w:rPr>
                <w:b/>
                <w:bCs/>
                <w:sz w:val="18"/>
                <w:szCs w:val="18"/>
              </w:rPr>
              <w:t xml:space="preserve">Aspect</w:t>
            </w:r>
          </w:p>
        </w:tc>
        <w:tc>
          <w:tcPr>
            <w:tcW w:type="dxa" w:w="3460"/>
            <w:shd w:fill="F2F2F2" w:color="auto" w:val="clear"/>
            <w:tcMar>
              <w:top w:type="dxa" w:w="80"/>
              <w:left w:type="dxa" w:w="120"/>
              <w:bottom w:type="dxa" w:w="80"/>
              <w:right w:type="dxa" w:w="120"/>
            </w:tcMar>
          </w:tcPr>
          <w:p>
            <w:pPr>
              <w:spacing w:after="0"/>
            </w:pPr>
            <w:r>
              <w:rPr>
                <w:b/>
                <w:bCs/>
                <w:sz w:val="18"/>
                <w:szCs w:val="18"/>
              </w:rPr>
              <w:t xml:space="preserve">Fits</w:t>
            </w:r>
          </w:p>
        </w:tc>
      </w:tr>
      <w:tr>
        <w:trPr>
          <w:tblHeader w:val="false"/>
        </w:trPr>
        <w:tc>
          <w:tcPr>
            <w:tcW w:type="dxa" w:w="1500"/>
            <w:tcMar>
              <w:top w:type="dxa" w:w="80"/>
              <w:left w:type="dxa" w:w="120"/>
              <w:bottom w:type="dxa" w:w="80"/>
              <w:right w:type="dxa" w:w="120"/>
            </w:tcMar>
          </w:tcPr>
          <w:p>
            <w:pPr>
              <w:spacing w:after="0"/>
            </w:pPr>
            <w:r>
              <w:rPr>
                <w:b w:val="false"/>
                <w:bCs w:val="false"/>
                <w:sz w:val="18"/>
                <w:szCs w:val="18"/>
              </w:rPr>
              <w:t xml:space="preserve">Level 0</w:t>
            </w:r>
          </w:p>
        </w:tc>
        <w:tc>
          <w:tcPr>
            <w:tcW w:type="dxa" w:w="2000"/>
            <w:tcMar>
              <w:top w:type="dxa" w:w="80"/>
              <w:left w:type="dxa" w:w="120"/>
              <w:bottom w:type="dxa" w:w="80"/>
              <w:right w:type="dxa" w:w="120"/>
            </w:tcMar>
          </w:tcPr>
          <w:p>
            <w:pPr>
              <w:spacing w:after="0"/>
            </w:pPr>
            <w:r>
              <w:rPr>
                <w:b w:val="false"/>
                <w:bCs w:val="false"/>
                <w:sz w:val="18"/>
                <w:szCs w:val="18"/>
              </w:rPr>
              <w:t xml:space="preserve">1420 × 949</w:t>
            </w:r>
          </w:p>
        </w:tc>
        <w:tc>
          <w:tcPr>
            <w:tcW w:type="dxa" w:w="2400"/>
            <w:tcMar>
              <w:top w:type="dxa" w:w="80"/>
              <w:left w:type="dxa" w:w="120"/>
              <w:bottom w:type="dxa" w:w="80"/>
              <w:right w:type="dxa" w:w="120"/>
            </w:tcMar>
          </w:tcPr>
          <w:p>
            <w:pPr>
              <w:spacing w:after="0"/>
            </w:pPr>
            <w:r>
              <w:rPr>
                <w:b w:val="false"/>
                <w:bCs w:val="false"/>
                <w:sz w:val="18"/>
                <w:szCs w:val="18"/>
              </w:rPr>
              <w:t xml:space="preserve">1.50 : 1 landscape</w:t>
            </w:r>
          </w:p>
        </w:tc>
        <w:tc>
          <w:tcPr>
            <w:tcW w:type="dxa" w:w="3460"/>
            <w:tcMar>
              <w:top w:type="dxa" w:w="80"/>
              <w:left w:type="dxa" w:w="120"/>
              <w:bottom w:type="dxa" w:w="80"/>
              <w:right w:type="dxa" w:w="120"/>
            </w:tcMar>
          </w:tcPr>
          <w:p>
            <w:pPr>
              <w:spacing w:after="0"/>
            </w:pPr>
            <w:r>
              <w:rPr>
                <w:b w:val="false"/>
                <w:bCs w:val="false"/>
                <w:sz w:val="18"/>
                <w:szCs w:val="18"/>
              </w:rPr>
              <w:t xml:space="preserve">Folio landscape (1.53 : 1) — labels ≈ 5.5 pt</w:t>
            </w:r>
          </w:p>
        </w:tc>
      </w:tr>
      <w:tr>
        <w:trPr>
          <w:tblHeader w:val="false"/>
        </w:trPr>
        <w:tc>
          <w:tcPr>
            <w:tcW w:type="dxa" w:w="1500"/>
            <w:tcMar>
              <w:top w:type="dxa" w:w="80"/>
              <w:left w:type="dxa" w:w="120"/>
              <w:bottom w:type="dxa" w:w="80"/>
              <w:right w:type="dxa" w:w="120"/>
            </w:tcMar>
          </w:tcPr>
          <w:p>
            <w:pPr>
              <w:spacing w:after="0"/>
            </w:pPr>
            <w:r>
              <w:rPr>
                <w:b w:val="false"/>
                <w:bCs w:val="false"/>
                <w:sz w:val="18"/>
                <w:szCs w:val="18"/>
              </w:rPr>
              <w:t xml:space="preserve">Level 1</w:t>
            </w:r>
          </w:p>
        </w:tc>
        <w:tc>
          <w:tcPr>
            <w:tcW w:type="dxa" w:w="2000"/>
            <w:tcMar>
              <w:top w:type="dxa" w:w="80"/>
              <w:left w:type="dxa" w:w="120"/>
              <w:bottom w:type="dxa" w:w="80"/>
              <w:right w:type="dxa" w:w="120"/>
            </w:tcMar>
          </w:tcPr>
          <w:p>
            <w:pPr>
              <w:spacing w:after="0"/>
            </w:pPr>
            <w:r>
              <w:rPr>
                <w:b w:val="false"/>
                <w:bCs w:val="false"/>
                <w:sz w:val="18"/>
                <w:szCs w:val="18"/>
              </w:rPr>
              <w:t xml:space="preserve">1840 × 2890</w:t>
            </w:r>
          </w:p>
        </w:tc>
        <w:tc>
          <w:tcPr>
            <w:tcW w:type="dxa" w:w="2400"/>
            <w:tcMar>
              <w:top w:type="dxa" w:w="80"/>
              <w:left w:type="dxa" w:w="120"/>
              <w:bottom w:type="dxa" w:w="80"/>
              <w:right w:type="dxa" w:w="120"/>
            </w:tcMar>
          </w:tcPr>
          <w:p>
            <w:pPr>
              <w:spacing w:after="0"/>
            </w:pPr>
            <w:r>
              <w:rPr>
                <w:b w:val="false"/>
                <w:bCs w:val="false"/>
                <w:sz w:val="18"/>
                <w:szCs w:val="18"/>
              </w:rPr>
              <w:t xml:space="preserve">1 : 1.57 portrait</w:t>
            </w:r>
          </w:p>
        </w:tc>
        <w:tc>
          <w:tcPr>
            <w:tcW w:type="dxa" w:w="3460"/>
            <w:tcMar>
              <w:top w:type="dxa" w:w="80"/>
              <w:left w:type="dxa" w:w="120"/>
              <w:bottom w:type="dxa" w:w="80"/>
              <w:right w:type="dxa" w:w="120"/>
            </w:tcMar>
          </w:tcPr>
          <w:p>
            <w:pPr>
              <w:spacing w:after="0"/>
            </w:pPr>
            <w:r>
              <w:rPr>
                <w:b w:val="false"/>
                <w:bCs w:val="false"/>
                <w:sz w:val="18"/>
                <w:szCs w:val="18"/>
              </w:rPr>
              <w:t xml:space="preserve">Folio portrait (1 : 1.53) — labels ≈ 4.5 pt</w:t>
            </w:r>
          </w:p>
        </w:tc>
      </w:tr>
    </w:tbl>
    <w:p>
      <w:pPr>
        <w:spacing w:after="120" w:line="276"/>
      </w:pPr>
      <w:r>
        <w:rPr>
          <w:sz w:val="20"/>
          <w:szCs w:val="20"/>
        </w:rPr>
        <w:t xml:space="preserve"/>
      </w:r>
    </w:p>
    <w:p>
      <w:pPr>
        <w:spacing w:after="120" w:line="276"/>
      </w:pPr>
      <w:r>
        <w:rPr>
          <w:sz w:val="20"/>
          <w:szCs w:val="20"/>
        </w:rPr>
        <w:t xml:space="preserve">Level 1's labels are legible on screen and marginal on paper. If it goes into the printed manuscript, print that page on A3 (labels rise to ≈ 6 pt) or treat it as a fold-out. Splitting it into two half-diagrams would cost the single-page balance argument above.</w:t>
      </w:r>
    </w:p>
    <w:sectPr>
      <w:pgSz w:w="12240" w:h="1872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b/>
      <w:bCs/>
      <w:color w:val="000000"/>
      <w:sz w:val="36"/>
      <w:szCs w:val="36"/>
    </w:rPr>
  </w:style>
  <w:style w:type="paragraph" w:styleId="Heading1">
    <w:name w:val="Heading 1"/>
    <w:basedOn w:val="Normal"/>
    <w:next w:val="Normal"/>
    <w:qFormat/>
    <w:rPr>
      <w:b/>
      <w:bCs/>
      <w:color w:val="000000"/>
      <w:sz w:val="26"/>
      <w:szCs w:val="26"/>
    </w:rPr>
  </w:style>
  <w:style w:type="paragraph" w:styleId="Heading2">
    <w:name w:val="Heading 2"/>
    <w:basedOn w:val="Normal"/>
    <w:next w:val="Normal"/>
    <w:qFormat/>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2026-09-17T13:13:33.601Z</dcterms:created>
  <dcterms:modified xsi:type="dcterms:W3CDTF">2026-09-17T13:13:33.606Z</dcterms:modified>
</cp:coreProperties>
</file>

<file path=docProps/custom.xml><?xml version="1.0" encoding="utf-8"?>
<Properties xmlns="http://schemas.openxmlformats.org/officeDocument/2006/custom-properties" xmlns:vt="http://schemas.openxmlformats.org/officeDocument/2006/docPropsVTypes"/>
</file>