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720"/>
        <w:jc w:val="center"/>
      </w:pPr>
      <w:r>
        <w:rPr>
          <w:b/>
          <w:bCs/>
          <w:caps/>
          <w:color w:val="0B1F3A"/>
          <w:sz w:val="52"/>
          <w:szCs w:val="52"/>
        </w:rPr>
        <w:t xml:space="preserve">COMPETITIVE ANALYSIS</w:t>
      </w:r>
    </w:p>
    <w:p>
      <w:pPr>
        <w:spacing w:after="120" w:before="0"/>
        <w:jc w:val="center"/>
      </w:pPr>
      <w:r>
        <w:rPr>
          <w:b/>
          <w:bCs/>
          <w:color w:val="0D8FA4"/>
          <w:sz w:val="28"/>
          <w:szCs w:val="28"/>
        </w:rPr>
        <w:t xml:space="preserve">Guardian Group Portal &amp; Roadmap  vs  HSI Donesafe</w:t>
      </w:r>
    </w:p>
    <w:p>
      <w:pPr>
        <w:spacing w:after="160" w:before="0"/>
        <w:jc w:val="center"/>
      </w:pPr>
      <w:r>
        <w:rPr>
          <w:color w:val="6B7280"/>
          <w:sz w:val="22"/>
          <w:szCs w:val="22"/>
        </w:rPr>
        <w:t xml:space="preserve">Health &amp; Safety Software  |  Risk &amp; Compliance Management</w:t>
      </w:r>
    </w:p>
    <w:p>
      <w:pPr>
        <w:spacing w:after="600" w:before="0"/>
        <w:jc w:val="center"/>
      </w:pPr>
      <w:r>
        <w:rPr>
          <w:color w:val="9CA3AF"/>
          <w:sz w:val="18"/>
          <w:szCs w:val="18"/>
        </w:rPr>
        <w:t xml:space="preserve">Prepared: June 2026  |  Confidential &amp; Commercially Sensitive</w:t>
      </w:r>
    </w:p>
    <w:p>
      <w:pPr>
        <w:spacing w:after="140" w:before="0"/>
      </w:pPr>
      <w:r>
        <w:rPr>
          <w:b/>
          <w:bCs/>
          <w:color w:val="0B1F3A"/>
          <w:sz w:val="22"/>
          <w:szCs w:val="22"/>
        </w:rPr>
        <w:t xml:space="preserve">Icon Key</w:t>
      </w:r>
    </w:p>
    <w:p>
      <w:pPr>
        <w:spacing w:after="480" w:before="0"/>
      </w:pPr>
      <w:r>
        <w:rPr>
          <w:b/>
          <w:bCs/>
          <w:color w:val="166534"/>
          <w:sz w:val="20"/>
          <w:szCs w:val="20"/>
        </w:rPr>
        <w:t xml:space="preserve">✓  Available / complete     </w:t>
      </w:r>
      <w:r>
        <w:rPr>
          <w:b/>
          <w:bCs/>
          <w:color w:val="991B1B"/>
          <w:sz w:val="20"/>
          <w:szCs w:val="20"/>
        </w:rPr>
        <w:t xml:space="preserve">✗  Not available     </w:t>
      </w:r>
      <w:r>
        <w:rPr>
          <w:b/>
          <w:bCs/>
          <w:color w:val="0D8FA4"/>
          <w:sz w:val="20"/>
          <w:szCs w:val="20"/>
        </w:rPr>
        <w:t xml:space="preserve">→  On roadmap     </w:t>
      </w:r>
      <w:r>
        <w:rPr>
          <w:b/>
          <w:bCs/>
          <w:color w:val="7C3AED"/>
          <w:sz w:val="20"/>
          <w:szCs w:val="20"/>
        </w:rPr>
        <w:t xml:space="preserve">★  Unique to Guardian     </w:t>
      </w:r>
      <w:r>
        <w:rPr>
          <w:b/>
          <w:bCs/>
          <w:color w:val="92400E"/>
          <w:sz w:val="20"/>
          <w:szCs w:val="20"/>
        </w:rPr>
        <w:t xml:space="preserve">⚠  Gap to address</w:t>
      </w:r>
    </w:p>
    <w:p>
      <w:pPr>
        <w:pBdr>
          <w:bottom w:val="single" w:color="D0DAE4" w:sz="6"/>
        </w:pBdr>
        <w:spacing w:after="200" w:before="480"/>
      </w:pPr>
      <w:r>
        <w:rPr>
          <w:b/>
          <w:bCs/>
          <w:color w:val="0B1F3A"/>
          <w:sz w:val="32"/>
          <w:szCs w:val="32"/>
        </w:rPr>
        <w:t xml:space="preserve">1. Executive Summary</w:t>
      </w:r>
    </w:p>
    <w:p>
      <w:pPr>
        <w:spacing w:after="100" w:before="80"/>
      </w:pPr>
      <w:r>
        <w:rPr>
          <w:color w:val="374151"/>
          <w:sz w:val="20"/>
          <w:szCs w:val="20"/>
        </w:rPr>
        <w:t xml:space="preserve">This report compares the Guardian Group compliance portal and its 0–24 month roadmap against HSI Donesafe — one of the leading enterprise EHS SaaS platforms — across two product areas: Health &amp; Safety Software and Risk &amp; Compliance Management.</w:t>
      </w:r>
    </w:p>
    <w:p>
      <w:pPr>
        <w:spacing w:after="100" w:before="80"/>
      </w:pPr>
      <w:r>
        <w:rPr>
          <w:color w:val="374151"/>
          <w:sz w:val="20"/>
          <w:szCs w:val="20"/>
        </w:rPr>
        <w:t xml:space="preserve">The analysis identifies where Guardian leads, where Donesafe has deeper module coverage, and how the Guardian roadmap closes those gaps. It concludes with the structural advantages Guardian holds that Donesafe cannot replicate.</w:t>
      </w:r>
    </w:p>
    <w:p>
      <w:pPr>
        <w:spacing w:before="160"/>
      </w:pPr>
    </w:p>
    <w:p>
      <w:pPr>
        <w:pBdr>
          <w:bottom w:val="single" w:color="D0DAE4" w:sz="6"/>
        </w:pBdr>
        <w:spacing w:after="200" w:before="480"/>
      </w:pPr>
      <w:r>
        <w:rPr>
          <w:b/>
          <w:bCs/>
          <w:color w:val="0B1F3A"/>
          <w:sz w:val="32"/>
          <w:szCs w:val="32"/>
        </w:rPr>
        <w:t xml:space="preserve">2. About HSI Donesafe</w:t>
      </w:r>
    </w:p>
    <w:p>
      <w:pPr>
        <w:spacing w:after="100" w:before="80"/>
      </w:pPr>
      <w:r>
        <w:rPr>
          <w:color w:val="374151"/>
          <w:sz w:val="20"/>
          <w:szCs w:val="20"/>
        </w:rPr>
        <w:t xml:space="preserve">HSI Donesafe is a cloud-based EHS platform designed for large organisations, offering 30+ configurable modules covering the full EHS lifecycle — from incident management to contractor oversight, audits, and risk assessments.</w:t>
      </w:r>
    </w:p>
    <w:p>
      <w:pPr>
        <w:spacing w:before="160"/>
      </w:pPr>
    </w:p>
    <w:p>
      <w:pPr>
        <w:spacing w:after="60" w:before="60"/>
        <w:ind w:left="360"/>
      </w:pPr>
      <w:r>
        <w:rPr>
          <w:b/>
          <w:bCs/>
          <w:color w:val="0D8FA4"/>
          <w:sz w:val="20"/>
          <w:szCs w:val="20"/>
        </w:rPr>
        <w:t xml:space="preserve">✓  </w:t>
      </w:r>
      <w:r>
        <w:rPr>
          <w:color w:val="374151"/>
          <w:sz w:val="20"/>
          <w:szCs w:val="20"/>
        </w:rPr>
        <w:t xml:space="preserve">Large enterprise target market — corporate organisations managing EHS internally</w:t>
      </w:r>
    </w:p>
    <w:p>
      <w:pPr>
        <w:spacing w:after="60" w:before="60"/>
        <w:ind w:left="360"/>
      </w:pPr>
      <w:r>
        <w:rPr>
          <w:b/>
          <w:bCs/>
          <w:color w:val="0D8FA4"/>
          <w:sz w:val="20"/>
          <w:szCs w:val="20"/>
        </w:rPr>
        <w:t xml:space="preserve">✓  </w:t>
      </w:r>
      <w:r>
        <w:rPr>
          <w:color w:val="374151"/>
          <w:sz w:val="20"/>
          <w:szCs w:val="20"/>
        </w:rPr>
        <w:t xml:space="preserve">Self-service SaaS — customers configure and manage the platform themselves</w:t>
      </w:r>
    </w:p>
    <w:p>
      <w:pPr>
        <w:spacing w:after="60" w:before="60"/>
        <w:ind w:left="360"/>
      </w:pPr>
      <w:r>
        <w:rPr>
          <w:b/>
          <w:bCs/>
          <w:color w:val="0D8FA4"/>
          <w:sz w:val="20"/>
          <w:szCs w:val="20"/>
        </w:rPr>
        <w:t xml:space="preserve">✓  </w:t>
      </w:r>
      <w:r>
        <w:rPr>
          <w:color w:val="374151"/>
          <w:sz w:val="20"/>
          <w:szCs w:val="20"/>
        </w:rPr>
        <w:t xml:space="preserve">Highly modular — RAMS, PPE, Drug &amp; Alcohol, Emergency Management and more</w:t>
      </w:r>
    </w:p>
    <w:p>
      <w:pPr>
        <w:spacing w:after="60" w:before="60"/>
        <w:ind w:left="360"/>
      </w:pPr>
      <w:r>
        <w:rPr>
          <w:b/>
          <w:bCs/>
          <w:color w:val="991B1B"/>
          <w:sz w:val="20"/>
          <w:szCs w:val="20"/>
        </w:rPr>
        <w:t xml:space="preserve">✗  </w:t>
      </w:r>
      <w:r>
        <w:rPr>
          <w:color w:val="374151"/>
          <w:sz w:val="20"/>
          <w:szCs w:val="20"/>
        </w:rPr>
        <w:t xml:space="preserve">No Employment Law capability — pure EHS/H&amp;S scope only</w:t>
      </w:r>
    </w:p>
    <w:p>
      <w:pPr>
        <w:spacing w:after="60" w:before="60"/>
        <w:ind w:left="360"/>
      </w:pPr>
      <w:r>
        <w:rPr>
          <w:b/>
          <w:bCs/>
          <w:color w:val="991B1B"/>
          <w:sz w:val="20"/>
          <w:szCs w:val="20"/>
        </w:rPr>
        <w:t xml:space="preserve">✗  </w:t>
      </w:r>
      <w:r>
        <w:rPr>
          <w:color w:val="374151"/>
          <w:sz w:val="20"/>
          <w:szCs w:val="20"/>
        </w:rPr>
        <w:t xml:space="preserve">No consultancy-led managed service — software only, no expert support</w:t>
      </w:r>
    </w:p>
    <w:p>
      <w:pPr>
        <w:spacing w:after="60" w:before="60"/>
        <w:ind w:left="360"/>
      </w:pPr>
      <w:r>
        <w:rPr>
          <w:b/>
          <w:bCs/>
          <w:color w:val="991B1B"/>
          <w:sz w:val="20"/>
          <w:szCs w:val="20"/>
        </w:rPr>
        <w:t xml:space="preserve">✗  </w:t>
      </w:r>
      <w:r>
        <w:rPr>
          <w:color w:val="374151"/>
          <w:sz w:val="20"/>
          <w:szCs w:val="20"/>
        </w:rPr>
        <w:t xml:space="preserve">No CRM or HR system integration layer</w:t>
      </w:r>
    </w:p>
    <w:p>
      <w:pPr>
        <w:spacing w:before="160"/>
      </w:pPr>
    </w:p>
    <w:p>
      <w:pPr>
        <w:pBdr>
          <w:bottom w:val="single" w:color="D0DAE4" w:sz="6"/>
        </w:pBdr>
        <w:spacing w:after="200" w:before="480"/>
      </w:pPr>
      <w:r>
        <w:rPr>
          <w:b/>
          <w:bCs/>
          <w:color w:val="0B1F3A"/>
          <w:sz w:val="32"/>
          <w:szCs w:val="32"/>
        </w:rPr>
        <w:t xml:space="preserve">3. Health &amp; Safety Software — Current Build &amp; 0–12 Month Plan</w:t>
      </w:r>
    </w:p>
    <w:p>
      <w:pPr>
        <w:spacing w:after="100" w:before="80"/>
      </w:pPr>
      <w:r>
        <w:rPr>
          <w:color w:val="374151"/>
          <w:sz w:val="20"/>
          <w:szCs w:val="20"/>
        </w:rPr>
        <w:t xml:space="preserve">Donesafe's Health &amp; Safety Software maps most closely to the Guardian portal today and the 0–12 month development plan.</w:t>
      </w:r>
    </w:p>
    <w:p>
      <w:pPr>
        <w:spacing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400"/>
      </w:tblGrid>
      <w:tr>
        <w:trPr>
          <w:tblHeader/>
        </w:trPr>
        <w:tc>
          <w:tcPr>
            <w:shd w:fill="0B1F3A" w:color="0B1F3A" w:val="clear"/>
            <w:tcMar>
              <w:top w:type="dxa" w:w="100"/>
              <w:left w:type="dxa" w:w="140"/>
              <w:bottom w:type="dxa" w:w="100"/>
              <w:right w:type="dxa" w:w="140"/>
            </w:tcMar>
          </w:tcPr>
          <w:p>
            <w:r>
              <w:rPr>
                <w:b/>
                <w:bCs/>
                <w:color w:val="FFFFFF"/>
                <w:sz w:val="19"/>
                <w:szCs w:val="19"/>
              </w:rPr>
              <w:t xml:space="preserve">Capability</w:t>
            </w:r>
          </w:p>
        </w:tc>
        <w:tc>
          <w:tcPr>
            <w:shd w:fill="0B1F3A" w:color="0B1F3A" w:val="clear"/>
            <w:tcMar>
              <w:top w:type="dxa" w:w="100"/>
              <w:left w:type="dxa" w:w="140"/>
              <w:bottom w:type="dxa" w:w="100"/>
              <w:right w:type="dxa" w:w="140"/>
            </w:tcMar>
          </w:tcPr>
          <w:p>
            <w:r>
              <w:rPr>
                <w:b/>
                <w:bCs/>
                <w:color w:val="FFFFFF"/>
                <w:sz w:val="19"/>
                <w:szCs w:val="19"/>
              </w:rPr>
              <w:t xml:space="preserve">Guardian (Live Today)</w:t>
            </w:r>
          </w:p>
        </w:tc>
        <w:tc>
          <w:tcPr>
            <w:shd w:fill="0B1F3A" w:color="0B1F3A" w:val="clear"/>
            <w:tcMar>
              <w:top w:type="dxa" w:w="100"/>
              <w:left w:type="dxa" w:w="140"/>
              <w:bottom w:type="dxa" w:w="100"/>
              <w:right w:type="dxa" w:w="140"/>
            </w:tcMar>
          </w:tcPr>
          <w:p>
            <w:r>
              <w:rPr>
                <w:b/>
                <w:bCs/>
                <w:color w:val="FFFFFF"/>
                <w:sz w:val="19"/>
                <w:szCs w:val="19"/>
              </w:rPr>
              <w:t xml:space="preserve">Guardian 0–12 Months</w:t>
            </w:r>
          </w:p>
        </w:tc>
        <w:tc>
          <w:tcPr>
            <w:shd w:fill="0B1F3A" w:color="0B1F3A" w:val="clear"/>
            <w:tcMar>
              <w:top w:type="dxa" w:w="100"/>
              <w:left w:type="dxa" w:w="140"/>
              <w:bottom w:type="dxa" w:w="100"/>
              <w:right w:type="dxa" w:w="140"/>
            </w:tcMar>
          </w:tcPr>
          <w:p>
            <w:r>
              <w:rPr>
                <w:b/>
                <w:bCs/>
                <w:color w:val="FFFFFF"/>
                <w:sz w:val="19"/>
                <w:szCs w:val="19"/>
              </w:rPr>
              <w:t xml:space="preserve">Donesafe</w:t>
            </w:r>
          </w:p>
        </w:tc>
      </w:tr>
      <w:tr>
        <w:trPr>
          <w:tblHeader w:val="false"/>
        </w:trPr>
        <w:tc>
          <w:tcPr>
            <w:shd w:fill="FFFFFF" w:color="FFFFFF" w:val="clear"/>
            <w:tcMar>
              <w:top w:type="dxa" w:w="100"/>
              <w:left w:type="dxa" w:w="140"/>
              <w:bottom w:type="dxa" w:w="100"/>
              <w:right w:type="dxa" w:w="140"/>
            </w:tcMar>
          </w:tcPr>
          <w:p>
            <w:r>
              <w:rPr>
                <w:b w:val="false"/>
                <w:bCs w:val="false"/>
                <w:color w:val="1F2937"/>
                <w:sz w:val="18"/>
                <w:szCs w:val="18"/>
              </w:rPr>
              <w:t xml:space="preserve">Document Management</w:t>
            </w:r>
          </w:p>
        </w:tc>
        <w:tc>
          <w:tcPr>
            <w:shd w:fill="FFFFFF" w:color="FFFFFF" w:val="clear"/>
            <w:tcMar>
              <w:top w:type="dxa" w:w="100"/>
              <w:left w:type="dxa" w:w="140"/>
              <w:bottom w:type="dxa" w:w="100"/>
              <w:right w:type="dxa" w:w="140"/>
            </w:tcMar>
          </w:tcPr>
          <w:p>
            <w:r>
              <w:rPr>
                <w:b w:val="false"/>
                <w:bCs w:val="false"/>
                <w:color w:val="166534"/>
                <w:sz w:val="18"/>
                <w:szCs w:val="18"/>
              </w:rPr>
              <w:t xml:space="preserve">✓ Full — workflows, versioning, expiry</w:t>
            </w:r>
          </w:p>
        </w:tc>
        <w:tc>
          <w:tcPr>
            <w:shd w:fill="FFFFFF" w:color="FFFFFF" w:val="clear"/>
            <w:tcMar>
              <w:top w:type="dxa" w:w="100"/>
              <w:left w:type="dxa" w:w="140"/>
              <w:bottom w:type="dxa" w:w="100"/>
              <w:right w:type="dxa" w:w="140"/>
            </w:tcMar>
          </w:tcPr>
          <w:p>
            <w:r>
              <w:rPr>
                <w:b w:val="false"/>
                <w:bCs w:val="false"/>
                <w:color w:val="1F2937"/>
                <w:sz w:val="18"/>
                <w:szCs w:val="18"/>
              </w:rPr>
              <w:t xml:space="preserve">—</w:t>
            </w:r>
          </w:p>
        </w:tc>
        <w:tc>
          <w:tcPr>
            <w:shd w:fill="FFFFFF" w:color="FFFFFF" w:val="clear"/>
            <w:tcMar>
              <w:top w:type="dxa" w:w="100"/>
              <w:left w:type="dxa" w:w="140"/>
              <w:bottom w:type="dxa" w:w="100"/>
              <w:right w:type="dxa" w:w="140"/>
            </w:tcMar>
          </w:tcPr>
          <w:p>
            <w:r>
              <w:rPr>
                <w:b w:val="false"/>
                <w:bCs w:val="false"/>
                <w:color w:val="166534"/>
                <w:sz w:val="18"/>
                <w:szCs w:val="18"/>
              </w:rPr>
              <w:t xml:space="preserve">✓ Document Management module</w:t>
            </w:r>
          </w:p>
        </w:tc>
      </w:tr>
      <w:tr>
        <w:trPr>
          <w:tblHeader w:val="false"/>
        </w:trPr>
        <w:tc>
          <w:tcPr>
            <w:shd w:fill="EFF6FF" w:color="EFF6FF" w:val="clear"/>
            <w:tcMar>
              <w:top w:type="dxa" w:w="100"/>
              <w:left w:type="dxa" w:w="140"/>
              <w:bottom w:type="dxa" w:w="100"/>
              <w:right w:type="dxa" w:w="140"/>
            </w:tcMar>
          </w:tcPr>
          <w:p>
            <w:r>
              <w:rPr>
                <w:b w:val="false"/>
                <w:bCs w:val="false"/>
                <w:color w:val="1F2937"/>
                <w:sz w:val="18"/>
                <w:szCs w:val="18"/>
              </w:rPr>
              <w:t xml:space="preserve">Compliance Scoring</w:t>
            </w:r>
          </w:p>
        </w:tc>
        <w:tc>
          <w:tcPr>
            <w:shd w:fill="EFF6FF" w:color="EFF6FF" w:val="clear"/>
            <w:tcMar>
              <w:top w:type="dxa" w:w="100"/>
              <w:left w:type="dxa" w:w="140"/>
              <w:bottom w:type="dxa" w:w="100"/>
              <w:right w:type="dxa" w:w="140"/>
            </w:tcMar>
          </w:tcPr>
          <w:p>
            <w:r>
              <w:rPr>
                <w:b w:val="false"/>
                <w:bCs w:val="false"/>
                <w:color w:val="166534"/>
                <w:sz w:val="18"/>
                <w:szCs w:val="18"/>
              </w:rPr>
              <w:t xml:space="preserve">✓ Live % per site, gap tracking</w:t>
            </w:r>
          </w:p>
        </w:tc>
        <w:tc>
          <w:tcPr>
            <w:shd w:fill="EFF6FF" w:color="EFF6FF" w:val="clear"/>
            <w:tcMar>
              <w:top w:type="dxa" w:w="100"/>
              <w:left w:type="dxa" w:w="140"/>
              <w:bottom w:type="dxa" w:w="100"/>
              <w:right w:type="dxa" w:w="140"/>
            </w:tcMar>
          </w:tcPr>
          <w:p>
            <w:r>
              <w:rPr>
                <w:b w:val="false"/>
                <w:bCs w:val="false"/>
                <w:color w:val="1F2937"/>
                <w:sz w:val="18"/>
                <w:szCs w:val="18"/>
              </w:rPr>
              <w:t xml:space="preserve">—</w:t>
            </w:r>
          </w:p>
        </w:tc>
        <w:tc>
          <w:tcPr>
            <w:shd w:fill="EFF6FF" w:color="EFF6FF" w:val="clear"/>
            <w:tcMar>
              <w:top w:type="dxa" w:w="100"/>
              <w:left w:type="dxa" w:w="140"/>
              <w:bottom w:type="dxa" w:w="100"/>
              <w:right w:type="dxa" w:w="140"/>
            </w:tcMar>
          </w:tcPr>
          <w:p>
            <w:r>
              <w:rPr>
                <w:b w:val="false"/>
                <w:bCs w:val="false"/>
                <w:color w:val="166534"/>
                <w:sz w:val="18"/>
                <w:szCs w:val="18"/>
              </w:rPr>
              <w:t xml:space="preserve">✓ Dashboards &amp; analytics</w:t>
            </w:r>
          </w:p>
        </w:tc>
      </w:tr>
      <w:tr>
        <w:trPr>
          <w:tblHeader w:val="false"/>
        </w:trPr>
        <w:tc>
          <w:tcPr>
            <w:shd w:fill="FFFFFF" w:color="FFFFFF" w:val="clear"/>
            <w:tcMar>
              <w:top w:type="dxa" w:w="100"/>
              <w:left w:type="dxa" w:w="140"/>
              <w:bottom w:type="dxa" w:w="100"/>
              <w:right w:type="dxa" w:w="140"/>
            </w:tcMar>
          </w:tcPr>
          <w:p>
            <w:r>
              <w:rPr>
                <w:b w:val="false"/>
                <w:bCs w:val="false"/>
                <w:color w:val="1F2937"/>
                <w:sz w:val="18"/>
                <w:szCs w:val="18"/>
              </w:rPr>
              <w:t xml:space="preserve">H&amp;S Incident Tracking</w:t>
            </w:r>
          </w:p>
        </w:tc>
        <w:tc>
          <w:tcPr>
            <w:shd w:fill="FFFFFF" w:color="FFFFFF" w:val="clear"/>
            <w:tcMar>
              <w:top w:type="dxa" w:w="100"/>
              <w:left w:type="dxa" w:w="140"/>
              <w:bottom w:type="dxa" w:w="100"/>
              <w:right w:type="dxa" w:w="140"/>
            </w:tcMar>
          </w:tcPr>
          <w:p>
            <w:r>
              <w:rPr>
                <w:b w:val="false"/>
                <w:bCs w:val="false"/>
                <w:color w:val="166534"/>
                <w:sz w:val="18"/>
                <w:szCs w:val="18"/>
              </w:rPr>
              <w:t xml:space="preserve">✓ Severity, milestones, reports</w:t>
            </w:r>
          </w:p>
        </w:tc>
        <w:tc>
          <w:tcPr>
            <w:shd w:fill="FFFFFF" w:color="FFFFFF" w:val="clear"/>
            <w:tcMar>
              <w:top w:type="dxa" w:w="100"/>
              <w:left w:type="dxa" w:w="140"/>
              <w:bottom w:type="dxa" w:w="100"/>
              <w:right w:type="dxa" w:w="140"/>
            </w:tcMar>
          </w:tcPr>
          <w:p>
            <w:r>
              <w:rPr>
                <w:b w:val="false"/>
                <w:bCs w:val="false"/>
                <w:color w:val="1F2937"/>
                <w:sz w:val="18"/>
                <w:szCs w:val="18"/>
              </w:rPr>
              <w:t xml:space="preserve">—</w:t>
            </w:r>
          </w:p>
        </w:tc>
        <w:tc>
          <w:tcPr>
            <w:shd w:fill="FFFFFF" w:color="FFFFFF" w:val="clear"/>
            <w:tcMar>
              <w:top w:type="dxa" w:w="100"/>
              <w:left w:type="dxa" w:w="140"/>
              <w:bottom w:type="dxa" w:w="100"/>
              <w:right w:type="dxa" w:w="140"/>
            </w:tcMar>
          </w:tcPr>
          <w:p>
            <w:r>
              <w:rPr>
                <w:b w:val="false"/>
                <w:bCs w:val="false"/>
                <w:color w:val="166534"/>
                <w:sz w:val="18"/>
                <w:szCs w:val="18"/>
              </w:rPr>
              <w:t xml:space="preserve">✓ Incident Management module</w:t>
            </w:r>
          </w:p>
        </w:tc>
      </w:tr>
      <w:tr>
        <w:trPr>
          <w:tblHeader w:val="false"/>
        </w:trPr>
        <w:tc>
          <w:tcPr>
            <w:shd w:fill="EFF6FF" w:color="EFF6FF" w:val="clear"/>
            <w:tcMar>
              <w:top w:type="dxa" w:w="100"/>
              <w:left w:type="dxa" w:w="140"/>
              <w:bottom w:type="dxa" w:w="100"/>
              <w:right w:type="dxa" w:w="140"/>
            </w:tcMar>
          </w:tcPr>
          <w:p>
            <w:r>
              <w:rPr>
                <w:b w:val="false"/>
                <w:bCs w:val="false"/>
                <w:color w:val="1F2937"/>
                <w:sz w:val="18"/>
                <w:szCs w:val="18"/>
              </w:rPr>
              <w:t xml:space="preserve">Multi-Site / Group Structure</w:t>
            </w:r>
          </w:p>
        </w:tc>
        <w:tc>
          <w:tcPr>
            <w:shd w:fill="EFF6FF" w:color="EFF6FF" w:val="clear"/>
            <w:tcMar>
              <w:top w:type="dxa" w:w="100"/>
              <w:left w:type="dxa" w:w="140"/>
              <w:bottom w:type="dxa" w:w="100"/>
              <w:right w:type="dxa" w:w="140"/>
            </w:tcMar>
          </w:tcPr>
          <w:p>
            <w:r>
              <w:rPr>
                <w:b w:val="false"/>
                <w:bCs w:val="false"/>
                <w:color w:val="166534"/>
                <w:sz w:val="18"/>
                <w:szCs w:val="18"/>
              </w:rPr>
              <w:t xml:space="preserve">✓ Group owner hierarchy</w:t>
            </w:r>
          </w:p>
        </w:tc>
        <w:tc>
          <w:tcPr>
            <w:shd w:fill="EFF6FF" w:color="EFF6FF" w:val="clear"/>
            <w:tcMar>
              <w:top w:type="dxa" w:w="100"/>
              <w:left w:type="dxa" w:w="140"/>
              <w:bottom w:type="dxa" w:w="100"/>
              <w:right w:type="dxa" w:w="140"/>
            </w:tcMar>
          </w:tcPr>
          <w:p>
            <w:r>
              <w:rPr>
                <w:b w:val="false"/>
                <w:bCs w:val="false"/>
                <w:color w:val="1F2937"/>
                <w:sz w:val="18"/>
                <w:szCs w:val="18"/>
              </w:rPr>
              <w:t xml:space="preserve">—</w:t>
            </w:r>
          </w:p>
        </w:tc>
        <w:tc>
          <w:tcPr>
            <w:shd w:fill="EFF6FF" w:color="EFF6FF" w:val="clear"/>
            <w:tcMar>
              <w:top w:type="dxa" w:w="100"/>
              <w:left w:type="dxa" w:w="140"/>
              <w:bottom w:type="dxa" w:w="100"/>
              <w:right w:type="dxa" w:w="140"/>
            </w:tcMar>
          </w:tcPr>
          <w:p>
            <w:r>
              <w:rPr>
                <w:b w:val="false"/>
                <w:bCs w:val="false"/>
                <w:color w:val="166534"/>
                <w:sz w:val="18"/>
                <w:szCs w:val="18"/>
              </w:rPr>
              <w:t xml:space="preserve">✓ Multi-site support</w:t>
            </w:r>
          </w:p>
        </w:tc>
      </w:tr>
      <w:tr>
        <w:trPr>
          <w:tblHeader w:val="false"/>
        </w:trPr>
        <w:tc>
          <w:tcPr>
            <w:shd w:fill="FFFFFF" w:color="FFFFFF" w:val="clear"/>
            <w:tcMar>
              <w:top w:type="dxa" w:w="100"/>
              <w:left w:type="dxa" w:w="140"/>
              <w:bottom w:type="dxa" w:w="100"/>
              <w:right w:type="dxa" w:w="140"/>
            </w:tcMar>
          </w:tcPr>
          <w:p>
            <w:r>
              <w:rPr>
                <w:b w:val="false"/>
                <w:bCs w:val="false"/>
                <w:color w:val="1F2937"/>
                <w:sz w:val="18"/>
                <w:szCs w:val="18"/>
              </w:rPr>
              <w:t xml:space="preserve">Full Audit Trail</w:t>
            </w:r>
          </w:p>
        </w:tc>
        <w:tc>
          <w:tcPr>
            <w:shd w:fill="FFFFFF" w:color="FFFFFF" w:val="clear"/>
            <w:tcMar>
              <w:top w:type="dxa" w:w="100"/>
              <w:left w:type="dxa" w:w="140"/>
              <w:bottom w:type="dxa" w:w="100"/>
              <w:right w:type="dxa" w:w="140"/>
            </w:tcMar>
          </w:tcPr>
          <w:p>
            <w:r>
              <w:rPr>
                <w:b w:val="false"/>
                <w:bCs w:val="false"/>
                <w:color w:val="166534"/>
                <w:sz w:val="18"/>
                <w:szCs w:val="18"/>
              </w:rPr>
              <w:t xml:space="preserve">✓ Every action logged</w:t>
            </w:r>
          </w:p>
        </w:tc>
        <w:tc>
          <w:tcPr>
            <w:shd w:fill="FFFFFF" w:color="FFFFFF" w:val="clear"/>
            <w:tcMar>
              <w:top w:type="dxa" w:w="100"/>
              <w:left w:type="dxa" w:w="140"/>
              <w:bottom w:type="dxa" w:w="100"/>
              <w:right w:type="dxa" w:w="140"/>
            </w:tcMar>
          </w:tcPr>
          <w:p>
            <w:r>
              <w:rPr>
                <w:b w:val="false"/>
                <w:bCs w:val="false"/>
                <w:color w:val="1F2937"/>
                <w:sz w:val="18"/>
                <w:szCs w:val="18"/>
              </w:rPr>
              <w:t xml:space="preserve">—</w:t>
            </w:r>
          </w:p>
        </w:tc>
        <w:tc>
          <w:tcPr>
            <w:shd w:fill="FFFFFF" w:color="FFFFFF" w:val="clear"/>
            <w:tcMar>
              <w:top w:type="dxa" w:w="100"/>
              <w:left w:type="dxa" w:w="140"/>
              <w:bottom w:type="dxa" w:w="100"/>
              <w:right w:type="dxa" w:w="140"/>
            </w:tcMar>
          </w:tcPr>
          <w:p>
            <w:r>
              <w:rPr>
                <w:b w:val="false"/>
                <w:bCs w:val="false"/>
                <w:color w:val="166534"/>
                <w:sz w:val="18"/>
                <w:szCs w:val="18"/>
              </w:rPr>
              <w:t xml:space="preserve">✓ Full audit trail</w:t>
            </w:r>
          </w:p>
        </w:tc>
      </w:tr>
      <w:tr>
        <w:trPr>
          <w:tblHeader w:val="false"/>
        </w:trPr>
        <w:tc>
          <w:tcPr>
            <w:shd w:fill="EFF6FF" w:color="EFF6FF" w:val="clear"/>
            <w:tcMar>
              <w:top w:type="dxa" w:w="100"/>
              <w:left w:type="dxa" w:w="140"/>
              <w:bottom w:type="dxa" w:w="100"/>
              <w:right w:type="dxa" w:w="140"/>
            </w:tcMar>
          </w:tcPr>
          <w:p>
            <w:r>
              <w:rPr>
                <w:b w:val="false"/>
                <w:bCs w:val="false"/>
                <w:color w:val="1F2937"/>
                <w:sz w:val="18"/>
                <w:szCs w:val="18"/>
              </w:rPr>
              <w:t xml:space="preserve">Real-Time Notifications</w:t>
            </w:r>
          </w:p>
        </w:tc>
        <w:tc>
          <w:tcPr>
            <w:shd w:fill="EFF6FF" w:color="EFF6FF" w:val="clear"/>
            <w:tcMar>
              <w:top w:type="dxa" w:w="100"/>
              <w:left w:type="dxa" w:w="140"/>
              <w:bottom w:type="dxa" w:w="100"/>
              <w:right w:type="dxa" w:w="140"/>
            </w:tcMar>
          </w:tcPr>
          <w:p>
            <w:r>
              <w:rPr>
                <w:b w:val="false"/>
                <w:bCs w:val="false"/>
                <w:color w:val="166534"/>
                <w:sz w:val="18"/>
                <w:szCs w:val="18"/>
              </w:rPr>
              <w:t xml:space="preserve">✓ SSE-based alerts</w:t>
            </w:r>
          </w:p>
        </w:tc>
        <w:tc>
          <w:tcPr>
            <w:shd w:fill="EFF6FF" w:color="EFF6FF" w:val="clear"/>
            <w:tcMar>
              <w:top w:type="dxa" w:w="100"/>
              <w:left w:type="dxa" w:w="140"/>
              <w:bottom w:type="dxa" w:w="100"/>
              <w:right w:type="dxa" w:w="140"/>
            </w:tcMar>
          </w:tcPr>
          <w:p>
            <w:r>
              <w:rPr>
                <w:b w:val="false"/>
                <w:bCs w:val="false"/>
                <w:color w:val="1F2937"/>
                <w:sz w:val="18"/>
                <w:szCs w:val="18"/>
              </w:rPr>
              <w:t xml:space="preserve">—</w:t>
            </w:r>
          </w:p>
        </w:tc>
        <w:tc>
          <w:tcPr>
            <w:shd w:fill="EFF6FF" w:color="EFF6FF" w:val="clear"/>
            <w:tcMar>
              <w:top w:type="dxa" w:w="100"/>
              <w:left w:type="dxa" w:w="140"/>
              <w:bottom w:type="dxa" w:w="100"/>
              <w:right w:type="dxa" w:w="140"/>
            </w:tcMar>
          </w:tcPr>
          <w:p>
            <w:r>
              <w:rPr>
                <w:b w:val="false"/>
                <w:bCs w:val="false"/>
                <w:color w:val="166534"/>
                <w:sz w:val="18"/>
                <w:szCs w:val="18"/>
              </w:rPr>
              <w:t xml:space="preserve">✓ Safety Alerts module</w:t>
            </w:r>
          </w:p>
        </w:tc>
      </w:tr>
      <w:tr>
        <w:trPr>
          <w:tblHeader w:val="false"/>
        </w:trPr>
        <w:tc>
          <w:tcPr>
            <w:shd w:fill="FFFFFF" w:color="FFFFFF" w:val="clear"/>
            <w:tcMar>
              <w:top w:type="dxa" w:w="100"/>
              <w:left w:type="dxa" w:w="140"/>
              <w:bottom w:type="dxa" w:w="100"/>
              <w:right w:type="dxa" w:w="140"/>
            </w:tcMar>
          </w:tcPr>
          <w:p>
            <w:r>
              <w:rPr>
                <w:b w:val="false"/>
                <w:bCs w:val="false"/>
                <w:color w:val="1F2937"/>
                <w:sz w:val="18"/>
                <w:szCs w:val="18"/>
              </w:rPr>
              <w:t xml:space="preserve">Training / Certification</w:t>
            </w:r>
          </w:p>
        </w:tc>
        <w:tc>
          <w:tcPr>
            <w:shd w:fill="FFFFFF" w:color="FFFFFF" w:val="clear"/>
            <w:tcMar>
              <w:top w:type="dxa" w:w="100"/>
              <w:left w:type="dxa" w:w="140"/>
              <w:bottom w:type="dxa" w:w="100"/>
              <w:right w:type="dxa" w:w="140"/>
            </w:tcMar>
          </w:tcPr>
          <w:p>
            <w:r>
              <w:rPr>
                <w:b w:val="false"/>
                <w:bCs w:val="false"/>
                <w:color w:val="166534"/>
                <w:sz w:val="18"/>
                <w:szCs w:val="18"/>
              </w:rPr>
              <w:t xml:space="preserve">✓ Bookings &amp; records</w:t>
            </w:r>
          </w:p>
        </w:tc>
        <w:tc>
          <w:tcPr>
            <w:shd w:fill="FFFFFF" w:color="FFFFFF" w:val="clear"/>
            <w:tcMar>
              <w:top w:type="dxa" w:w="100"/>
              <w:left w:type="dxa" w:w="140"/>
              <w:bottom w:type="dxa" w:w="100"/>
              <w:right w:type="dxa" w:w="140"/>
            </w:tcMar>
          </w:tcPr>
          <w:p>
            <w:r>
              <w:rPr>
                <w:b w:val="false"/>
                <w:bCs w:val="false"/>
                <w:color w:val="0D8FA4"/>
                <w:sz w:val="18"/>
                <w:szCs w:val="18"/>
              </w:rPr>
              <w:t xml:space="preserve">→ Expanded module</w:t>
            </w:r>
          </w:p>
        </w:tc>
        <w:tc>
          <w:tcPr>
            <w:shd w:fill="FFFFFF" w:color="FFFFFF" w:val="clear"/>
            <w:tcMar>
              <w:top w:type="dxa" w:w="100"/>
              <w:left w:type="dxa" w:w="140"/>
              <w:bottom w:type="dxa" w:w="100"/>
              <w:right w:type="dxa" w:w="140"/>
            </w:tcMar>
          </w:tcPr>
          <w:p>
            <w:r>
              <w:rPr>
                <w:b w:val="false"/>
                <w:bCs w:val="false"/>
                <w:color w:val="166534"/>
                <w:sz w:val="18"/>
                <w:szCs w:val="18"/>
              </w:rPr>
              <w:t xml:space="preserve">✓ Certification Management</w:t>
            </w:r>
          </w:p>
        </w:tc>
      </w:tr>
      <w:tr>
        <w:trPr>
          <w:tblHeader w:val="false"/>
        </w:trPr>
        <w:tc>
          <w:tcPr>
            <w:shd w:fill="EFF6FF" w:color="EFF6FF" w:val="clear"/>
            <w:tcMar>
              <w:top w:type="dxa" w:w="100"/>
              <w:left w:type="dxa" w:w="140"/>
              <w:bottom w:type="dxa" w:w="100"/>
              <w:right w:type="dxa" w:w="140"/>
            </w:tcMar>
          </w:tcPr>
          <w:p>
            <w:r>
              <w:rPr>
                <w:b w:val="false"/>
                <w:bCs w:val="false"/>
                <w:color w:val="1F2937"/>
                <w:sz w:val="18"/>
                <w:szCs w:val="18"/>
              </w:rPr>
              <w:t xml:space="preserve">Employment Law Cases</w:t>
            </w:r>
          </w:p>
        </w:tc>
        <w:tc>
          <w:tcPr>
            <w:shd w:fill="EFF6FF" w:color="EFF6FF" w:val="clear"/>
            <w:tcMar>
              <w:top w:type="dxa" w:w="100"/>
              <w:left w:type="dxa" w:w="140"/>
              <w:bottom w:type="dxa" w:w="100"/>
              <w:right w:type="dxa" w:w="140"/>
            </w:tcMar>
          </w:tcPr>
          <w:p>
            <w:r>
              <w:rPr>
                <w:b w:val="false"/>
                <w:bCs w:val="false"/>
                <w:color w:val="7C3AED"/>
                <w:sz w:val="18"/>
                <w:szCs w:val="18"/>
              </w:rPr>
              <w:t xml:space="preserve">★ UNIQUE — no equivalent anywhere</w:t>
            </w:r>
          </w:p>
        </w:tc>
        <w:tc>
          <w:tcPr>
            <w:shd w:fill="EFF6FF" w:color="EFF6FF" w:val="clear"/>
            <w:tcMar>
              <w:top w:type="dxa" w:w="100"/>
              <w:left w:type="dxa" w:w="140"/>
              <w:bottom w:type="dxa" w:w="100"/>
              <w:right w:type="dxa" w:w="140"/>
            </w:tcMar>
          </w:tcPr>
          <w:p>
            <w:r>
              <w:rPr>
                <w:b w:val="false"/>
                <w:bCs w:val="false"/>
                <w:color w:val="1F2937"/>
                <w:sz w:val="18"/>
                <w:szCs w:val="18"/>
              </w:rPr>
              <w:t xml:space="preserve">—</w:t>
            </w:r>
          </w:p>
        </w:tc>
        <w:tc>
          <w:tcPr>
            <w:shd w:fill="EFF6FF" w:color="EFF6FF" w:val="clear"/>
            <w:tcMar>
              <w:top w:type="dxa" w:w="100"/>
              <w:left w:type="dxa" w:w="140"/>
              <w:bottom w:type="dxa" w:w="100"/>
              <w:right w:type="dxa" w:w="140"/>
            </w:tcMar>
          </w:tcPr>
          <w:p>
            <w:r>
              <w:rPr>
                <w:b w:val="false"/>
                <w:bCs w:val="false"/>
                <w:color w:val="991B1B"/>
                <w:sz w:val="18"/>
                <w:szCs w:val="18"/>
              </w:rPr>
              <w:t xml:space="preserve">✗ Not offered</w:t>
            </w:r>
          </w:p>
        </w:tc>
      </w:tr>
      <w:tr>
        <w:trPr>
          <w:tblHeader w:val="false"/>
        </w:trPr>
        <w:tc>
          <w:tcPr>
            <w:shd w:fill="FFFFFF" w:color="FFFFFF" w:val="clear"/>
            <w:tcMar>
              <w:top w:type="dxa" w:w="100"/>
              <w:left w:type="dxa" w:w="140"/>
              <w:bottom w:type="dxa" w:w="100"/>
              <w:right w:type="dxa" w:w="140"/>
            </w:tcMar>
          </w:tcPr>
          <w:p>
            <w:r>
              <w:rPr>
                <w:b w:val="false"/>
                <w:bCs w:val="false"/>
                <w:color w:val="1F2937"/>
                <w:sz w:val="18"/>
                <w:szCs w:val="18"/>
              </w:rPr>
              <w:t xml:space="preserve">HR + H&amp;S + EL Combined</w:t>
            </w:r>
          </w:p>
        </w:tc>
        <w:tc>
          <w:tcPr>
            <w:shd w:fill="FFFFFF" w:color="FFFFFF" w:val="clear"/>
            <w:tcMar>
              <w:top w:type="dxa" w:w="100"/>
              <w:left w:type="dxa" w:w="140"/>
              <w:bottom w:type="dxa" w:w="100"/>
              <w:right w:type="dxa" w:w="140"/>
            </w:tcMar>
          </w:tcPr>
          <w:p>
            <w:r>
              <w:rPr>
                <w:b w:val="false"/>
                <w:bCs w:val="false"/>
                <w:color w:val="7C3AED"/>
                <w:sz w:val="18"/>
                <w:szCs w:val="18"/>
              </w:rPr>
              <w:t xml:space="preserve">★ UNIQUE — unified platform</w:t>
            </w:r>
          </w:p>
        </w:tc>
        <w:tc>
          <w:tcPr>
            <w:shd w:fill="FFFFFF" w:color="FFFFFF" w:val="clear"/>
            <w:tcMar>
              <w:top w:type="dxa" w:w="100"/>
              <w:left w:type="dxa" w:w="140"/>
              <w:bottom w:type="dxa" w:w="100"/>
              <w:right w:type="dxa" w:w="140"/>
            </w:tcMar>
          </w:tcPr>
          <w:p>
            <w:r>
              <w:rPr>
                <w:b w:val="false"/>
                <w:bCs w:val="false"/>
                <w:color w:val="1F2937"/>
                <w:sz w:val="18"/>
                <w:szCs w:val="18"/>
              </w:rPr>
              <w:t xml:space="preserve">—</w:t>
            </w:r>
          </w:p>
        </w:tc>
        <w:tc>
          <w:tcPr>
            <w:shd w:fill="FFFFFF" w:color="FFFFFF" w:val="clear"/>
            <w:tcMar>
              <w:top w:type="dxa" w:w="100"/>
              <w:left w:type="dxa" w:w="140"/>
              <w:bottom w:type="dxa" w:w="100"/>
              <w:right w:type="dxa" w:w="140"/>
            </w:tcMar>
          </w:tcPr>
          <w:p>
            <w:r>
              <w:rPr>
                <w:b w:val="false"/>
                <w:bCs w:val="false"/>
                <w:color w:val="991B1B"/>
                <w:sz w:val="18"/>
                <w:szCs w:val="18"/>
              </w:rPr>
              <w:t xml:space="preserve">✗ Not offered</w:t>
            </w:r>
          </w:p>
        </w:tc>
      </w:tr>
      <w:tr>
        <w:trPr>
          <w:tblHeader w:val="false"/>
        </w:trPr>
        <w:tc>
          <w:tcPr>
            <w:shd w:fill="EFF6FF" w:color="EFF6FF" w:val="clear"/>
            <w:tcMar>
              <w:top w:type="dxa" w:w="100"/>
              <w:left w:type="dxa" w:w="140"/>
              <w:bottom w:type="dxa" w:w="100"/>
              <w:right w:type="dxa" w:w="140"/>
            </w:tcMar>
          </w:tcPr>
          <w:p>
            <w:r>
              <w:rPr>
                <w:b w:val="false"/>
                <w:bCs w:val="false"/>
                <w:color w:val="1F2937"/>
                <w:sz w:val="18"/>
                <w:szCs w:val="18"/>
              </w:rPr>
              <w:t xml:space="preserve">CRM API Sync</w:t>
            </w:r>
          </w:p>
        </w:tc>
        <w:tc>
          <w:tcPr>
            <w:shd w:fill="EFF6FF" w:color="EFF6FF" w:val="clear"/>
            <w:tcMar>
              <w:top w:type="dxa" w:w="100"/>
              <w:left w:type="dxa" w:w="140"/>
              <w:bottom w:type="dxa" w:w="100"/>
              <w:right w:type="dxa" w:w="140"/>
            </w:tcMar>
          </w:tcPr>
          <w:p>
            <w:r>
              <w:rPr>
                <w:b w:val="false"/>
                <w:bCs w:val="false"/>
                <w:color w:val="166534"/>
                <w:sz w:val="18"/>
                <w:szCs w:val="18"/>
              </w:rPr>
              <w:t xml:space="preserve">✓ May 26 (first link live)</w:t>
            </w:r>
          </w:p>
        </w:tc>
        <w:tc>
          <w:tcPr>
            <w:shd w:fill="EFF6FF" w:color="EFF6FF" w:val="clear"/>
            <w:tcMar>
              <w:top w:type="dxa" w:w="100"/>
              <w:left w:type="dxa" w:w="140"/>
              <w:bottom w:type="dxa" w:w="100"/>
              <w:right w:type="dxa" w:w="140"/>
            </w:tcMar>
          </w:tcPr>
          <w:p>
            <w:r>
              <w:rPr>
                <w:b w:val="false"/>
                <w:bCs w:val="false"/>
                <w:color w:val="0D8FA4"/>
                <w:sz w:val="18"/>
                <w:szCs w:val="18"/>
              </w:rPr>
              <w:t xml:space="preserve">→ Full sync Oct 26</w:t>
            </w:r>
          </w:p>
        </w:tc>
        <w:tc>
          <w:tcPr>
            <w:shd w:fill="EFF6FF" w:color="EFF6FF" w:val="clear"/>
            <w:tcMar>
              <w:top w:type="dxa" w:w="100"/>
              <w:left w:type="dxa" w:w="140"/>
              <w:bottom w:type="dxa" w:w="100"/>
              <w:right w:type="dxa" w:w="140"/>
            </w:tcMar>
          </w:tcPr>
          <w:p>
            <w:r>
              <w:rPr>
                <w:b w:val="false"/>
                <w:bCs w:val="false"/>
                <w:color w:val="991B1B"/>
                <w:sz w:val="18"/>
                <w:szCs w:val="18"/>
              </w:rPr>
              <w:t xml:space="preserve">✗ Not offered</w:t>
            </w:r>
          </w:p>
        </w:tc>
      </w:tr>
      <w:tr>
        <w:trPr>
          <w:tblHeader w:val="false"/>
        </w:trPr>
        <w:tc>
          <w:tcPr>
            <w:shd w:fill="FFFFFF" w:color="FFFFFF" w:val="clear"/>
            <w:tcMar>
              <w:top w:type="dxa" w:w="100"/>
              <w:left w:type="dxa" w:w="140"/>
              <w:bottom w:type="dxa" w:w="100"/>
              <w:right w:type="dxa" w:w="140"/>
            </w:tcMar>
          </w:tcPr>
          <w:p>
            <w:r>
              <w:rPr>
                <w:b w:val="false"/>
                <w:bCs w:val="false"/>
                <w:color w:val="1F2937"/>
                <w:sz w:val="18"/>
                <w:szCs w:val="18"/>
              </w:rPr>
              <w:t xml:space="preserve">Mobile / On-Site Capture</w:t>
            </w:r>
          </w:p>
        </w:tc>
        <w:tc>
          <w:tcPr>
            <w:shd w:fill="FFFFFF" w:color="FFFFFF" w:val="clear"/>
            <w:tcMar>
              <w:top w:type="dxa" w:w="100"/>
              <w:left w:type="dxa" w:w="140"/>
              <w:bottom w:type="dxa" w:w="100"/>
              <w:right w:type="dxa" w:w="140"/>
            </w:tcMar>
          </w:tcPr>
          <w:p>
            <w:r>
              <w:rPr>
                <w:b w:val="false"/>
                <w:bCs w:val="false"/>
                <w:color w:val="991B1B"/>
                <w:sz w:val="18"/>
                <w:szCs w:val="18"/>
              </w:rPr>
              <w:t xml:space="preserve">✗ Not yet</w:t>
            </w:r>
          </w:p>
        </w:tc>
        <w:tc>
          <w:tcPr>
            <w:shd w:fill="FFFFFF" w:color="FFFFFF" w:val="clear"/>
            <w:tcMar>
              <w:top w:type="dxa" w:w="100"/>
              <w:left w:type="dxa" w:w="140"/>
              <w:bottom w:type="dxa" w:w="100"/>
              <w:right w:type="dxa" w:w="140"/>
            </w:tcMar>
          </w:tcPr>
          <w:p>
            <w:r>
              <w:rPr>
                <w:b w:val="false"/>
                <w:bCs w:val="false"/>
                <w:color w:val="0D8FA4"/>
                <w:sz w:val="18"/>
                <w:szCs w:val="18"/>
              </w:rPr>
              <w:t xml:space="preserve">→ Guardian App Mar 27</w:t>
            </w:r>
          </w:p>
        </w:tc>
        <w:tc>
          <w:tcPr>
            <w:shd w:fill="FFFFFF" w:color="FFFFFF" w:val="clear"/>
            <w:tcMar>
              <w:top w:type="dxa" w:w="100"/>
              <w:left w:type="dxa" w:w="140"/>
              <w:bottom w:type="dxa" w:w="100"/>
              <w:right w:type="dxa" w:w="140"/>
            </w:tcMar>
          </w:tcPr>
          <w:p>
            <w:r>
              <w:rPr>
                <w:b w:val="false"/>
                <w:bCs w:val="false"/>
                <w:color w:val="166534"/>
                <w:sz w:val="18"/>
                <w:szCs w:val="18"/>
              </w:rPr>
              <w:t xml:space="preserve">✓ Mobile-first platform</w:t>
            </w:r>
          </w:p>
        </w:tc>
      </w:tr>
      <w:tr>
        <w:trPr>
          <w:tblHeader w:val="false"/>
        </w:trPr>
        <w:tc>
          <w:tcPr>
            <w:shd w:fill="EFF6FF" w:color="EFF6FF" w:val="clear"/>
            <w:tcMar>
              <w:top w:type="dxa" w:w="100"/>
              <w:left w:type="dxa" w:w="140"/>
              <w:bottom w:type="dxa" w:w="100"/>
              <w:right w:type="dxa" w:w="140"/>
            </w:tcMar>
          </w:tcPr>
          <w:p>
            <w:r>
              <w:rPr>
                <w:b w:val="false"/>
                <w:bCs w:val="false"/>
                <w:color w:val="1F2937"/>
                <w:sz w:val="18"/>
                <w:szCs w:val="18"/>
              </w:rPr>
              <w:t xml:space="preserve">Checklists &amp; Inspections</w:t>
            </w:r>
          </w:p>
        </w:tc>
        <w:tc>
          <w:tcPr>
            <w:shd w:fill="EFF6FF" w:color="EFF6FF" w:val="clear"/>
            <w:tcMar>
              <w:top w:type="dxa" w:w="100"/>
              <w:left w:type="dxa" w:w="140"/>
              <w:bottom w:type="dxa" w:w="100"/>
              <w:right w:type="dxa" w:w="140"/>
            </w:tcMar>
          </w:tcPr>
          <w:p>
            <w:r>
              <w:rPr>
                <w:b w:val="false"/>
                <w:bCs w:val="false"/>
                <w:color w:val="991B1B"/>
                <w:sz w:val="18"/>
                <w:szCs w:val="18"/>
              </w:rPr>
              <w:t xml:space="preserve">✗ Not yet</w:t>
            </w:r>
          </w:p>
        </w:tc>
        <w:tc>
          <w:tcPr>
            <w:shd w:fill="EFF6FF" w:color="EFF6FF" w:val="clear"/>
            <w:tcMar>
              <w:top w:type="dxa" w:w="100"/>
              <w:left w:type="dxa" w:w="140"/>
              <w:bottom w:type="dxa" w:w="100"/>
              <w:right w:type="dxa" w:w="140"/>
            </w:tcMar>
          </w:tcPr>
          <w:p>
            <w:r>
              <w:rPr>
                <w:b w:val="false"/>
                <w:bCs w:val="false"/>
                <w:color w:val="0D8FA4"/>
                <w:sz w:val="18"/>
                <w:szCs w:val="18"/>
              </w:rPr>
              <w:t xml:space="preserve">→ Guardian App forms</w:t>
            </w:r>
          </w:p>
        </w:tc>
        <w:tc>
          <w:tcPr>
            <w:shd w:fill="EFF6FF" w:color="EFF6FF" w:val="clear"/>
            <w:tcMar>
              <w:top w:type="dxa" w:w="100"/>
              <w:left w:type="dxa" w:w="140"/>
              <w:bottom w:type="dxa" w:w="100"/>
              <w:right w:type="dxa" w:w="140"/>
            </w:tcMar>
          </w:tcPr>
          <w:p>
            <w:r>
              <w:rPr>
                <w:b w:val="false"/>
                <w:bCs w:val="false"/>
                <w:color w:val="166534"/>
                <w:sz w:val="18"/>
                <w:szCs w:val="18"/>
              </w:rPr>
              <w:t xml:space="preserve">✓ Full dedicated module</w:t>
            </w:r>
          </w:p>
        </w:tc>
      </w:tr>
      <w:tr>
        <w:trPr>
          <w:tblHeader w:val="false"/>
        </w:trPr>
        <w:tc>
          <w:tcPr>
            <w:shd w:fill="FFFFFF" w:color="FFFFFF" w:val="clear"/>
            <w:tcMar>
              <w:top w:type="dxa" w:w="100"/>
              <w:left w:type="dxa" w:w="140"/>
              <w:bottom w:type="dxa" w:w="100"/>
              <w:right w:type="dxa" w:w="140"/>
            </w:tcMar>
          </w:tcPr>
          <w:p>
            <w:r>
              <w:rPr>
                <w:b w:val="false"/>
                <w:bCs w:val="false"/>
                <w:color w:val="1F2937"/>
                <w:sz w:val="18"/>
                <w:szCs w:val="18"/>
              </w:rPr>
              <w:t xml:space="preserve">RAMS / Risk Assessments</w:t>
            </w:r>
          </w:p>
        </w:tc>
        <w:tc>
          <w:tcPr>
            <w:shd w:fill="FFFFFF" w:color="FFFFFF" w:val="clear"/>
            <w:tcMar>
              <w:top w:type="dxa" w:w="100"/>
              <w:left w:type="dxa" w:w="140"/>
              <w:bottom w:type="dxa" w:w="100"/>
              <w:right w:type="dxa" w:w="140"/>
            </w:tcMar>
          </w:tcPr>
          <w:p>
            <w:r>
              <w:rPr>
                <w:b w:val="false"/>
                <w:bCs w:val="false"/>
                <w:color w:val="991B1B"/>
                <w:sz w:val="18"/>
                <w:szCs w:val="18"/>
              </w:rPr>
              <w:t xml:space="preserve">✗ Not yet</w:t>
            </w:r>
          </w:p>
        </w:tc>
        <w:tc>
          <w:tcPr>
            <w:shd w:fill="FFFFFF" w:color="FFFFFF" w:val="clear"/>
            <w:tcMar>
              <w:top w:type="dxa" w:w="100"/>
              <w:left w:type="dxa" w:w="140"/>
              <w:bottom w:type="dxa" w:w="100"/>
              <w:right w:type="dxa" w:w="140"/>
            </w:tcMar>
          </w:tcPr>
          <w:p>
            <w:r>
              <w:rPr>
                <w:b w:val="false"/>
                <w:bCs w:val="false"/>
                <w:color w:val="1F2937"/>
                <w:sz w:val="18"/>
                <w:szCs w:val="18"/>
              </w:rPr>
              <w:t xml:space="preserve">—</w:t>
            </w:r>
          </w:p>
        </w:tc>
        <w:tc>
          <w:tcPr>
            <w:shd w:fill="FFFFFF" w:color="FFFFFF" w:val="clear"/>
            <w:tcMar>
              <w:top w:type="dxa" w:w="100"/>
              <w:left w:type="dxa" w:w="140"/>
              <w:bottom w:type="dxa" w:w="100"/>
              <w:right w:type="dxa" w:w="140"/>
            </w:tcMar>
          </w:tcPr>
          <w:p>
            <w:r>
              <w:rPr>
                <w:b w:val="false"/>
                <w:bCs w:val="false"/>
                <w:color w:val="166534"/>
                <w:sz w:val="18"/>
                <w:szCs w:val="18"/>
              </w:rPr>
              <w:t xml:space="preserve">✓ RAMS Management module</w:t>
            </w:r>
          </w:p>
        </w:tc>
      </w:tr>
      <w:tr>
        <w:trPr>
          <w:tblHeader w:val="false"/>
        </w:trPr>
        <w:tc>
          <w:tcPr>
            <w:shd w:fill="EFF6FF" w:color="EFF6FF" w:val="clear"/>
            <w:tcMar>
              <w:top w:type="dxa" w:w="100"/>
              <w:left w:type="dxa" w:w="140"/>
              <w:bottom w:type="dxa" w:w="100"/>
              <w:right w:type="dxa" w:w="140"/>
            </w:tcMar>
          </w:tcPr>
          <w:p>
            <w:r>
              <w:rPr>
                <w:b w:val="false"/>
                <w:bCs w:val="false"/>
                <w:color w:val="1F2937"/>
                <w:sz w:val="18"/>
                <w:szCs w:val="18"/>
              </w:rPr>
              <w:t xml:space="preserve">Audit Management</w:t>
            </w:r>
          </w:p>
        </w:tc>
        <w:tc>
          <w:tcPr>
            <w:shd w:fill="EFF6FF" w:color="EFF6FF" w:val="clear"/>
            <w:tcMar>
              <w:top w:type="dxa" w:w="100"/>
              <w:left w:type="dxa" w:w="140"/>
              <w:bottom w:type="dxa" w:w="100"/>
              <w:right w:type="dxa" w:w="140"/>
            </w:tcMar>
          </w:tcPr>
          <w:p>
            <w:r>
              <w:rPr>
                <w:b w:val="false"/>
                <w:bCs w:val="false"/>
                <w:color w:val="991B1B"/>
                <w:sz w:val="18"/>
                <w:szCs w:val="18"/>
              </w:rPr>
              <w:t xml:space="preserve">✗ Not yet</w:t>
            </w:r>
          </w:p>
        </w:tc>
        <w:tc>
          <w:tcPr>
            <w:shd w:fill="EFF6FF" w:color="EFF6FF" w:val="clear"/>
            <w:tcMar>
              <w:top w:type="dxa" w:w="100"/>
              <w:left w:type="dxa" w:w="140"/>
              <w:bottom w:type="dxa" w:w="100"/>
              <w:right w:type="dxa" w:w="140"/>
            </w:tcMar>
          </w:tcPr>
          <w:p>
            <w:r>
              <w:rPr>
                <w:b w:val="false"/>
                <w:bCs w:val="false"/>
                <w:color w:val="1F2937"/>
                <w:sz w:val="18"/>
                <w:szCs w:val="18"/>
              </w:rPr>
              <w:t xml:space="preserve">—</w:t>
            </w:r>
          </w:p>
        </w:tc>
        <w:tc>
          <w:tcPr>
            <w:shd w:fill="EFF6FF" w:color="EFF6FF" w:val="clear"/>
            <w:tcMar>
              <w:top w:type="dxa" w:w="100"/>
              <w:left w:type="dxa" w:w="140"/>
              <w:bottom w:type="dxa" w:w="100"/>
              <w:right w:type="dxa" w:w="140"/>
            </w:tcMar>
          </w:tcPr>
          <w:p>
            <w:r>
              <w:rPr>
                <w:b w:val="false"/>
                <w:bCs w:val="false"/>
                <w:color w:val="166534"/>
                <w:sz w:val="18"/>
                <w:szCs w:val="18"/>
              </w:rPr>
              <w:t xml:space="preserve">✓ Configurable module</w:t>
            </w:r>
          </w:p>
        </w:tc>
      </w:tr>
      <w:tr>
        <w:trPr>
          <w:tblHeader w:val="false"/>
        </w:trPr>
        <w:tc>
          <w:tcPr>
            <w:shd w:fill="FFFFFF" w:color="FFFFFF" w:val="clear"/>
            <w:tcMar>
              <w:top w:type="dxa" w:w="100"/>
              <w:left w:type="dxa" w:w="140"/>
              <w:bottom w:type="dxa" w:w="100"/>
              <w:right w:type="dxa" w:w="140"/>
            </w:tcMar>
          </w:tcPr>
          <w:p>
            <w:r>
              <w:rPr>
                <w:b w:val="false"/>
                <w:bCs w:val="false"/>
                <w:color w:val="1F2937"/>
                <w:sz w:val="18"/>
                <w:szCs w:val="18"/>
              </w:rPr>
              <w:t xml:space="preserve">Asset Management</w:t>
            </w:r>
          </w:p>
        </w:tc>
        <w:tc>
          <w:tcPr>
            <w:shd w:fill="FFFFFF" w:color="FFFFFF" w:val="clear"/>
            <w:tcMar>
              <w:top w:type="dxa" w:w="100"/>
              <w:left w:type="dxa" w:w="140"/>
              <w:bottom w:type="dxa" w:w="100"/>
              <w:right w:type="dxa" w:w="140"/>
            </w:tcMar>
          </w:tcPr>
          <w:p>
            <w:r>
              <w:rPr>
                <w:b w:val="false"/>
                <w:bCs w:val="false"/>
                <w:color w:val="991B1B"/>
                <w:sz w:val="18"/>
                <w:szCs w:val="18"/>
              </w:rPr>
              <w:t xml:space="preserve">✗ Not yet</w:t>
            </w:r>
          </w:p>
        </w:tc>
        <w:tc>
          <w:tcPr>
            <w:shd w:fill="FFFFFF" w:color="FFFFFF" w:val="clear"/>
            <w:tcMar>
              <w:top w:type="dxa" w:w="100"/>
              <w:left w:type="dxa" w:w="140"/>
              <w:bottom w:type="dxa" w:w="100"/>
              <w:right w:type="dxa" w:w="140"/>
            </w:tcMar>
          </w:tcPr>
          <w:p>
            <w:r>
              <w:rPr>
                <w:b w:val="false"/>
                <w:bCs w:val="false"/>
                <w:color w:val="1F2937"/>
                <w:sz w:val="18"/>
                <w:szCs w:val="18"/>
              </w:rPr>
              <w:t xml:space="preserve">—</w:t>
            </w:r>
          </w:p>
        </w:tc>
        <w:tc>
          <w:tcPr>
            <w:shd w:fill="FFFFFF" w:color="FFFFFF" w:val="clear"/>
            <w:tcMar>
              <w:top w:type="dxa" w:w="100"/>
              <w:left w:type="dxa" w:w="140"/>
              <w:bottom w:type="dxa" w:w="100"/>
              <w:right w:type="dxa" w:w="140"/>
            </w:tcMar>
          </w:tcPr>
          <w:p>
            <w:r>
              <w:rPr>
                <w:b w:val="false"/>
                <w:bCs w:val="false"/>
                <w:color w:val="166534"/>
                <w:sz w:val="18"/>
                <w:szCs w:val="18"/>
              </w:rPr>
              <w:t xml:space="preserve">✓ Full module</w:t>
            </w:r>
          </w:p>
        </w:tc>
      </w:tr>
      <w:tr>
        <w:trPr>
          <w:tblHeader w:val="false"/>
        </w:trPr>
        <w:tc>
          <w:tcPr>
            <w:shd w:fill="EFF6FF" w:color="EFF6FF" w:val="clear"/>
            <w:tcMar>
              <w:top w:type="dxa" w:w="100"/>
              <w:left w:type="dxa" w:w="140"/>
              <w:bottom w:type="dxa" w:w="100"/>
              <w:right w:type="dxa" w:w="140"/>
            </w:tcMar>
          </w:tcPr>
          <w:p>
            <w:r>
              <w:rPr>
                <w:b w:val="false"/>
                <w:bCs w:val="false"/>
                <w:color w:val="1F2937"/>
                <w:sz w:val="18"/>
                <w:szCs w:val="18"/>
              </w:rPr>
              <w:t xml:space="preserve">Contractor Management</w:t>
            </w:r>
          </w:p>
        </w:tc>
        <w:tc>
          <w:tcPr>
            <w:shd w:fill="EFF6FF" w:color="EFF6FF" w:val="clear"/>
            <w:tcMar>
              <w:top w:type="dxa" w:w="100"/>
              <w:left w:type="dxa" w:w="140"/>
              <w:bottom w:type="dxa" w:w="100"/>
              <w:right w:type="dxa" w:w="140"/>
            </w:tcMar>
          </w:tcPr>
          <w:p>
            <w:r>
              <w:rPr>
                <w:b w:val="false"/>
                <w:bCs w:val="false"/>
                <w:color w:val="991B1B"/>
                <w:sz w:val="18"/>
                <w:szCs w:val="18"/>
              </w:rPr>
              <w:t xml:space="preserve">✗ Not yet</w:t>
            </w:r>
          </w:p>
        </w:tc>
        <w:tc>
          <w:tcPr>
            <w:shd w:fill="EFF6FF" w:color="EFF6FF" w:val="clear"/>
            <w:tcMar>
              <w:top w:type="dxa" w:w="100"/>
              <w:left w:type="dxa" w:w="140"/>
              <w:bottom w:type="dxa" w:w="100"/>
              <w:right w:type="dxa" w:w="140"/>
            </w:tcMar>
          </w:tcPr>
          <w:p>
            <w:r>
              <w:rPr>
                <w:b w:val="false"/>
                <w:bCs w:val="false"/>
                <w:color w:val="1F2937"/>
                <w:sz w:val="18"/>
                <w:szCs w:val="18"/>
              </w:rPr>
              <w:t xml:space="preserve">—</w:t>
            </w:r>
          </w:p>
        </w:tc>
        <w:tc>
          <w:tcPr>
            <w:shd w:fill="EFF6FF" w:color="EFF6FF" w:val="clear"/>
            <w:tcMar>
              <w:top w:type="dxa" w:w="100"/>
              <w:left w:type="dxa" w:w="140"/>
              <w:bottom w:type="dxa" w:w="100"/>
              <w:right w:type="dxa" w:w="140"/>
            </w:tcMar>
          </w:tcPr>
          <w:p>
            <w:r>
              <w:rPr>
                <w:b w:val="false"/>
                <w:bCs w:val="false"/>
                <w:color w:val="166534"/>
                <w:sz w:val="18"/>
                <w:szCs w:val="18"/>
              </w:rPr>
              <w:t xml:space="preserve">✓ Full module</w:t>
            </w:r>
          </w:p>
        </w:tc>
      </w:tr>
      <w:tr>
        <w:trPr>
          <w:tblHeader w:val="false"/>
        </w:trPr>
        <w:tc>
          <w:tcPr>
            <w:shd w:fill="FFFFFF" w:color="FFFFFF" w:val="clear"/>
            <w:tcMar>
              <w:top w:type="dxa" w:w="100"/>
              <w:left w:type="dxa" w:w="140"/>
              <w:bottom w:type="dxa" w:w="100"/>
              <w:right w:type="dxa" w:w="140"/>
            </w:tcMar>
          </w:tcPr>
          <w:p>
            <w:r>
              <w:rPr>
                <w:b w:val="false"/>
                <w:bCs w:val="false"/>
                <w:color w:val="1F2937"/>
                <w:sz w:val="18"/>
                <w:szCs w:val="18"/>
              </w:rPr>
              <w:t xml:space="preserve">Permit to Work</w:t>
            </w:r>
          </w:p>
        </w:tc>
        <w:tc>
          <w:tcPr>
            <w:shd w:fill="FFFFFF" w:color="FFFFFF" w:val="clear"/>
            <w:tcMar>
              <w:top w:type="dxa" w:w="100"/>
              <w:left w:type="dxa" w:w="140"/>
              <w:bottom w:type="dxa" w:w="100"/>
              <w:right w:type="dxa" w:w="140"/>
            </w:tcMar>
          </w:tcPr>
          <w:p>
            <w:r>
              <w:rPr>
                <w:b w:val="false"/>
                <w:bCs w:val="false"/>
                <w:color w:val="991B1B"/>
                <w:sz w:val="18"/>
                <w:szCs w:val="18"/>
              </w:rPr>
              <w:t xml:space="preserve">✗ Not yet</w:t>
            </w:r>
          </w:p>
        </w:tc>
        <w:tc>
          <w:tcPr>
            <w:shd w:fill="FFFFFF" w:color="FFFFFF" w:val="clear"/>
            <w:tcMar>
              <w:top w:type="dxa" w:w="100"/>
              <w:left w:type="dxa" w:w="140"/>
              <w:bottom w:type="dxa" w:w="100"/>
              <w:right w:type="dxa" w:w="140"/>
            </w:tcMar>
          </w:tcPr>
          <w:p>
            <w:r>
              <w:rPr>
                <w:b w:val="false"/>
                <w:bCs w:val="false"/>
                <w:color w:val="1F2937"/>
                <w:sz w:val="18"/>
                <w:szCs w:val="18"/>
              </w:rPr>
              <w:t xml:space="preserve">—</w:t>
            </w:r>
          </w:p>
        </w:tc>
        <w:tc>
          <w:tcPr>
            <w:shd w:fill="FFFFFF" w:color="FFFFFF" w:val="clear"/>
            <w:tcMar>
              <w:top w:type="dxa" w:w="100"/>
              <w:left w:type="dxa" w:w="140"/>
              <w:bottom w:type="dxa" w:w="100"/>
              <w:right w:type="dxa" w:w="140"/>
            </w:tcMar>
          </w:tcPr>
          <w:p>
            <w:r>
              <w:rPr>
                <w:b w:val="false"/>
                <w:bCs w:val="false"/>
                <w:color w:val="166534"/>
                <w:sz w:val="18"/>
                <w:szCs w:val="18"/>
              </w:rPr>
              <w:t xml:space="preserve">✓ Full module</w:t>
            </w:r>
          </w:p>
        </w:tc>
      </w:tr>
      <w:tr>
        <w:trPr>
          <w:tblHeader w:val="false"/>
        </w:trPr>
        <w:tc>
          <w:tcPr>
            <w:shd w:fill="EFF6FF" w:color="EFF6FF" w:val="clear"/>
            <w:tcMar>
              <w:top w:type="dxa" w:w="100"/>
              <w:left w:type="dxa" w:w="140"/>
              <w:bottom w:type="dxa" w:w="100"/>
              <w:right w:type="dxa" w:w="140"/>
            </w:tcMar>
          </w:tcPr>
          <w:p>
            <w:r>
              <w:rPr>
                <w:b w:val="false"/>
                <w:bCs w:val="false"/>
                <w:color w:val="1F2937"/>
                <w:sz w:val="18"/>
                <w:szCs w:val="18"/>
              </w:rPr>
              <w:t xml:space="preserve">Consultant-Managed Model</w:t>
            </w:r>
          </w:p>
        </w:tc>
        <w:tc>
          <w:tcPr>
            <w:shd w:fill="EFF6FF" w:color="EFF6FF" w:val="clear"/>
            <w:tcMar>
              <w:top w:type="dxa" w:w="100"/>
              <w:left w:type="dxa" w:w="140"/>
              <w:bottom w:type="dxa" w:w="100"/>
              <w:right w:type="dxa" w:w="140"/>
            </w:tcMar>
          </w:tcPr>
          <w:p>
            <w:r>
              <w:rPr>
                <w:b w:val="false"/>
                <w:bCs w:val="false"/>
                <w:color w:val="7C3AED"/>
                <w:sz w:val="18"/>
                <w:szCs w:val="18"/>
              </w:rPr>
              <w:t xml:space="preserve">★ Core to Guardian — unique</w:t>
            </w:r>
          </w:p>
        </w:tc>
        <w:tc>
          <w:tcPr>
            <w:shd w:fill="EFF6FF" w:color="EFF6FF" w:val="clear"/>
            <w:tcMar>
              <w:top w:type="dxa" w:w="100"/>
              <w:left w:type="dxa" w:w="140"/>
              <w:bottom w:type="dxa" w:w="100"/>
              <w:right w:type="dxa" w:w="140"/>
            </w:tcMar>
          </w:tcPr>
          <w:p>
            <w:r>
              <w:rPr>
                <w:b w:val="false"/>
                <w:bCs w:val="false"/>
                <w:color w:val="1F2937"/>
                <w:sz w:val="18"/>
                <w:szCs w:val="18"/>
              </w:rPr>
              <w:t xml:space="preserve">—</w:t>
            </w:r>
          </w:p>
        </w:tc>
        <w:tc>
          <w:tcPr>
            <w:shd w:fill="EFF6FF" w:color="EFF6FF" w:val="clear"/>
            <w:tcMar>
              <w:top w:type="dxa" w:w="100"/>
              <w:left w:type="dxa" w:w="140"/>
              <w:bottom w:type="dxa" w:w="100"/>
              <w:right w:type="dxa" w:w="140"/>
            </w:tcMar>
          </w:tcPr>
          <w:p>
            <w:r>
              <w:rPr>
                <w:b w:val="false"/>
                <w:bCs w:val="false"/>
                <w:color w:val="991B1B"/>
                <w:sz w:val="18"/>
                <w:szCs w:val="18"/>
              </w:rPr>
              <w:t xml:space="preserve">✗ Self-service only</w:t>
            </w:r>
          </w:p>
        </w:tc>
      </w:tr>
    </w:tbl>
    <w:p>
      <w:pPr>
        <w:spacing w:before="160"/>
      </w:pPr>
    </w:p>
    <w:p>
      <w:pPr>
        <w:spacing w:after="140" w:before="280"/>
      </w:pPr>
      <w:r>
        <w:rPr>
          <w:b/>
          <w:bCs/>
          <w:color w:val="0D8FA4"/>
          <w:sz w:val="24"/>
          <w:szCs w:val="24"/>
        </w:rPr>
        <w:t xml:space="preserve">✓ Where Guardian Leads Today</w:t>
      </w:r>
    </w:p>
    <w:p>
      <w:pPr>
        <w:spacing w:after="60" w:before="60"/>
        <w:ind w:left="360"/>
      </w:pPr>
      <w:r>
        <w:rPr>
          <w:b/>
          <w:bCs/>
          <w:color w:val="7C3AED"/>
          <w:sz w:val="20"/>
          <w:szCs w:val="20"/>
        </w:rPr>
        <w:t xml:space="preserve">★  </w:t>
      </w:r>
      <w:r>
        <w:rPr>
          <w:color w:val="374151"/>
          <w:sz w:val="20"/>
          <w:szCs w:val="20"/>
        </w:rPr>
        <w:t xml:space="preserve">Employment Law module — no EHS platform in the market offers this. Genuine white space.</w:t>
      </w:r>
    </w:p>
    <w:p>
      <w:pPr>
        <w:spacing w:after="60" w:before="60"/>
        <w:ind w:left="360"/>
      </w:pPr>
      <w:r>
        <w:rPr>
          <w:b/>
          <w:bCs/>
          <w:color w:val="7C3AED"/>
          <w:sz w:val="20"/>
          <w:szCs w:val="20"/>
        </w:rPr>
        <w:t xml:space="preserve">★  </w:t>
      </w:r>
      <w:r>
        <w:rPr>
          <w:color w:val="374151"/>
          <w:sz w:val="20"/>
          <w:szCs w:val="20"/>
        </w:rPr>
        <w:t xml:space="preserve">Consultancy-led managed service — Guardian consultants actively manage compliance on behalf of clients; Donesafe is entirely self-service.</w:t>
      </w:r>
    </w:p>
    <w:p>
      <w:pPr>
        <w:spacing w:after="60" w:before="60"/>
        <w:ind w:left="360"/>
      </w:pPr>
      <w:r>
        <w:rPr>
          <w:b/>
          <w:bCs/>
          <w:color w:val="7C3AED"/>
          <w:sz w:val="20"/>
          <w:szCs w:val="20"/>
        </w:rPr>
        <w:t xml:space="preserve">★  </w:t>
      </w:r>
      <w:r>
        <w:rPr>
          <w:color w:val="374151"/>
          <w:sz w:val="20"/>
          <w:szCs w:val="20"/>
        </w:rPr>
        <w:t xml:space="preserve">CRM API sync (Oct 2026) — Guardian-exclusive integration; Donesafe has no equivalent.</w:t>
      </w:r>
    </w:p>
    <w:p>
      <w:pPr>
        <w:spacing w:after="60" w:before="60"/>
        <w:ind w:left="360"/>
      </w:pPr>
      <w:r>
        <w:rPr>
          <w:b/>
          <w:bCs/>
          <w:color w:val="166534"/>
          <w:sz w:val="20"/>
          <w:szCs w:val="20"/>
        </w:rPr>
        <w:t xml:space="preserve">✓  </w:t>
      </w:r>
      <w:r>
        <w:rPr>
          <w:color w:val="374151"/>
          <w:sz w:val="20"/>
          <w:szCs w:val="20"/>
        </w:rPr>
        <w:t xml:space="preserve">Core parity achieved — documents, compliance scoring, incidents, multi-site, and audit trail all match or exceed Donesafe.</w:t>
      </w:r>
    </w:p>
    <w:p>
      <w:pPr>
        <w:spacing w:before="160"/>
      </w:pPr>
    </w:p>
    <w:p>
      <w:pPr>
        <w:spacing w:after="140" w:before="280"/>
      </w:pPr>
      <w:r>
        <w:rPr>
          <w:b/>
          <w:bCs/>
          <w:color w:val="0D8FA4"/>
          <w:sz w:val="24"/>
          <w:szCs w:val="24"/>
        </w:rPr>
        <w:t xml:space="preserve">✗ Where Donesafe Currently Has More Depth</w:t>
      </w:r>
    </w:p>
    <w:p>
      <w:pPr>
        <w:spacing w:after="60" w:before="60"/>
        <w:ind w:left="360"/>
      </w:pPr>
      <w:r>
        <w:rPr>
          <w:b/>
          <w:bCs/>
          <w:color w:val="0D8FA4"/>
          <w:sz w:val="20"/>
          <w:szCs w:val="20"/>
        </w:rPr>
        <w:t xml:space="preserve">→  </w:t>
      </w:r>
      <w:r>
        <w:rPr>
          <w:color w:val="374151"/>
          <w:sz w:val="20"/>
          <w:szCs w:val="20"/>
        </w:rPr>
        <w:t xml:space="preserve">H&amp;S sub-disciplines: RAMS, Permit to Work, Contractor Management, Drug &amp; Alcohol, PPE, Emergency Management — addressable via Guardian App and future modules.</w:t>
      </w:r>
    </w:p>
    <w:p>
      <w:pPr>
        <w:spacing w:after="60" w:before="60"/>
        <w:ind w:left="360"/>
      </w:pPr>
      <w:r>
        <w:rPr>
          <w:b/>
          <w:bCs/>
          <w:color w:val="0D8FA4"/>
          <w:sz w:val="20"/>
          <w:szCs w:val="20"/>
        </w:rPr>
        <w:t xml:space="preserve">→  </w:t>
      </w:r>
      <w:r>
        <w:rPr>
          <w:color w:val="374151"/>
          <w:sz w:val="20"/>
          <w:szCs w:val="20"/>
        </w:rPr>
        <w:t xml:space="preserve">Mobile-first capture — the Guardian App (Mar 2027) directly closes this gap.</w:t>
      </w:r>
    </w:p>
    <w:p>
      <w:pPr>
        <w:spacing w:before="160"/>
      </w:pPr>
    </w:p>
    <w:p>
      <w:pPr>
        <w:pBdr>
          <w:bottom w:val="single" w:color="D0DAE4" w:sz="6"/>
        </w:pBdr>
        <w:spacing w:after="200" w:before="480"/>
      </w:pPr>
      <w:r>
        <w:rPr>
          <w:b/>
          <w:bCs/>
          <w:color w:val="0B1F3A"/>
          <w:sz w:val="32"/>
          <w:szCs w:val="32"/>
        </w:rPr>
        <w:t xml:space="preserve">4. Risk &amp; Compliance Management — 12–18 Month Roadmap</w:t>
      </w:r>
    </w:p>
    <w:p>
      <w:pPr>
        <w:spacing w:after="100" w:before="80"/>
      </w:pPr>
      <w:r>
        <w:rPr>
          <w:color w:val="374151"/>
          <w:sz w:val="20"/>
          <w:szCs w:val="20"/>
        </w:rPr>
        <w:t xml:space="preserve">Donesafe's Risk &amp; Compliance Management product maps directly to Guardian's planned 12–18 month module expansion, particularly the Compliance Risk Management module.</w:t>
      </w:r>
    </w:p>
    <w:p>
      <w:pPr>
        <w:spacing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100"/>
      </w:tblGrid>
      <w:tr>
        <w:trPr>
          <w:tblHeader/>
        </w:trPr>
        <w:tc>
          <w:tcPr>
            <w:shd w:fill="0B1F3A" w:color="0B1F3A" w:val="clear"/>
            <w:tcMar>
              <w:top w:type="dxa" w:w="100"/>
              <w:left w:type="dxa" w:w="140"/>
              <w:bottom w:type="dxa" w:w="100"/>
              <w:right w:type="dxa" w:w="140"/>
            </w:tcMar>
          </w:tcPr>
          <w:p>
            <w:r>
              <w:rPr>
                <w:b/>
                <w:bCs/>
                <w:color w:val="FFFFFF"/>
                <w:sz w:val="19"/>
                <w:szCs w:val="19"/>
              </w:rPr>
              <w:t xml:space="preserve">Capability</w:t>
            </w:r>
          </w:p>
        </w:tc>
        <w:tc>
          <w:tcPr>
            <w:shd w:fill="0B1F3A" w:color="0B1F3A" w:val="clear"/>
            <w:tcMar>
              <w:top w:type="dxa" w:w="100"/>
              <w:left w:type="dxa" w:w="140"/>
              <w:bottom w:type="dxa" w:w="100"/>
              <w:right w:type="dxa" w:w="140"/>
            </w:tcMar>
          </w:tcPr>
          <w:p>
            <w:r>
              <w:rPr>
                <w:b/>
                <w:bCs/>
                <w:color w:val="FFFFFF"/>
                <w:sz w:val="19"/>
                <w:szCs w:val="19"/>
              </w:rPr>
              <w:t xml:space="preserve">Guardian (12–18 Months)</w:t>
            </w:r>
          </w:p>
        </w:tc>
        <w:tc>
          <w:tcPr>
            <w:shd w:fill="0B1F3A" w:color="0B1F3A" w:val="clear"/>
            <w:tcMar>
              <w:top w:type="dxa" w:w="100"/>
              <w:left w:type="dxa" w:w="140"/>
              <w:bottom w:type="dxa" w:w="100"/>
              <w:right w:type="dxa" w:w="140"/>
            </w:tcMar>
          </w:tcPr>
          <w:p>
            <w:r>
              <w:rPr>
                <w:b/>
                <w:bCs/>
                <w:color w:val="FFFFFF"/>
                <w:sz w:val="19"/>
                <w:szCs w:val="19"/>
              </w:rPr>
              <w:t xml:space="preserve">Donesafe Equivalent</w:t>
            </w:r>
          </w:p>
        </w:tc>
      </w:tr>
      <w:tr>
        <w:trPr>
          <w:tblHeader w:val="false"/>
        </w:trPr>
        <w:tc>
          <w:tcPr>
            <w:shd w:fill="FFFFFF" w:color="FFFFFF" w:val="clear"/>
            <w:tcMar>
              <w:top w:type="dxa" w:w="100"/>
              <w:left w:type="dxa" w:w="140"/>
              <w:bottom w:type="dxa" w:w="100"/>
              <w:right w:type="dxa" w:w="140"/>
            </w:tcMar>
          </w:tcPr>
          <w:p>
            <w:r>
              <w:rPr>
                <w:b w:val="false"/>
                <w:bCs w:val="false"/>
                <w:color w:val="1F2937"/>
                <w:sz w:val="18"/>
                <w:szCs w:val="18"/>
              </w:rPr>
              <w:t xml:space="preserve">Centralised Risk Register</w:t>
            </w:r>
          </w:p>
        </w:tc>
        <w:tc>
          <w:tcPr>
            <w:shd w:fill="FFFFFF" w:color="FFFFFF" w:val="clear"/>
            <w:tcMar>
              <w:top w:type="dxa" w:w="100"/>
              <w:left w:type="dxa" w:w="140"/>
              <w:bottom w:type="dxa" w:w="100"/>
              <w:right w:type="dxa" w:w="140"/>
            </w:tcMar>
          </w:tcPr>
          <w:p>
            <w:r>
              <w:rPr>
                <w:b w:val="false"/>
                <w:bCs w:val="false"/>
                <w:color w:val="0D8FA4"/>
                <w:sz w:val="18"/>
                <w:szCs w:val="18"/>
              </w:rPr>
              <w:t xml:space="preserve">→ Compliance Risk module</w:t>
            </w:r>
          </w:p>
        </w:tc>
        <w:tc>
          <w:tcPr>
            <w:shd w:fill="FFFFFF" w:color="FFFFFF" w:val="clear"/>
            <w:tcMar>
              <w:top w:type="dxa" w:w="100"/>
              <w:left w:type="dxa" w:w="140"/>
              <w:bottom w:type="dxa" w:w="100"/>
              <w:right w:type="dxa" w:w="140"/>
            </w:tcMar>
          </w:tcPr>
          <w:p>
            <w:r>
              <w:rPr>
                <w:b w:val="false"/>
                <w:bCs w:val="false"/>
                <w:color w:val="166534"/>
                <w:sz w:val="18"/>
                <w:szCs w:val="18"/>
              </w:rPr>
              <w:t xml:space="preserve">✓ Centralised Risk Register</w:t>
            </w:r>
          </w:p>
        </w:tc>
      </w:tr>
      <w:tr>
        <w:trPr>
          <w:tblHeader w:val="false"/>
        </w:trPr>
        <w:tc>
          <w:tcPr>
            <w:shd w:fill="EFF6FF" w:color="EFF6FF" w:val="clear"/>
            <w:tcMar>
              <w:top w:type="dxa" w:w="100"/>
              <w:left w:type="dxa" w:w="140"/>
              <w:bottom w:type="dxa" w:w="100"/>
              <w:right w:type="dxa" w:w="140"/>
            </w:tcMar>
          </w:tcPr>
          <w:p>
            <w:r>
              <w:rPr>
                <w:b w:val="false"/>
                <w:bCs w:val="false"/>
                <w:color w:val="1F2937"/>
                <w:sz w:val="18"/>
                <w:szCs w:val="18"/>
              </w:rPr>
              <w:t xml:space="preserve">Configurable Risk Assessments</w:t>
            </w:r>
          </w:p>
        </w:tc>
        <w:tc>
          <w:tcPr>
            <w:shd w:fill="EFF6FF" w:color="EFF6FF" w:val="clear"/>
            <w:tcMar>
              <w:top w:type="dxa" w:w="100"/>
              <w:left w:type="dxa" w:w="140"/>
              <w:bottom w:type="dxa" w:w="100"/>
              <w:right w:type="dxa" w:w="140"/>
            </w:tcMar>
          </w:tcPr>
          <w:p>
            <w:r>
              <w:rPr>
                <w:b w:val="false"/>
                <w:bCs w:val="false"/>
                <w:color w:val="0D8FA4"/>
                <w:sz w:val="18"/>
                <w:szCs w:val="18"/>
              </w:rPr>
              <w:t xml:space="preserve">→ Planned with templates</w:t>
            </w:r>
          </w:p>
        </w:tc>
        <w:tc>
          <w:tcPr>
            <w:shd w:fill="EFF6FF" w:color="EFF6FF" w:val="clear"/>
            <w:tcMar>
              <w:top w:type="dxa" w:w="100"/>
              <w:left w:type="dxa" w:w="140"/>
              <w:bottom w:type="dxa" w:w="100"/>
              <w:right w:type="dxa" w:w="140"/>
            </w:tcMar>
          </w:tcPr>
          <w:p>
            <w:r>
              <w:rPr>
                <w:b w:val="false"/>
                <w:bCs w:val="false"/>
                <w:color w:val="166534"/>
                <w:sz w:val="18"/>
                <w:szCs w:val="18"/>
              </w:rPr>
              <w:t xml:space="preserve">✓ ISO 45001-aligned templates</w:t>
            </w:r>
          </w:p>
        </w:tc>
      </w:tr>
      <w:tr>
        <w:trPr>
          <w:tblHeader w:val="false"/>
        </w:trPr>
        <w:tc>
          <w:tcPr>
            <w:shd w:fill="FFFFFF" w:color="FFFFFF" w:val="clear"/>
            <w:tcMar>
              <w:top w:type="dxa" w:w="100"/>
              <w:left w:type="dxa" w:w="140"/>
              <w:bottom w:type="dxa" w:w="100"/>
              <w:right w:type="dxa" w:w="140"/>
            </w:tcMar>
          </w:tcPr>
          <w:p>
            <w:r>
              <w:rPr>
                <w:b w:val="false"/>
                <w:bCs w:val="false"/>
                <w:color w:val="1F2937"/>
                <w:sz w:val="18"/>
                <w:szCs w:val="18"/>
              </w:rPr>
              <w:t xml:space="preserve">Corrective / Preventative Actions</w:t>
            </w:r>
          </w:p>
        </w:tc>
        <w:tc>
          <w:tcPr>
            <w:shd w:fill="FFFFFF" w:color="FFFFFF" w:val="clear"/>
            <w:tcMar>
              <w:top w:type="dxa" w:w="100"/>
              <w:left w:type="dxa" w:w="140"/>
              <w:bottom w:type="dxa" w:w="100"/>
              <w:right w:type="dxa" w:w="140"/>
            </w:tcMar>
          </w:tcPr>
          <w:p>
            <w:r>
              <w:rPr>
                <w:b w:val="false"/>
                <w:bCs w:val="false"/>
                <w:color w:val="0D8FA4"/>
                <w:sz w:val="18"/>
                <w:szCs w:val="18"/>
              </w:rPr>
              <w:t xml:space="preserve">→ Via risk workflow</w:t>
            </w:r>
          </w:p>
        </w:tc>
        <w:tc>
          <w:tcPr>
            <w:shd w:fill="FFFFFF" w:color="FFFFFF" w:val="clear"/>
            <w:tcMar>
              <w:top w:type="dxa" w:w="100"/>
              <w:left w:type="dxa" w:w="140"/>
              <w:bottom w:type="dxa" w:w="100"/>
              <w:right w:type="dxa" w:w="140"/>
            </w:tcMar>
          </w:tcPr>
          <w:p>
            <w:r>
              <w:rPr>
                <w:b w:val="false"/>
                <w:bCs w:val="false"/>
                <w:color w:val="166534"/>
                <w:sz w:val="18"/>
                <w:szCs w:val="18"/>
              </w:rPr>
              <w:t xml:space="preserve">✓ Full CAPA module</w:t>
            </w:r>
          </w:p>
        </w:tc>
      </w:tr>
      <w:tr>
        <w:trPr>
          <w:tblHeader w:val="false"/>
        </w:trPr>
        <w:tc>
          <w:tcPr>
            <w:shd w:fill="EFF6FF" w:color="EFF6FF" w:val="clear"/>
            <w:tcMar>
              <w:top w:type="dxa" w:w="100"/>
              <w:left w:type="dxa" w:w="140"/>
              <w:bottom w:type="dxa" w:w="100"/>
              <w:right w:type="dxa" w:w="140"/>
            </w:tcMar>
          </w:tcPr>
          <w:p>
            <w:r>
              <w:rPr>
                <w:b w:val="false"/>
                <w:bCs w:val="false"/>
                <w:color w:val="1F2937"/>
                <w:sz w:val="18"/>
                <w:szCs w:val="18"/>
              </w:rPr>
              <w:t xml:space="preserve">Real-Time Risk Dashboards</w:t>
            </w:r>
          </w:p>
        </w:tc>
        <w:tc>
          <w:tcPr>
            <w:shd w:fill="EFF6FF" w:color="EFF6FF" w:val="clear"/>
            <w:tcMar>
              <w:top w:type="dxa" w:w="100"/>
              <w:left w:type="dxa" w:w="140"/>
              <w:bottom w:type="dxa" w:w="100"/>
              <w:right w:type="dxa" w:w="140"/>
            </w:tcMar>
          </w:tcPr>
          <w:p>
            <w:r>
              <w:rPr>
                <w:b w:val="false"/>
                <w:bCs w:val="false"/>
                <w:color w:val="0D8FA4"/>
                <w:sz w:val="18"/>
                <w:szCs w:val="18"/>
              </w:rPr>
              <w:t xml:space="preserve">→ Planned (Group Reporting)</w:t>
            </w:r>
          </w:p>
        </w:tc>
        <w:tc>
          <w:tcPr>
            <w:shd w:fill="EFF6FF" w:color="EFF6FF" w:val="clear"/>
            <w:tcMar>
              <w:top w:type="dxa" w:w="100"/>
              <w:left w:type="dxa" w:w="140"/>
              <w:bottom w:type="dxa" w:w="100"/>
              <w:right w:type="dxa" w:w="140"/>
            </w:tcMar>
          </w:tcPr>
          <w:p>
            <w:r>
              <w:rPr>
                <w:b w:val="false"/>
                <w:bCs w:val="false"/>
                <w:color w:val="166534"/>
                <w:sz w:val="18"/>
                <w:szCs w:val="18"/>
              </w:rPr>
              <w:t xml:space="preserve">✓ Real-time dashboards &amp; analytics</w:t>
            </w:r>
          </w:p>
        </w:tc>
      </w:tr>
      <w:tr>
        <w:trPr>
          <w:tblHeader w:val="false"/>
        </w:trPr>
        <w:tc>
          <w:tcPr>
            <w:shd w:fill="FFFFFF" w:color="FFFFFF" w:val="clear"/>
            <w:tcMar>
              <w:top w:type="dxa" w:w="100"/>
              <w:left w:type="dxa" w:w="140"/>
              <w:bottom w:type="dxa" w:w="100"/>
              <w:right w:type="dxa" w:w="140"/>
            </w:tcMar>
          </w:tcPr>
          <w:p>
            <w:r>
              <w:rPr>
                <w:b w:val="false"/>
                <w:bCs w:val="false"/>
                <w:color w:val="1F2937"/>
                <w:sz w:val="18"/>
                <w:szCs w:val="18"/>
              </w:rPr>
              <w:t xml:space="preserve">Mobile Risk Reporting</w:t>
            </w:r>
          </w:p>
        </w:tc>
        <w:tc>
          <w:tcPr>
            <w:shd w:fill="FFFFFF" w:color="FFFFFF" w:val="clear"/>
            <w:tcMar>
              <w:top w:type="dxa" w:w="100"/>
              <w:left w:type="dxa" w:w="140"/>
              <w:bottom w:type="dxa" w:w="100"/>
              <w:right w:type="dxa" w:w="140"/>
            </w:tcMar>
          </w:tcPr>
          <w:p>
            <w:r>
              <w:rPr>
                <w:b w:val="false"/>
                <w:bCs w:val="false"/>
                <w:color w:val="166534"/>
                <w:sz w:val="18"/>
                <w:szCs w:val="18"/>
              </w:rPr>
              <w:t xml:space="preserve">✓ Via Guardian App</w:t>
            </w:r>
          </w:p>
        </w:tc>
        <w:tc>
          <w:tcPr>
            <w:shd w:fill="FFFFFF" w:color="FFFFFF" w:val="clear"/>
            <w:tcMar>
              <w:top w:type="dxa" w:w="100"/>
              <w:left w:type="dxa" w:w="140"/>
              <w:bottom w:type="dxa" w:w="100"/>
              <w:right w:type="dxa" w:w="140"/>
            </w:tcMar>
          </w:tcPr>
          <w:p>
            <w:r>
              <w:rPr>
                <w:b w:val="false"/>
                <w:bCs w:val="false"/>
                <w:color w:val="166534"/>
                <w:sz w:val="18"/>
                <w:szCs w:val="18"/>
              </w:rPr>
              <w:t xml:space="preserve">✓ Mobile-first access</w:t>
            </w:r>
          </w:p>
        </w:tc>
      </w:tr>
      <w:tr>
        <w:trPr>
          <w:tblHeader w:val="false"/>
        </w:trPr>
        <w:tc>
          <w:tcPr>
            <w:shd w:fill="EFF6FF" w:color="EFF6FF" w:val="clear"/>
            <w:tcMar>
              <w:top w:type="dxa" w:w="100"/>
              <w:left w:type="dxa" w:w="140"/>
              <w:bottom w:type="dxa" w:w="100"/>
              <w:right w:type="dxa" w:w="140"/>
            </w:tcMar>
          </w:tcPr>
          <w:p>
            <w:r>
              <w:rPr>
                <w:b w:val="false"/>
                <w:bCs w:val="false"/>
                <w:color w:val="1F2937"/>
                <w:sz w:val="18"/>
                <w:szCs w:val="18"/>
              </w:rPr>
              <w:t xml:space="preserve">Root Cause Analysis</w:t>
            </w:r>
          </w:p>
        </w:tc>
        <w:tc>
          <w:tcPr>
            <w:shd w:fill="EFF6FF" w:color="EFF6FF" w:val="clear"/>
            <w:tcMar>
              <w:top w:type="dxa" w:w="100"/>
              <w:left w:type="dxa" w:w="140"/>
              <w:bottom w:type="dxa" w:w="100"/>
              <w:right w:type="dxa" w:w="140"/>
            </w:tcMar>
          </w:tcPr>
          <w:p>
            <w:r>
              <w:rPr>
                <w:b w:val="false"/>
                <w:bCs w:val="false"/>
                <w:color w:val="166534"/>
                <w:sz w:val="18"/>
                <w:szCs w:val="18"/>
              </w:rPr>
              <w:t xml:space="preserve">✓ Partial (via incidents)</w:t>
            </w:r>
          </w:p>
        </w:tc>
        <w:tc>
          <w:tcPr>
            <w:shd w:fill="EFF6FF" w:color="EFF6FF" w:val="clear"/>
            <w:tcMar>
              <w:top w:type="dxa" w:w="100"/>
              <w:left w:type="dxa" w:w="140"/>
              <w:bottom w:type="dxa" w:w="100"/>
              <w:right w:type="dxa" w:w="140"/>
            </w:tcMar>
          </w:tcPr>
          <w:p>
            <w:r>
              <w:rPr>
                <w:b w:val="false"/>
                <w:bCs w:val="false"/>
                <w:color w:val="166534"/>
                <w:sz w:val="18"/>
                <w:szCs w:val="18"/>
              </w:rPr>
              <w:t xml:space="preserve">✓ Full RCA module</w:t>
            </w:r>
          </w:p>
        </w:tc>
      </w:tr>
      <w:tr>
        <w:trPr>
          <w:tblHeader w:val="false"/>
        </w:trPr>
        <w:tc>
          <w:tcPr>
            <w:shd w:fill="FFFFFF" w:color="FFFFFF" w:val="clear"/>
            <w:tcMar>
              <w:top w:type="dxa" w:w="100"/>
              <w:left w:type="dxa" w:w="140"/>
              <w:bottom w:type="dxa" w:w="100"/>
              <w:right w:type="dxa" w:w="140"/>
            </w:tcMar>
          </w:tcPr>
          <w:p>
            <w:r>
              <w:rPr>
                <w:b w:val="false"/>
                <w:bCs w:val="false"/>
                <w:color w:val="1F2937"/>
                <w:sz w:val="18"/>
                <w:szCs w:val="18"/>
              </w:rPr>
              <w:t xml:space="preserve">Asset Registers</w:t>
            </w:r>
          </w:p>
        </w:tc>
        <w:tc>
          <w:tcPr>
            <w:shd w:fill="FFFFFF" w:color="FFFFFF" w:val="clear"/>
            <w:tcMar>
              <w:top w:type="dxa" w:w="100"/>
              <w:left w:type="dxa" w:w="140"/>
              <w:bottom w:type="dxa" w:w="100"/>
              <w:right w:type="dxa" w:w="140"/>
            </w:tcMar>
          </w:tcPr>
          <w:p>
            <w:r>
              <w:rPr>
                <w:b w:val="false"/>
                <w:bCs w:val="false"/>
                <w:color w:val="0D8FA4"/>
                <w:sz w:val="18"/>
                <w:szCs w:val="18"/>
              </w:rPr>
              <w:t xml:space="preserve">→ Planned — 12–18 months</w:t>
            </w:r>
          </w:p>
        </w:tc>
        <w:tc>
          <w:tcPr>
            <w:shd w:fill="FFFFFF" w:color="FFFFFF" w:val="clear"/>
            <w:tcMar>
              <w:top w:type="dxa" w:w="100"/>
              <w:left w:type="dxa" w:w="140"/>
              <w:bottom w:type="dxa" w:w="100"/>
              <w:right w:type="dxa" w:w="140"/>
            </w:tcMar>
          </w:tcPr>
          <w:p>
            <w:r>
              <w:rPr>
                <w:b w:val="false"/>
                <w:bCs w:val="false"/>
                <w:color w:val="166534"/>
                <w:sz w:val="18"/>
                <w:szCs w:val="18"/>
              </w:rPr>
              <w:t xml:space="preserve">✓ Asset Management module</w:t>
            </w:r>
          </w:p>
        </w:tc>
      </w:tr>
      <w:tr>
        <w:trPr>
          <w:tblHeader w:val="false"/>
        </w:trPr>
        <w:tc>
          <w:tcPr>
            <w:shd w:fill="EFF6FF" w:color="EFF6FF" w:val="clear"/>
            <w:tcMar>
              <w:top w:type="dxa" w:w="100"/>
              <w:left w:type="dxa" w:w="140"/>
              <w:bottom w:type="dxa" w:w="100"/>
              <w:right w:type="dxa" w:w="140"/>
            </w:tcMar>
          </w:tcPr>
          <w:p>
            <w:r>
              <w:rPr>
                <w:b w:val="false"/>
                <w:bCs w:val="false"/>
                <w:color w:val="1F2937"/>
                <w:sz w:val="18"/>
                <w:szCs w:val="18"/>
              </w:rPr>
              <w:t xml:space="preserve">HRIS Integration</w:t>
            </w:r>
          </w:p>
        </w:tc>
        <w:tc>
          <w:tcPr>
            <w:shd w:fill="EFF6FF" w:color="EFF6FF" w:val="clear"/>
            <w:tcMar>
              <w:top w:type="dxa" w:w="100"/>
              <w:left w:type="dxa" w:w="140"/>
              <w:bottom w:type="dxa" w:w="100"/>
              <w:right w:type="dxa" w:w="140"/>
            </w:tcMar>
          </w:tcPr>
          <w:p>
            <w:r>
              <w:rPr>
                <w:b w:val="false"/>
                <w:bCs w:val="false"/>
                <w:color w:val="7C3AED"/>
                <w:sz w:val="18"/>
                <w:szCs w:val="18"/>
              </w:rPr>
              <w:t xml:space="preserve">★ Planned — Guardian unique</w:t>
            </w:r>
          </w:p>
        </w:tc>
        <w:tc>
          <w:tcPr>
            <w:shd w:fill="EFF6FF" w:color="EFF6FF" w:val="clear"/>
            <w:tcMar>
              <w:top w:type="dxa" w:w="100"/>
              <w:left w:type="dxa" w:w="140"/>
              <w:bottom w:type="dxa" w:w="100"/>
              <w:right w:type="dxa" w:w="140"/>
            </w:tcMar>
          </w:tcPr>
          <w:p>
            <w:r>
              <w:rPr>
                <w:b w:val="false"/>
                <w:bCs w:val="false"/>
                <w:color w:val="991B1B"/>
                <w:sz w:val="18"/>
                <w:szCs w:val="18"/>
              </w:rPr>
              <w:t xml:space="preserve">✗ Not offered</w:t>
            </w:r>
          </w:p>
        </w:tc>
      </w:tr>
      <w:tr>
        <w:trPr>
          <w:tblHeader w:val="false"/>
        </w:trPr>
        <w:tc>
          <w:tcPr>
            <w:shd w:fill="FFFFFF" w:color="FFFFFF" w:val="clear"/>
            <w:tcMar>
              <w:top w:type="dxa" w:w="100"/>
              <w:left w:type="dxa" w:w="140"/>
              <w:bottom w:type="dxa" w:w="100"/>
              <w:right w:type="dxa" w:w="140"/>
            </w:tcMar>
          </w:tcPr>
          <w:p>
            <w:r>
              <w:rPr>
                <w:b w:val="false"/>
                <w:bCs w:val="false"/>
                <w:color w:val="1F2937"/>
                <w:sz w:val="18"/>
                <w:szCs w:val="18"/>
              </w:rPr>
              <w:t xml:space="preserve">Group-Level Reporting</w:t>
            </w:r>
          </w:p>
        </w:tc>
        <w:tc>
          <w:tcPr>
            <w:shd w:fill="FFFFFF" w:color="FFFFFF" w:val="clear"/>
            <w:tcMar>
              <w:top w:type="dxa" w:w="100"/>
              <w:left w:type="dxa" w:w="140"/>
              <w:bottom w:type="dxa" w:w="100"/>
              <w:right w:type="dxa" w:w="140"/>
            </w:tcMar>
          </w:tcPr>
          <w:p>
            <w:r>
              <w:rPr>
                <w:b w:val="false"/>
                <w:bCs w:val="false"/>
                <w:color w:val="0D8FA4"/>
                <w:sz w:val="18"/>
                <w:szCs w:val="18"/>
              </w:rPr>
              <w:t xml:space="preserve">→ Planned — 12–18 months</w:t>
            </w:r>
          </w:p>
        </w:tc>
        <w:tc>
          <w:tcPr>
            <w:shd w:fill="FFFFFF" w:color="FFFFFF" w:val="clear"/>
            <w:tcMar>
              <w:top w:type="dxa" w:w="100"/>
              <w:left w:type="dxa" w:w="140"/>
              <w:bottom w:type="dxa" w:w="100"/>
              <w:right w:type="dxa" w:w="140"/>
            </w:tcMar>
          </w:tcPr>
          <w:p>
            <w:r>
              <w:rPr>
                <w:b w:val="false"/>
                <w:bCs w:val="false"/>
                <w:color w:val="166534"/>
                <w:sz w:val="18"/>
                <w:szCs w:val="18"/>
              </w:rPr>
              <w:t xml:space="preserve">✓ Enterprise dashboards</w:t>
            </w:r>
          </w:p>
        </w:tc>
      </w:tr>
      <w:tr>
        <w:trPr>
          <w:tblHeader w:val="false"/>
        </w:trPr>
        <w:tc>
          <w:tcPr>
            <w:shd w:fill="EFF6FF" w:color="EFF6FF" w:val="clear"/>
            <w:tcMar>
              <w:top w:type="dxa" w:w="100"/>
              <w:left w:type="dxa" w:w="140"/>
              <w:bottom w:type="dxa" w:w="100"/>
              <w:right w:type="dxa" w:w="140"/>
            </w:tcMar>
          </w:tcPr>
          <w:p>
            <w:r>
              <w:rPr>
                <w:b w:val="false"/>
                <w:bCs w:val="false"/>
                <w:color w:val="1F2937"/>
                <w:sz w:val="18"/>
                <w:szCs w:val="18"/>
              </w:rPr>
              <w:t xml:space="preserve">RIDDOR Reporting (UK statutory)</w:t>
            </w:r>
          </w:p>
        </w:tc>
        <w:tc>
          <w:tcPr>
            <w:shd w:fill="EFF6FF" w:color="EFF6FF" w:val="clear"/>
            <w:tcMar>
              <w:top w:type="dxa" w:w="100"/>
              <w:left w:type="dxa" w:w="140"/>
              <w:bottom w:type="dxa" w:w="100"/>
              <w:right w:type="dxa" w:w="140"/>
            </w:tcMar>
          </w:tcPr>
          <w:p>
            <w:r>
              <w:rPr>
                <w:b w:val="false"/>
                <w:bCs w:val="false"/>
                <w:color w:val="92400E"/>
                <w:sz w:val="18"/>
                <w:szCs w:val="18"/>
              </w:rPr>
              <w:t xml:space="preserve">⚠ Not on current roadmap</w:t>
            </w:r>
          </w:p>
        </w:tc>
        <w:tc>
          <w:tcPr>
            <w:shd w:fill="EFF6FF" w:color="EFF6FF" w:val="clear"/>
            <w:tcMar>
              <w:top w:type="dxa" w:w="100"/>
              <w:left w:type="dxa" w:w="140"/>
              <w:bottom w:type="dxa" w:w="100"/>
              <w:right w:type="dxa" w:w="140"/>
            </w:tcMar>
          </w:tcPr>
          <w:p>
            <w:r>
              <w:rPr>
                <w:b w:val="false"/>
                <w:bCs w:val="false"/>
                <w:color w:val="166534"/>
                <w:sz w:val="18"/>
                <w:szCs w:val="18"/>
              </w:rPr>
              <w:t xml:space="preserve">✓ Explicitly supported</w:t>
            </w:r>
          </w:p>
        </w:tc>
      </w:tr>
      <w:tr>
        <w:trPr>
          <w:tblHeader w:val="false"/>
        </w:trPr>
        <w:tc>
          <w:tcPr>
            <w:shd w:fill="FFFFFF" w:color="FFFFFF" w:val="clear"/>
            <w:tcMar>
              <w:top w:type="dxa" w:w="100"/>
              <w:left w:type="dxa" w:w="140"/>
              <w:bottom w:type="dxa" w:w="100"/>
              <w:right w:type="dxa" w:w="140"/>
            </w:tcMar>
          </w:tcPr>
          <w:p>
            <w:r>
              <w:rPr>
                <w:b w:val="false"/>
                <w:bCs w:val="false"/>
                <w:color w:val="1F2937"/>
                <w:sz w:val="18"/>
                <w:szCs w:val="18"/>
              </w:rPr>
              <w:t xml:space="preserve">Risk Indicators &amp; Rating</w:t>
            </w:r>
          </w:p>
        </w:tc>
        <w:tc>
          <w:tcPr>
            <w:shd w:fill="FFFFFF" w:color="FFFFFF" w:val="clear"/>
            <w:tcMar>
              <w:top w:type="dxa" w:w="100"/>
              <w:left w:type="dxa" w:w="140"/>
              <w:bottom w:type="dxa" w:w="100"/>
              <w:right w:type="dxa" w:w="140"/>
            </w:tcMar>
          </w:tcPr>
          <w:p>
            <w:r>
              <w:rPr>
                <w:b w:val="false"/>
                <w:bCs w:val="false"/>
                <w:color w:val="0D8FA4"/>
                <w:sz w:val="18"/>
                <w:szCs w:val="18"/>
              </w:rPr>
              <w:t xml:space="preserve">→ Implied via scoring</w:t>
            </w:r>
          </w:p>
        </w:tc>
        <w:tc>
          <w:tcPr>
            <w:shd w:fill="FFFFFF" w:color="FFFFFF" w:val="clear"/>
            <w:tcMar>
              <w:top w:type="dxa" w:w="100"/>
              <w:left w:type="dxa" w:w="140"/>
              <w:bottom w:type="dxa" w:w="100"/>
              <w:right w:type="dxa" w:w="140"/>
            </w:tcMar>
          </w:tcPr>
          <w:p>
            <w:r>
              <w:rPr>
                <w:b w:val="false"/>
                <w:bCs w:val="false"/>
                <w:color w:val="166534"/>
                <w:sz w:val="18"/>
                <w:szCs w:val="18"/>
              </w:rPr>
              <w:t xml:space="preserve">✓ Dedicated module</w:t>
            </w:r>
          </w:p>
        </w:tc>
      </w:tr>
      <w:tr>
        <w:trPr>
          <w:tblHeader w:val="false"/>
        </w:trPr>
        <w:tc>
          <w:tcPr>
            <w:shd w:fill="EFF6FF" w:color="EFF6FF" w:val="clear"/>
            <w:tcMar>
              <w:top w:type="dxa" w:w="100"/>
              <w:left w:type="dxa" w:w="140"/>
              <w:bottom w:type="dxa" w:w="100"/>
              <w:right w:type="dxa" w:w="140"/>
            </w:tcMar>
          </w:tcPr>
          <w:p>
            <w:r>
              <w:rPr>
                <w:b w:val="false"/>
                <w:bCs w:val="false"/>
                <w:color w:val="1F2937"/>
                <w:sz w:val="18"/>
                <w:szCs w:val="18"/>
              </w:rPr>
              <w:t xml:space="preserve">Critical Controls Management</w:t>
            </w:r>
          </w:p>
        </w:tc>
        <w:tc>
          <w:tcPr>
            <w:shd w:fill="EFF6FF" w:color="EFF6FF" w:val="clear"/>
            <w:tcMar>
              <w:top w:type="dxa" w:w="100"/>
              <w:left w:type="dxa" w:w="140"/>
              <w:bottom w:type="dxa" w:w="100"/>
              <w:right w:type="dxa" w:w="140"/>
            </w:tcMar>
          </w:tcPr>
          <w:p>
            <w:r>
              <w:rPr>
                <w:b w:val="false"/>
                <w:bCs w:val="false"/>
                <w:color w:val="991B1B"/>
                <w:sz w:val="18"/>
                <w:szCs w:val="18"/>
              </w:rPr>
              <w:t xml:space="preserve">✗ Not on roadmap</w:t>
            </w:r>
          </w:p>
        </w:tc>
        <w:tc>
          <w:tcPr>
            <w:shd w:fill="EFF6FF" w:color="EFF6FF" w:val="clear"/>
            <w:tcMar>
              <w:top w:type="dxa" w:w="100"/>
              <w:left w:type="dxa" w:w="140"/>
              <w:bottom w:type="dxa" w:w="100"/>
              <w:right w:type="dxa" w:w="140"/>
            </w:tcMar>
          </w:tcPr>
          <w:p>
            <w:r>
              <w:rPr>
                <w:b w:val="false"/>
                <w:bCs w:val="false"/>
                <w:color w:val="166534"/>
                <w:sz w:val="18"/>
                <w:szCs w:val="18"/>
              </w:rPr>
              <w:t xml:space="preserve">✓ Full module</w:t>
            </w:r>
          </w:p>
        </w:tc>
      </w:tr>
    </w:tbl>
    <w:p>
      <w:pPr>
        <w:spacing w:before="160"/>
      </w:pPr>
    </w:p>
    <w:p>
      <w:pPr>
        <w:spacing w:after="140" w:before="280"/>
      </w:pPr>
      <w:r>
        <w:rPr>
          <w:b/>
          <w:bCs/>
          <w:color w:val="0D8FA4"/>
          <w:sz w:val="24"/>
          <w:szCs w:val="24"/>
        </w:rPr>
        <w:t xml:space="preserve">✓ Where the Roadmap Delivers Parity</w:t>
      </w:r>
    </w:p>
    <w:p>
      <w:pPr>
        <w:spacing w:after="60" w:before="60"/>
        <w:ind w:left="360"/>
      </w:pPr>
      <w:r>
        <w:rPr>
          <w:b/>
          <w:bCs/>
          <w:color w:val="166534"/>
          <w:sz w:val="20"/>
          <w:szCs w:val="20"/>
        </w:rPr>
        <w:t xml:space="preserve">✓  </w:t>
      </w:r>
      <w:r>
        <w:rPr>
          <w:color w:val="374151"/>
          <w:sz w:val="20"/>
          <w:szCs w:val="20"/>
        </w:rPr>
        <w:t xml:space="preserve">Risk Register, Risk Assessments, CAPA, and Group Dashboards all align with Donesafe's core risk offering.</w:t>
      </w:r>
    </w:p>
    <w:p>
      <w:pPr>
        <w:spacing w:after="60" w:before="60"/>
        <w:ind w:left="360"/>
      </w:pPr>
      <w:r>
        <w:rPr>
          <w:b/>
          <w:bCs/>
          <w:color w:val="7C3AED"/>
          <w:sz w:val="20"/>
          <w:szCs w:val="20"/>
        </w:rPr>
        <w:t xml:space="preserve">★  </w:t>
      </w:r>
      <w:r>
        <w:rPr>
          <w:color w:val="374151"/>
          <w:sz w:val="20"/>
          <w:szCs w:val="20"/>
        </w:rPr>
        <w:t xml:space="preserve">HRIS Integration — Guardian-only capability; Donesafe does not connect HR data to compliance.</w:t>
      </w:r>
    </w:p>
    <w:p>
      <w:pPr>
        <w:spacing w:before="160"/>
      </w:pPr>
    </w:p>
    <w:p>
      <w:pPr>
        <w:spacing w:after="140" w:before="280"/>
      </w:pPr>
      <w:r>
        <w:rPr>
          <w:b/>
          <w:bCs/>
          <w:color w:val="0D8FA4"/>
          <w:sz w:val="24"/>
          <w:szCs w:val="24"/>
        </w:rPr>
        <w:t xml:space="preserve">⚠ Gaps to Address</w:t>
      </w:r>
    </w:p>
    <w:p>
      <w:pPr>
        <w:spacing w:after="60" w:before="60"/>
        <w:ind w:left="360"/>
      </w:pPr>
      <w:r>
        <w:rPr>
          <w:b/>
          <w:bCs/>
          <w:color w:val="92400E"/>
          <w:sz w:val="20"/>
          <w:szCs w:val="20"/>
        </w:rPr>
        <w:t xml:space="preserve">⚠  </w:t>
      </w:r>
      <w:r>
        <w:rPr>
          <w:color w:val="374151"/>
          <w:sz w:val="20"/>
          <w:szCs w:val="20"/>
        </w:rPr>
        <w:t xml:space="preserve">RIDDOR Reporting (UK statutory) — Donesafe explicitly supports this; targeted addition to Guardian's incident module is low effort, high regulatory value.</w:t>
      </w:r>
    </w:p>
    <w:p>
      <w:pPr>
        <w:spacing w:after="60" w:before="60"/>
        <w:ind w:left="360"/>
      </w:pPr>
      <w:r>
        <w:rPr>
          <w:b/>
          <w:bCs/>
          <w:color w:val="92400E"/>
          <w:sz w:val="20"/>
          <w:szCs w:val="20"/>
        </w:rPr>
        <w:t xml:space="preserve">⚠  </w:t>
      </w:r>
      <w:r>
        <w:rPr>
          <w:color w:val="374151"/>
          <w:sz w:val="20"/>
          <w:szCs w:val="20"/>
        </w:rPr>
        <w:t xml:space="preserve">Risk Indicators &amp; Rating matrix — should be included in the Compliance Risk module build to match Donesafe's depth.</w:t>
      </w:r>
    </w:p>
    <w:p>
      <w:pPr>
        <w:spacing w:before="160"/>
      </w:pPr>
    </w:p>
    <w:p>
      <w:pPr>
        <w:pBdr>
          <w:bottom w:val="single" w:color="D0DAE4" w:sz="6"/>
        </w:pBdr>
        <w:spacing w:after="200" w:before="480"/>
      </w:pPr>
      <w:r>
        <w:rPr>
          <w:b/>
          <w:bCs/>
          <w:color w:val="0B1F3A"/>
          <w:sz w:val="32"/>
          <w:szCs w:val="32"/>
        </w:rPr>
        <w:t xml:space="preserve">5. Guardian Structural Advantages Donesafe Cannot Replicate</w:t>
      </w:r>
    </w:p>
    <w:p>
      <w:pPr>
        <w:spacing w:after="100" w:before="220"/>
      </w:pPr>
      <w:r>
        <w:rPr>
          <w:b/>
          <w:bCs/>
          <w:color w:val="0B1F3A"/>
          <w:sz w:val="22"/>
          <w:szCs w:val="22"/>
        </w:rPr>
        <w:t xml:space="preserve">★  Employment Law Module</w:t>
      </w:r>
    </w:p>
    <w:p>
      <w:pPr>
        <w:spacing w:after="100" w:before="80"/>
      </w:pPr>
      <w:r>
        <w:rPr>
          <w:color w:val="374151"/>
          <w:sz w:val="20"/>
          <w:szCs w:val="20"/>
        </w:rPr>
        <w:t xml:space="preserve">Guardian combines H&amp;S, HR, and Employment Law in a single portal — covering case management, document bundle builder with PDF generation, and legal document workflows. No EHS platform offers this. It removes the need for a separate legal tool for UK SMEs.</w:t>
      </w:r>
    </w:p>
    <w:p>
      <w:pPr>
        <w:spacing w:after="100" w:before="220"/>
      </w:pPr>
      <w:r>
        <w:rPr>
          <w:b/>
          <w:bCs/>
          <w:color w:val="0B1F3A"/>
          <w:sz w:val="22"/>
          <w:szCs w:val="22"/>
        </w:rPr>
        <w:t xml:space="preserve">★  Consultancy-Led Managed Service</w:t>
      </w:r>
    </w:p>
    <w:p>
      <w:pPr>
        <w:spacing w:after="100" w:before="80"/>
      </w:pPr>
      <w:r>
        <w:rPr>
          <w:color w:val="374151"/>
          <w:sz w:val="20"/>
          <w:szCs w:val="20"/>
        </w:rPr>
        <w:t xml:space="preserve">Donesafe sells software. Guardian sells expertise backed by software. Guardian consultants configure, manage, and maintain compliance on behalf of clients. Clients never need to become EHS experts — the biggest purchase decision driver for UK SMEs.</w:t>
      </w:r>
    </w:p>
    <w:p>
      <w:pPr>
        <w:spacing w:after="100" w:before="220"/>
      </w:pPr>
      <w:r>
        <w:rPr>
          <w:b/>
          <w:bCs/>
          <w:color w:val="0B1F3A"/>
          <w:sz w:val="22"/>
          <w:szCs w:val="22"/>
        </w:rPr>
        <w:t xml:space="preserve">★  CRM API Sync</w:t>
      </w:r>
    </w:p>
    <w:p>
      <w:pPr>
        <w:spacing w:after="100" w:before="80"/>
      </w:pPr>
      <w:r>
        <w:rPr>
          <w:color w:val="374151"/>
          <w:sz w:val="20"/>
          <w:szCs w:val="20"/>
        </w:rPr>
        <w:t xml:space="preserve">The planned API link between Guardian's portal and group CRM systems is absent from Donesafe. This creates a unified data layer across the Guardian business, eliminating manual re-entry and keeping client data accurate.</w:t>
      </w:r>
    </w:p>
    <w:p>
      <w:pPr>
        <w:spacing w:after="100" w:before="220"/>
      </w:pPr>
      <w:r>
        <w:rPr>
          <w:b/>
          <w:bCs/>
          <w:color w:val="0B1F3A"/>
          <w:sz w:val="22"/>
          <w:szCs w:val="22"/>
        </w:rPr>
        <w:t xml:space="preserve">★  Purpose-Built for UK SMEs</w:t>
      </w:r>
    </w:p>
    <w:p>
      <w:pPr>
        <w:spacing w:after="100" w:before="80"/>
      </w:pPr>
      <w:r>
        <w:rPr>
          <w:color w:val="374151"/>
          <w:sz w:val="20"/>
          <w:szCs w:val="20"/>
        </w:rPr>
        <w:t xml:space="preserve">Donesafe targets large enterprises with complex, self-managed EHS programmes. Guardian is purpose-built for UK SMEs where a consultancy manages compliance on their behalf — simpler, lower barrier, always correctly configured.</w:t>
      </w:r>
    </w:p>
    <w:p>
      <w:pPr>
        <w:spacing w:after="100" w:before="220"/>
      </w:pPr>
      <w:r>
        <w:rPr>
          <w:b/>
          <w:bCs/>
          <w:color w:val="0B1F3A"/>
          <w:sz w:val="22"/>
          <w:szCs w:val="22"/>
        </w:rPr>
        <w:t xml:space="preserve">★  Proprietary Data Moat (AI Foundation)</w:t>
      </w:r>
    </w:p>
    <w:p>
      <w:pPr>
        <w:spacing w:after="100" w:before="80"/>
      </w:pPr>
      <w:r>
        <w:rPr>
          <w:color w:val="374151"/>
          <w:sz w:val="20"/>
          <w:szCs w:val="20"/>
        </w:rPr>
        <w:t xml:space="preserve">Every document, audit, and incident logged through Guardian builds a proprietary compliance dataset — the foundation for the AI intelligence layer planned for Year 2–3. Donesafe clients' data remains inside Donesafe's infrastructure and cannot benefit Guardian.</w:t>
      </w:r>
    </w:p>
    <w:p>
      <w:pPr>
        <w:spacing w:before="160"/>
      </w:pPr>
    </w:p>
    <w:p>
      <w:pPr>
        <w:pBdr>
          <w:bottom w:val="single" w:color="D0DAE4" w:sz="6"/>
        </w:pBdr>
        <w:spacing w:after="200" w:before="480"/>
      </w:pPr>
      <w:r>
        <w:rPr>
          <w:b/>
          <w:bCs/>
          <w:color w:val="0B1F3A"/>
          <w:sz w:val="32"/>
          <w:szCs w:val="32"/>
        </w:rPr>
        <w:t xml:space="preserve">6. Roadmap Recommendations</w:t>
      </w:r>
    </w:p>
    <w:p>
      <w:pPr>
        <w:spacing w:after="100" w:before="220"/>
      </w:pPr>
      <w:r>
        <w:rPr>
          <w:b/>
          <w:bCs/>
          <w:color w:val="0B1F3A"/>
          <w:sz w:val="22"/>
          <w:szCs w:val="22"/>
        </w:rPr>
        <w:t xml:space="preserve">→  Near-Term (0–12 months)</w:t>
      </w:r>
    </w:p>
    <w:p>
      <w:pPr>
        <w:spacing w:after="60" w:before="60"/>
        <w:ind w:left="360"/>
      </w:pPr>
      <w:r>
        <w:rPr>
          <w:b/>
          <w:bCs/>
          <w:color w:val="166534"/>
          <w:sz w:val="20"/>
          <w:szCs w:val="20"/>
        </w:rPr>
        <w:t xml:space="preserve">✓  </w:t>
      </w:r>
      <w:r>
        <w:rPr>
          <w:color w:val="374151"/>
          <w:sz w:val="20"/>
          <w:szCs w:val="20"/>
        </w:rPr>
        <w:t xml:space="preserve">RIDDOR Reporting: Add UK statutory RIDDOR incident reporting to the existing incident module — low effort, high regulatory value.</w:t>
      </w:r>
    </w:p>
    <w:p>
      <w:pPr>
        <w:spacing w:after="60" w:before="60"/>
        <w:ind w:left="360"/>
      </w:pPr>
      <w:r>
        <w:rPr>
          <w:b/>
          <w:bCs/>
          <w:color w:val="166534"/>
          <w:sz w:val="20"/>
          <w:szCs w:val="20"/>
        </w:rPr>
        <w:t xml:space="preserve">✓  </w:t>
      </w:r>
      <w:r>
        <w:rPr>
          <w:color w:val="374151"/>
          <w:sz w:val="20"/>
          <w:szCs w:val="20"/>
        </w:rPr>
        <w:t xml:space="preserve">Inspection Templates: Ensure configurable checklists are ready at Guardian App launch (Mar 2027) for day-one on-site capture parity.</w:t>
      </w:r>
    </w:p>
    <w:p>
      <w:pPr>
        <w:spacing w:after="100" w:before="220"/>
      </w:pPr>
      <w:r>
        <w:rPr>
          <w:b/>
          <w:bCs/>
          <w:color w:val="0B1F3A"/>
          <w:sz w:val="22"/>
          <w:szCs w:val="22"/>
        </w:rPr>
        <w:t xml:space="preserve">→  Medium-Term (12–18 months)</w:t>
      </w:r>
    </w:p>
    <w:p>
      <w:pPr>
        <w:spacing w:after="60" w:before="60"/>
        <w:ind w:left="360"/>
      </w:pPr>
      <w:r>
        <w:rPr>
          <w:b/>
          <w:bCs/>
          <w:color w:val="166534"/>
          <w:sz w:val="20"/>
          <w:szCs w:val="20"/>
        </w:rPr>
        <w:t xml:space="preserve">✓  </w:t>
      </w:r>
      <w:r>
        <w:rPr>
          <w:color w:val="374151"/>
          <w:sz w:val="20"/>
          <w:szCs w:val="20"/>
        </w:rPr>
        <w:t xml:space="preserve">Risk Rating Matrix: Include Likelihood × Impact scoring and risk trend dashboards in the Compliance Risk module.</w:t>
      </w:r>
    </w:p>
    <w:p>
      <w:pPr>
        <w:spacing w:after="60" w:before="60"/>
        <w:ind w:left="360"/>
      </w:pPr>
      <w:r>
        <w:rPr>
          <w:b/>
          <w:bCs/>
          <w:color w:val="166534"/>
          <w:sz w:val="20"/>
          <w:szCs w:val="20"/>
        </w:rPr>
        <w:t xml:space="preserve">✓  </w:t>
      </w:r>
      <w:r>
        <w:rPr>
          <w:color w:val="374151"/>
          <w:sz w:val="20"/>
          <w:szCs w:val="20"/>
        </w:rPr>
        <w:t xml:space="preserve">Critical Controls: Lightweight controls layer within the risk module — relevant for higher-risk industry clients.</w:t>
      </w:r>
    </w:p>
    <w:p>
      <w:pPr>
        <w:spacing w:after="100" w:before="220"/>
      </w:pPr>
      <w:r>
        <w:rPr>
          <w:b/>
          <w:bCs/>
          <w:color w:val="0B1F3A"/>
          <w:sz w:val="22"/>
          <w:szCs w:val="22"/>
        </w:rPr>
        <w:t xml:space="preserve">→  Longer-Term (18–24 months)</w:t>
      </w:r>
    </w:p>
    <w:p>
      <w:pPr>
        <w:spacing w:after="60" w:before="60"/>
        <w:ind w:left="360"/>
      </w:pPr>
      <w:r>
        <w:rPr>
          <w:b/>
          <w:bCs/>
          <w:color w:val="166534"/>
          <w:sz w:val="20"/>
          <w:szCs w:val="20"/>
        </w:rPr>
        <w:t xml:space="preserve">✓  </w:t>
      </w:r>
      <w:r>
        <w:rPr>
          <w:color w:val="374151"/>
          <w:sz w:val="20"/>
          <w:szCs w:val="20"/>
        </w:rPr>
        <w:t xml:space="preserve">Contractor Management: Lightweight module covering insurances, licences, and inductions as client base grows.</w:t>
      </w:r>
    </w:p>
    <w:p>
      <w:pPr>
        <w:spacing w:after="60" w:before="60"/>
        <w:ind w:left="360"/>
      </w:pPr>
      <w:r>
        <w:rPr>
          <w:b/>
          <w:bCs/>
          <w:color w:val="166534"/>
          <w:sz w:val="20"/>
          <w:szCs w:val="20"/>
        </w:rPr>
        <w:t xml:space="preserve">✓  </w:t>
      </w:r>
      <w:r>
        <w:rPr>
          <w:color w:val="374151"/>
          <w:sz w:val="20"/>
          <w:szCs w:val="20"/>
        </w:rPr>
        <w:t xml:space="preserve">Permit to Work: Targeted module for construction, facilities, and engineering client segments.</w:t>
      </w:r>
    </w:p>
    <w:p>
      <w:pPr>
        <w:spacing w:before="160"/>
      </w:pPr>
    </w:p>
    <w:p>
      <w:pPr>
        <w:pBdr>
          <w:bottom w:val="single" w:color="D0DAE4" w:sz="6"/>
        </w:pBdr>
        <w:spacing w:after="200" w:before="480"/>
      </w:pPr>
      <w:r>
        <w:rPr>
          <w:b/>
          <w:bCs/>
          <w:color w:val="0B1F3A"/>
          <w:sz w:val="32"/>
          <w:szCs w:val="32"/>
        </w:rPr>
        <w:t xml:space="preserve">7. Summary</w:t>
      </w:r>
    </w:p>
    <w:p>
      <w:pPr>
        <w:spacing w:after="100" w:before="80"/>
      </w:pPr>
      <w:r>
        <w:rPr>
          <w:color w:val="374151"/>
          <w:sz w:val="20"/>
          <w:szCs w:val="20"/>
        </w:rPr>
        <w:t xml:space="preserve">Guardian Group's portal is already at functional parity with Donesafe on the core compliance capabilities that matter to UK SMEs. The roadmap systematically closes the remaining gaps — Asset Registers, Risk Management, expanded H&amp;S modules — while extending into areas Donesafe cannot match: Employment Law, HRIS integration, CRM sync, and AI-driven compliance intelligence.</w:t>
      </w:r>
    </w:p>
    <w:p>
      <w:pPr>
        <w:spacing w:after="100" w:before="80"/>
      </w:pPr>
      <w:r>
        <w:rPr>
          <w:color w:val="374151"/>
          <w:sz w:val="20"/>
          <w:szCs w:val="20"/>
        </w:rPr>
        <w:t xml:space="preserve">The most important strategic point is not feature parity — it is model differentiation. Donesafe sells software to organisations that manage their own EHS programmes. Guardian sells expertise, accountability, and relationships, backed by proprietary technology. That combination is not available anywhere else in the UK SME compliance market.</w:t>
      </w:r>
    </w:p>
    <w:p>
      <w:pPr>
        <w:spacing w:before="560"/>
      </w:pPr>
    </w:p>
    <w:p>
      <w:pPr>
        <w:jc w:val="center"/>
      </w:pPr>
      <w:r>
        <w:rPr>
          <w:color w:val="9CA3AF"/>
          <w:sz w:val="16"/>
          <w:szCs w:val="16"/>
        </w:rPr>
        <w:t xml:space="preserve">Confidential  |  Guardian Group  |  June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2026-06-24T17:15:16.676Z</dcterms:created>
  <dcterms:modified xsi:type="dcterms:W3CDTF">2026-06-24T17:15:16.676Z</dcterms:modified>
</cp:coreProperties>
</file>

<file path=docProps/custom.xml><?xml version="1.0" encoding="utf-8"?>
<Properties xmlns="http://schemas.openxmlformats.org/officeDocument/2006/custom-properties" xmlns:vt="http://schemas.openxmlformats.org/officeDocument/2006/docPropsVTypes"/>
</file>