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OpenRepGrid.ic:</w:t>
      </w:r>
      <w:r>
        <w:t xml:space="preserve"> </w:t>
      </w:r>
      <w:r>
        <w:t xml:space="preserve">A</w:t>
      </w:r>
      <w:r>
        <w:t xml:space="preserve"> </w:t>
      </w:r>
      <w:r>
        <w:t xml:space="preserve">software</w:t>
      </w:r>
      <w:r>
        <w:t xml:space="preserve"> </w:t>
      </w:r>
      <w:r>
        <w:t xml:space="preserve">for</w:t>
      </w:r>
      <w:r>
        <w:t xml:space="preserve"> </w:t>
      </w:r>
      <w:r>
        <w:t xml:space="preserve">Interpretive</w:t>
      </w:r>
      <w:r>
        <w:t xml:space="preserve"> </w:t>
      </w:r>
      <w:r>
        <w:t xml:space="preserve">Clustering</w:t>
      </w:r>
    </w:p>
    <w:p>
      <w:pPr>
        <w:pStyle w:val="Date"/>
      </w:pPr>
      <w:r>
        <w:t xml:space="preserve">31</w:t>
      </w:r>
      <w:r>
        <w:t xml:space="preserve"> </w:t>
      </w:r>
      <w:r>
        <w:t xml:space="preserve">July</w:t>
      </w:r>
      <w:r>
        <w:t xml:space="preserve"> </w:t>
      </w:r>
      <w:r>
        <w:t xml:space="preserve">2020</w:t>
      </w:r>
    </w:p>
    <w:p>
      <w:pPr>
        <w:pStyle w:val="Heading1"/>
      </w:pPr>
      <w:bookmarkStart w:id="20" w:name="introduction"/>
      <w:r>
        <w:t xml:space="preserve">Introduction</w:t>
      </w:r>
      <w:bookmarkEnd w:id="20"/>
    </w:p>
    <w:p>
      <w:pPr>
        <w:pStyle w:val="FirstParagraph"/>
      </w:pPr>
      <w:r>
        <w:t xml:space="preserve">The</w:t>
      </w:r>
      <w:r>
        <w:t xml:space="preserve"> </w:t>
      </w:r>
      <w:hyperlink r:id="rId21">
        <w:r>
          <w:rPr>
            <w:rStyle w:val="VerbatimChar"/>
          </w:rPr>
          <w:t xml:space="preserve">OpenRepGrid.ic</w:t>
        </w:r>
        <w:r>
          <w:rPr>
            <w:rStyle w:val="Hyperlink"/>
          </w:rPr>
          <w:t xml:space="preserve"> </w:t>
        </w:r>
        <w:r>
          <w:rPr>
            <w:rStyle w:val="Hyperlink"/>
          </w:rPr>
          <w:t xml:space="preserve">R package</w:t>
        </w:r>
      </w:hyperlink>
      <w:r>
        <w:t xml:space="preserve"> </w:t>
      </w:r>
      <w:r>
        <w:t xml:space="preserve">is a browser-based software to perform</w:t>
      </w:r>
      <w:r>
        <w:t xml:space="preserve"> </w:t>
      </w:r>
      <w:r>
        <w:rPr>
          <w:i/>
        </w:rPr>
        <w:t xml:space="preserve">Interpretive Clustering</w:t>
      </w:r>
      <w:r>
        <w:t xml:space="preserve"> </w:t>
      </w:r>
      <w:r>
        <w:t xml:space="preserve">(IC) for</w:t>
      </w:r>
      <w:r>
        <w:t xml:space="preserve"> </w:t>
      </w:r>
      <w:hyperlink r:id="rId22">
        <w:r>
          <w:rPr>
            <w:rStyle w:val="Hyperlink"/>
          </w:rPr>
          <w:t xml:space="preserve">repertory grid</w:t>
        </w:r>
      </w:hyperlink>
      <w:r>
        <w:t xml:space="preserve"> </w:t>
      </w:r>
      <w:r>
        <w:t xml:space="preserve">data. The software accompanies our recent publication which describes the IC method in detail</w:t>
      </w:r>
      <w:r>
        <w:t xml:space="preserve"> </w:t>
      </w:r>
      <w:hyperlink r:id="rId23">
        <w:r>
          <w:rPr>
            <w:rStyle w:val="Hyperlink"/>
          </w:rPr>
          <w:t xml:space="preserve">(Burr, King, and Heckmann 2020)</w:t>
        </w:r>
      </w:hyperlink>
      <w:r>
        <w:t xml:space="preserve">. While IC can also be conducted by hand, using software support massively speeds up the process. The package presented here is part of the</w:t>
      </w:r>
      <w:r>
        <w:t xml:space="preserve"> </w:t>
      </w:r>
      <w:hyperlink r:id="rId24">
        <w:r>
          <w:rPr>
            <w:rStyle w:val="Hyperlink"/>
          </w:rPr>
          <w:t xml:space="preserve">OpenRepgrid project</w:t>
        </w:r>
      </w:hyperlink>
      <w:r>
        <w:t xml:space="preserve">, which contains several software packages for the analysis of repertory grid data. In the following, we will give a brief example of how a repertory grid (often abbreviated as</w:t>
      </w:r>
      <w:r>
        <w:t xml:space="preserve"> </w:t>
      </w:r>
      <w:r>
        <w:rPr>
          <w:i/>
        </w:rPr>
        <w:t xml:space="preserve">grid</w:t>
      </w:r>
      <w:r>
        <w:t xml:space="preserve"> </w:t>
      </w:r>
      <w:r>
        <w:t xml:space="preserve">or</w:t>
      </w:r>
      <w:r>
        <w:t xml:space="preserve"> </w:t>
      </w:r>
      <w:r>
        <w:rPr>
          <w:i/>
        </w:rPr>
        <w:t xml:space="preserve">repgrid</w:t>
      </w:r>
      <w:r>
        <w:t xml:space="preserve">) dataset can be analyzed using the</w:t>
      </w:r>
      <w:r>
        <w:t xml:space="preserve"> </w:t>
      </w:r>
      <w:r>
        <w:rPr>
          <w:rStyle w:val="VerbatimChar"/>
        </w:rPr>
        <w:t xml:space="preserve">OpenRepGrid.ic</w:t>
      </w:r>
      <w:r>
        <w:t xml:space="preserve"> </w:t>
      </w:r>
      <w:r>
        <w:t xml:space="preserve">software.</w:t>
      </w:r>
    </w:p>
    <w:p>
      <w:pPr>
        <w:pStyle w:val="Heading1"/>
      </w:pPr>
      <w:bookmarkStart w:id="25" w:name="repertory-grid-technique"/>
      <w:r>
        <w:t xml:space="preserve">Repertory Grid Technique</w:t>
      </w:r>
      <w:bookmarkEnd w:id="25"/>
    </w:p>
    <w:p>
      <w:pPr>
        <w:pStyle w:val="FirstParagraph"/>
      </w:pPr>
      <w:r>
        <w:t xml:space="preserve">The repertory grid technique (RGT) is a method which originated from</w:t>
      </w:r>
      <w:r>
        <w:t xml:space="preserve"> </w:t>
      </w:r>
      <w:r>
        <w:rPr>
          <w:i/>
        </w:rPr>
        <w:t xml:space="preserve">Personal Construct Theory (PCT)</w:t>
      </w:r>
      <w:r>
        <w:t xml:space="preserve"> </w:t>
      </w:r>
      <w:r>
        <w:t xml:space="preserve">(Kelly 1955)</w:t>
      </w:r>
      <w:r>
        <w:t xml:space="preserve">. It was originally designed as an instrument for clinical psychology but quickly spread to other disciplines like marketing, political, organization, educational research in the decades after its inauguration</w:t>
      </w:r>
      <w:r>
        <w:t xml:space="preserve"> </w:t>
      </w:r>
      <w:r>
        <w:t xml:space="preserve">(Fransella, Bell, and Bannister 2004)</w:t>
      </w:r>
      <w:r>
        <w:t xml:space="preserve">. The RGT is a person-centered method which focuses on understanding how an individual sees, or in constructivist terms</w:t>
      </w:r>
      <w:r>
        <w:t xml:space="preserve"> </w:t>
      </w:r>
      <w:r>
        <w:rPr>
          <w:i/>
        </w:rPr>
        <w:t xml:space="preserve">construes</w:t>
      </w:r>
      <w:r>
        <w:t xml:space="preserve">, the world. The data collected by the RGT is both,</w:t>
      </w:r>
      <w:r>
        <w:t xml:space="preserve"> </w:t>
      </w:r>
      <w:r>
        <w:rPr>
          <w:i/>
        </w:rPr>
        <w:t xml:space="preserve">qualitative</w:t>
      </w:r>
      <w:r>
        <w:t xml:space="preserve"> </w:t>
      </w:r>
      <w:r>
        <w:t xml:space="preserve">and</w:t>
      </w:r>
      <w:r>
        <w:t xml:space="preserve"> </w:t>
      </w:r>
      <w:r>
        <w:rPr>
          <w:i/>
        </w:rPr>
        <w:t xml:space="preserve">quantitative</w:t>
      </w:r>
      <w:r>
        <w:t xml:space="preserve">. The qualitative part of the data consists of a list of elicited bipolar attributes (e.g. </w:t>
      </w:r>
      <w:r>
        <w:rPr>
          <w:i/>
        </w:rPr>
        <w:t xml:space="preserve">light-hearted vs. depressed</w:t>
      </w:r>
      <w:r>
        <w:t xml:space="preserve">). These are called</w:t>
      </w:r>
      <w:r>
        <w:t xml:space="preserve"> </w:t>
      </w:r>
      <w:r>
        <w:rPr>
          <w:i/>
        </w:rPr>
        <w:t xml:space="preserve">constructs</w:t>
      </w:r>
      <w:r>
        <w:t xml:space="preserve"> </w:t>
      </w:r>
      <w:r>
        <w:t xml:space="preserve">in PCT terminology and constitute the templates a person uses to construe a set of objects under consideration (e.g. persons like</w:t>
      </w:r>
      <w:r>
        <w:t xml:space="preserve"> </w:t>
      </w:r>
      <w:r>
        <w:rPr>
          <w:i/>
        </w:rPr>
        <w:t xml:space="preserve">my father</w:t>
      </w:r>
      <w:r>
        <w:t xml:space="preserve">,</w:t>
      </w:r>
      <w:r>
        <w:t xml:space="preserve"> </w:t>
      </w:r>
      <w:r>
        <w:rPr>
          <w:i/>
        </w:rPr>
        <w:t xml:space="preserve">my mother</w:t>
      </w:r>
      <w:r>
        <w:t xml:space="preserve">; so called</w:t>
      </w:r>
      <w:r>
        <w:t xml:space="preserve"> </w:t>
      </w:r>
      <w:r>
        <w:rPr>
          <w:i/>
        </w:rPr>
        <w:t xml:space="preserve">elements</w:t>
      </w:r>
      <w:r>
        <w:t xml:space="preserve"> </w:t>
      </w:r>
      <w:r>
        <w:t xml:space="preserve">in PCT terminology). In a additional step, quantitative data is generated by assigning a score (e.g. from 1 to 6) for each element on each self-generated bipolar attribute (construct). For example, the element</w:t>
      </w:r>
      <w:r>
        <w:t xml:space="preserve"> </w:t>
      </w:r>
      <w:r>
        <w:rPr>
          <w:i/>
        </w:rPr>
        <w:t xml:space="preserve">my father</w:t>
      </w:r>
      <w:r>
        <w:t xml:space="preserve"> </w:t>
      </w:r>
      <w:r>
        <w:t xml:space="preserve">might receive a score of 2 on the</w:t>
      </w:r>
      <w:r>
        <w:t xml:space="preserve"> </w:t>
      </w:r>
      <w:r>
        <w:rPr>
          <w:i/>
        </w:rPr>
        <w:t xml:space="preserve">light-hearted = 1 vs. depressed= 6</w:t>
      </w:r>
      <w:r>
        <w:t xml:space="preserve"> </w:t>
      </w:r>
      <w:r>
        <w:t xml:space="preserve">construct, indicating the father is quite light-hearted. The results of the RGT are usually displayed as a constructs x elements matrix as shown in Figure 1 A more comprehensive introduction to the RGT can be found in</w:t>
      </w:r>
      <w:r>
        <w:t xml:space="preserve"> </w:t>
      </w:r>
      <w:r>
        <w:t xml:space="preserve">Fransella, Bell, and Bannister (2004)</w:t>
      </w:r>
      <w:r>
        <w:t xml:space="preserve">.</w:t>
      </w:r>
    </w:p>
    <w:p>
      <w:pPr>
        <w:pStyle w:val="CaptionedFigure"/>
      </w:pPr>
      <w:r>
        <w:drawing>
          <wp:inline>
            <wp:extent cx="5334000" cy="3999370"/>
            <wp:effectExtent b="0" l="0" r="0" t="0"/>
            <wp:docPr descr="Figure 1. Example of a repertory grid dataset." title="" id="1" name="Picture"/>
            <a:graphic>
              <a:graphicData uri="http://schemas.openxmlformats.org/drawingml/2006/picture">
                <pic:pic>
                  <pic:nvPicPr>
                    <pic:cNvPr descr="img/01-bertin.png" id="0" name="Picture"/>
                    <pic:cNvPicPr>
                      <a:picLocks noChangeArrowheads="1" noChangeAspect="1"/>
                    </pic:cNvPicPr>
                  </pic:nvPicPr>
                  <pic:blipFill>
                    <a:blip r:embed="rId26"/>
                    <a:stretch>
                      <a:fillRect/>
                    </a:stretch>
                  </pic:blipFill>
                  <pic:spPr bwMode="auto">
                    <a:xfrm>
                      <a:off x="0" y="0"/>
                      <a:ext cx="5334000" cy="399937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Example of a repertory grid dataset.</w:t>
      </w:r>
    </w:p>
    <w:p>
      <w:pPr>
        <w:pStyle w:val="Heading1"/>
      </w:pPr>
      <w:bookmarkStart w:id="27" w:name="interpretive-clustering"/>
      <w:r>
        <w:t xml:space="preserve">Interpretive Clustering</w:t>
      </w:r>
      <w:bookmarkEnd w:id="27"/>
    </w:p>
    <w:p>
      <w:pPr>
        <w:pStyle w:val="FirstParagraph"/>
      </w:pPr>
      <w:r>
        <w:t xml:space="preserve">IC is an idiographic method of interpretation which makes use of the qualitative and quantitative grid data. In addition to, for example, thematic analysis, IC not only takes into account the themes relevant in the participant’s construing, but also the relation between the constructs via quantitative assessment. By assessing the constructs relations, implications which constructs hold for each other are identified. IC essentially identifies clusters of constructs which hold implications for each other. These clusters (or cliques) of constructs form the basis for a subsequent qualitative interpretation. We will provide a brief interpretation example below. The example builds on the analysis results the software generates as shown next. However, for a more thorough introduction to the IC method and comprehensive interpretations, the reader is referred to our publication</w:t>
      </w:r>
      <w:r>
        <w:t xml:space="preserve"> </w:t>
      </w:r>
      <w:hyperlink r:id="rId23">
        <w:r>
          <w:rPr>
            <w:rStyle w:val="Hyperlink"/>
          </w:rPr>
          <w:t xml:space="preserve">(Burr, King, and Heckmann 2020)</w:t>
        </w:r>
      </w:hyperlink>
      <w:r>
        <w:t xml:space="preserve">.</w:t>
      </w:r>
    </w:p>
    <w:p>
      <w:pPr>
        <w:pStyle w:val="Heading1"/>
      </w:pPr>
      <w:bookmarkStart w:id="28" w:name="running-the-software"/>
      <w:r>
        <w:t xml:space="preserve">Running the software</w:t>
      </w:r>
      <w:bookmarkEnd w:id="28"/>
    </w:p>
    <w:p>
      <w:pPr>
        <w:pStyle w:val="FirstParagraph"/>
      </w:pPr>
      <w:r>
        <w:t xml:space="preserve">The package can be downloaded from the CRAN repository via the R command</w:t>
      </w:r>
      <w:r>
        <w:t xml:space="preserve"> </w:t>
      </w:r>
      <w:r>
        <w:rPr>
          <w:rStyle w:val="VerbatimChar"/>
        </w:rPr>
        <w:t xml:space="preserve">install.packages("OpenRepGrid.ic")</w:t>
      </w:r>
      <w:r>
        <w:t xml:space="preserve">. The software is then started as follows.</w:t>
      </w:r>
    </w:p>
    <w:p>
      <w:pPr>
        <w:pStyle w:val="SourceCode"/>
      </w:pPr>
      <w:r>
        <w:rPr>
          <w:rStyle w:val="KeywordTok"/>
        </w:rPr>
        <w:t xml:space="preserve">library</w:t>
      </w:r>
      <w:r>
        <w:rPr>
          <w:rStyle w:val="NormalTok"/>
        </w:rPr>
        <w:t xml:space="preserve">(OpenRepGrid.ic)</w:t>
      </w:r>
      <w:r>
        <w:br/>
      </w:r>
      <w:r>
        <w:rPr>
          <w:rStyle w:val="KeywordTok"/>
        </w:rPr>
        <w:t xml:space="preserve">ic</w:t>
      </w:r>
      <w:r>
        <w:rPr>
          <w:rStyle w:val="NormalTok"/>
        </w:rPr>
        <w:t xml:space="preserve">()</w:t>
      </w:r>
    </w:p>
    <w:p>
      <w:pPr>
        <w:pStyle w:val="FirstParagraph"/>
      </w:pPr>
      <w:r>
        <w:t xml:space="preserve">Alternatively, there is a web version available under</w:t>
      </w:r>
      <w:r>
        <w:t xml:space="preserve"> </w:t>
      </w:r>
      <w:hyperlink r:id="rId29">
        <w:r>
          <w:rPr>
            <w:rStyle w:val="Hyperlink"/>
          </w:rPr>
          <w:t xml:space="preserve">https://ic.openprepgrid.org</w:t>
        </w:r>
      </w:hyperlink>
      <w:r>
        <w:t xml:space="preserve">. Below a screenshot of the user interface is displayed.</w:t>
      </w:r>
    </w:p>
    <w:p>
      <w:pPr>
        <w:pStyle w:val="CaptionedFigure"/>
      </w:pPr>
      <w:r>
        <w:drawing>
          <wp:inline>
            <wp:extent cx="5334000" cy="2533650"/>
            <wp:effectExtent b="0" l="0" r="0" t="0"/>
            <wp:docPr descr="Figure 2. Screenshot of the software." title="" id="1" name="Picture"/>
            <a:graphic>
              <a:graphicData uri="http://schemas.openxmlformats.org/drawingml/2006/picture">
                <pic:pic>
                  <pic:nvPicPr>
                    <pic:cNvPr descr="img/02-screenshot.png" id="0" name="Picture"/>
                    <pic:cNvPicPr>
                      <a:picLocks noChangeArrowheads="1" noChangeAspect="1"/>
                    </pic:cNvPicPr>
                  </pic:nvPicPr>
                  <pic:blipFill>
                    <a:blip r:embed="rId30"/>
                    <a:stretch>
                      <a:fillRect/>
                    </a:stretch>
                  </pic:blipFill>
                  <pic:spPr bwMode="auto">
                    <a:xfrm>
                      <a:off x="0" y="0"/>
                      <a:ext cx="5334000" cy="253365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Screenshot of the software.</w:t>
      </w:r>
    </w:p>
    <w:p>
      <w:pPr>
        <w:pStyle w:val="BodyText"/>
      </w:pPr>
      <w:r>
        <w:t xml:space="preserve">The results of the IC analysis is not displayed interactively but is included into an MS Excel file that can be downloaded. Also the results of the intermediate IC steps as described in</w:t>
      </w:r>
      <w:r>
        <w:t xml:space="preserve"> </w:t>
      </w:r>
      <w:r>
        <w:t xml:space="preserve">(Burr, King, and Heckmann 2020)</w:t>
      </w:r>
      <w:r>
        <w:t xml:space="preserve">(</w:t>
      </w:r>
      <w:hyperlink r:id="rId23">
        <w:r>
          <w:rPr>
            <w:rStyle w:val="Hyperlink"/>
          </w:rPr>
          <w:t xml:space="preserve">https://doi.org/10.1080/14780887.2020.1794088</w:t>
        </w:r>
      </w:hyperlink>
      <w:r>
        <w:t xml:space="preserve">) are contained. The main purpose of the software is to automate the cluster identification step of the IC procedure, which is a cumbersome and error-prone task if performed manually. In Figure 3, an extract of the analysis results using the grid data and settings as shown in Figure 2 are displayed and subsequently discussed.</w:t>
      </w:r>
    </w:p>
    <w:p>
      <w:pPr>
        <w:pStyle w:val="CaptionedFigure"/>
      </w:pPr>
      <w:r>
        <w:drawing>
          <wp:inline>
            <wp:extent cx="5334000" cy="5457203"/>
            <wp:effectExtent b="0" l="0" r="0" t="0"/>
            <wp:docPr descr="Figure 3. Results of IC method." title="" id="1" name="Picture"/>
            <a:graphic>
              <a:graphicData uri="http://schemas.openxmlformats.org/drawingml/2006/picture">
                <pic:pic>
                  <pic:nvPicPr>
                    <pic:cNvPr descr="img/03-analysis-result.png" id="0" name="Picture"/>
                    <pic:cNvPicPr>
                      <a:picLocks noChangeArrowheads="1" noChangeAspect="1"/>
                    </pic:cNvPicPr>
                  </pic:nvPicPr>
                  <pic:blipFill>
                    <a:blip r:embed="rId31"/>
                    <a:stretch>
                      <a:fillRect/>
                    </a:stretch>
                  </pic:blipFill>
                  <pic:spPr bwMode="auto">
                    <a:xfrm>
                      <a:off x="0" y="0"/>
                      <a:ext cx="5334000" cy="5457203"/>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Results of IC method.</w:t>
      </w:r>
    </w:p>
    <w:p>
      <w:pPr>
        <w:pStyle w:val="Heading1"/>
      </w:pPr>
      <w:bookmarkStart w:id="32" w:name="interpretation"/>
      <w:r>
        <w:t xml:space="preserve">Interpretation</w:t>
      </w:r>
      <w:bookmarkEnd w:id="32"/>
    </w:p>
    <w:p>
      <w:pPr>
        <w:pStyle w:val="BlockText"/>
      </w:pPr>
      <w:r>
        <w:t xml:space="preserve">TODO FOR VIV &amp; NIGEL: Could you add a very brief interpretation example for (parts of) Sylvia’s grid here (making reference to the image above)? Just enough so the reader can see why IC may be interesting to perform and what one may learn. No need for comprehensiveness here. We only have several hunders words left.</w:t>
      </w:r>
    </w:p>
    <w:p>
      <w:pPr>
        <w:pStyle w:val="Heading1"/>
      </w:pPr>
      <w:bookmarkStart w:id="33" w:name="contributing"/>
      <w:r>
        <w:t xml:space="preserve">Contributing</w:t>
      </w:r>
      <w:bookmarkEnd w:id="33"/>
    </w:p>
    <w:p>
      <w:pPr>
        <w:pStyle w:val="FirstParagraph"/>
      </w:pPr>
      <w:r>
        <w:t xml:space="preserve">In order to maximize the package’s usefulness for the research community, we welcome participation in the package’s development. Experienced R programmers are asked to make pull requests to the</w:t>
      </w:r>
      <w:r>
        <w:t xml:space="preserve"> </w:t>
      </w:r>
      <w:hyperlink r:id="rId34">
        <w:r>
          <w:rPr>
            <w:rStyle w:val="VerbatimChar"/>
          </w:rPr>
          <w:t xml:space="preserve">OpenRepGrid.ic</w:t>
        </w:r>
        <w:r>
          <w:rPr>
            <w:rStyle w:val="Hyperlink"/>
          </w:rPr>
          <w:t xml:space="preserve"> </w:t>
        </w:r>
        <w:r>
          <w:rPr>
            <w:rStyle w:val="Hyperlink"/>
          </w:rPr>
          <w:t xml:space="preserve">github repository</w:t>
        </w:r>
      </w:hyperlink>
      <w:r>
        <w:t xml:space="preserve">,</w:t>
      </w:r>
      <w:r>
        <w:t xml:space="preserve"> </w:t>
      </w:r>
      <w:hyperlink r:id="rId35">
        <w:r>
          <w:rPr>
            <w:rStyle w:val="Hyperlink"/>
          </w:rPr>
          <w:t xml:space="preserve">report issues</w:t>
        </w:r>
      </w:hyperlink>
      <w:r>
        <w:t xml:space="preserve">, or commit code snippets. Non-technical oriented researchers are invited to send us feature requests or suggestions for improvement.</w:t>
      </w:r>
    </w:p>
    <w:p>
      <w:pPr>
        <w:pStyle w:val="Heading1"/>
      </w:pPr>
      <w:bookmarkStart w:id="36" w:name="references"/>
      <w:r>
        <w:t xml:space="preserve">References</w:t>
      </w:r>
      <w:bookmarkEnd w:id="36"/>
    </w:p>
    <w:bookmarkStart w:id="40" w:name="refs"/>
    <w:bookmarkStart w:id="37" w:name="ref-burr_qualitative_2020"/>
    <w:p>
      <w:pPr>
        <w:pStyle w:val="Bibliography"/>
      </w:pPr>
      <w:r>
        <w:t xml:space="preserve">Burr, Viv, Nigel King, and Mark Heckmann. 2020. “The Qualitative Analysis of Repertory Grid Data: Interpretive Clustering.”</w:t>
      </w:r>
      <w:r>
        <w:t xml:space="preserve"> </w:t>
      </w:r>
      <w:r>
        <w:rPr>
          <w:i/>
        </w:rPr>
        <w:t xml:space="preserve">Qualitative Research in Psychology</w:t>
      </w:r>
      <w:r>
        <w:t xml:space="preserve"> </w:t>
      </w:r>
      <w:r>
        <w:t xml:space="preserve">0 (0): 1–25.</w:t>
      </w:r>
      <w:r>
        <w:t xml:space="preserve"> </w:t>
      </w:r>
      <w:hyperlink r:id="rId23">
        <w:r>
          <w:rPr>
            <w:rStyle w:val="Hyperlink"/>
          </w:rPr>
          <w:t xml:space="preserve">https://doi.org/10.1080/14780887.2020.1794088</w:t>
        </w:r>
      </w:hyperlink>
      <w:r>
        <w:t xml:space="preserve">.</w:t>
      </w:r>
    </w:p>
    <w:bookmarkEnd w:id="37"/>
    <w:bookmarkStart w:id="38" w:name="ref-fransella_manual_2004"/>
    <w:p>
      <w:pPr>
        <w:pStyle w:val="Bibliography"/>
      </w:pPr>
      <w:r>
        <w:t xml:space="preserve">Fransella, Fay, Richard C. Bell, and Donald Bannister. 2004.</w:t>
      </w:r>
      <w:r>
        <w:t xml:space="preserve"> </w:t>
      </w:r>
      <w:r>
        <w:rPr>
          <w:i/>
        </w:rPr>
        <w:t xml:space="preserve">A Manual for Repertory Grid Technique</w:t>
      </w:r>
      <w:r>
        <w:t xml:space="preserve">. 2nd ed. Chichester: John Wiley &amp; Sons.</w:t>
      </w:r>
    </w:p>
    <w:bookmarkEnd w:id="38"/>
    <w:bookmarkStart w:id="39" w:name="ref-kelly_psychology_1955"/>
    <w:p>
      <w:pPr>
        <w:pStyle w:val="Bibliography"/>
      </w:pPr>
      <w:r>
        <w:t xml:space="preserve">Kelly, George Alexander. 1955.</w:t>
      </w:r>
      <w:r>
        <w:t xml:space="preserve"> </w:t>
      </w:r>
      <w:r>
        <w:rPr>
          <w:i/>
        </w:rPr>
        <w:t xml:space="preserve">The Psychology of Personal Constructs</w:t>
      </w:r>
      <w:r>
        <w:t xml:space="preserve">. New York: Norton.</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4" Target="http://openrepgrid.org/" TargetMode="External" /><Relationship Type="http://schemas.openxmlformats.org/officeDocument/2006/relationships/hyperlink" Id="rId21" Target="https://cran.r-project.org/web/packages/OpenRepGrid.ic/index.html" TargetMode="External" /><Relationship Type="http://schemas.openxmlformats.org/officeDocument/2006/relationships/hyperlink" Id="rId23" Target="https://doi.org/10.1080/14780887.2020.1794088" TargetMode="External" /><Relationship Type="http://schemas.openxmlformats.org/officeDocument/2006/relationships/hyperlink" Id="rId22" Target="https://en.wikipedia.org/wiki/Repertory_grid" TargetMode="External" /><Relationship Type="http://schemas.openxmlformats.org/officeDocument/2006/relationships/hyperlink" Id="rId34" Target="https://github.com/markheckmann/OpenRepGrid.ic" TargetMode="External" /><Relationship Type="http://schemas.openxmlformats.org/officeDocument/2006/relationships/hyperlink" Id="rId35" Target="https://github.com/markheckmann/OpenRepGrid.ic/issues" TargetMode="External" /><Relationship Type="http://schemas.openxmlformats.org/officeDocument/2006/relationships/hyperlink" Id="rId29" Target="https://ic.openprepgrid.org" TargetMode="External" /></Relationships>
</file>

<file path=word/_rels/footnotes.xml.rels><?xml version="1.0" encoding="UTF-8"?>
<Relationships xmlns="http://schemas.openxmlformats.org/package/2006/relationships"><Relationship Type="http://schemas.openxmlformats.org/officeDocument/2006/relationships/hyperlink" Id="rId24" Target="http://openrepgrid.org/" TargetMode="External" /><Relationship Type="http://schemas.openxmlformats.org/officeDocument/2006/relationships/hyperlink" Id="rId21" Target="https://cran.r-project.org/web/packages/OpenRepGrid.ic/index.html" TargetMode="External" /><Relationship Type="http://schemas.openxmlformats.org/officeDocument/2006/relationships/hyperlink" Id="rId23" Target="https://doi.org/10.1080/14780887.2020.1794088" TargetMode="External" /><Relationship Type="http://schemas.openxmlformats.org/officeDocument/2006/relationships/hyperlink" Id="rId22" Target="https://en.wikipedia.org/wiki/Repertory_grid" TargetMode="External" /><Relationship Type="http://schemas.openxmlformats.org/officeDocument/2006/relationships/hyperlink" Id="rId34" Target="https://github.com/markheckmann/OpenRepGrid.ic" TargetMode="External" /><Relationship Type="http://schemas.openxmlformats.org/officeDocument/2006/relationships/hyperlink" Id="rId35" Target="https://github.com/markheckmann/OpenRepGrid.ic/issues" TargetMode="External" /><Relationship Type="http://schemas.openxmlformats.org/officeDocument/2006/relationships/hyperlink" Id="rId29" Target="https://ic.openprepgri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OpenRepGrid.ic: A software for Interpretive Clustering</dc:title>
  <dc:creator/>
  <cp:keywords/>
  <dcterms:created xsi:type="dcterms:W3CDTF">2020-09-06T12:27:57Z</dcterms:created>
  <dcterms:modified xsi:type="dcterms:W3CDTF">2020-09-06T12:27:57Z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31 July 2020</vt:lpwstr>
  </property>
  <property fmtid="{D5CDD505-2E9C-101B-9397-08002B2CF9AE}" pid="6" name="output">
    <vt:lpwstr/>
  </property>
  <property fmtid="{D5CDD505-2E9C-101B-9397-08002B2CF9AE}" pid="7" name="tags">
    <vt:lpwstr/>
  </property>
</Properties>
</file>