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COURT OF APPEALS FOR THE NINTH CIRCUIT</w:t>
      </w:r>
    </w:p>
    <w:p>
      <w:pPr>
        <w:pStyle w:val="BodyText"/>
      </w:pPr>
      <w:r>
        <w:t xml:space="preserve">MARGARET T. VOSS, Plaintiff-Appellant, v. STERLING RECOVERY GROUP, LLC, Defendant-Appellee.</w:t>
      </w:r>
    </w:p>
    <w:p>
      <w:pPr>
        <w:pStyle w:val="BodyText"/>
      </w:pPr>
      <w:r>
        <w:t xml:space="preserve">No. 25-16443</w:t>
      </w:r>
    </w:p>
    <w:p>
      <w:pPr>
        <w:pStyle w:val="BodyText"/>
      </w:pPr>
      <w:r>
        <w:rPr>
          <w:bCs/>
          <w:b/>
        </w:rPr>
        <w:t xml:space="preserve">BRIEF OF PLAINTIFF-APPELLANT</w:t>
      </w:r>
    </w:p>
    <w:bookmarkStart w:id="20" w:name="table-of-contents"/>
    <w:p>
      <w:pPr>
        <w:pStyle w:val="Heading1"/>
      </w:pPr>
      <w:r>
        <w:t xml:space="preserve">TABLE OF CONTENTS</w:t>
      </w:r>
    </w:p>
    <w:p>
      <w:pPr>
        <w:pStyle w:val="SourceCode"/>
      </w:pPr>
      <w:r>
        <w:rPr>
          <w:rStyle w:val="VerbatimChar"/>
        </w:rPr>
        <w:t xml:space="preserve">STATEMENT OF JURISDICTION   —</w:t>
      </w:r>
      <w:r>
        <w:br/>
      </w:r>
      <w:r>
        <w:br/>
      </w:r>
      <w:r>
        <w:rPr>
          <w:rStyle w:val="VerbatimChar"/>
        </w:rPr>
        <w:t xml:space="preserve">STATEMENT OF THE ISSUES —</w:t>
      </w:r>
      <w:r>
        <w:br/>
      </w:r>
      <w:r>
        <w:br/>
      </w:r>
      <w:r>
        <w:rPr>
          <w:rStyle w:val="VerbatimChar"/>
        </w:rPr>
        <w:t xml:space="preserve">STATEMENT OF THE CASE   —</w:t>
      </w:r>
      <w:r>
        <w:br/>
      </w:r>
      <w:r>
        <w:br/>
      </w:r>
      <w:r>
        <w:rPr>
          <w:rStyle w:val="VerbatimChar"/>
        </w:rPr>
        <w:t xml:space="preserve">SUMMARY OF THE ARGUMENT —</w:t>
      </w:r>
      <w:r>
        <w:br/>
      </w:r>
      <w:r>
        <w:br/>
      </w:r>
      <w:r>
        <w:rPr>
          <w:rStyle w:val="VerbatimChar"/>
        </w:rPr>
        <w:t xml:space="preserve">STANDARD OF REVIEW  —</w:t>
      </w:r>
      <w:r>
        <w:br/>
      </w:r>
      <w:r>
        <w:br/>
      </w:r>
      <w:r>
        <w:rPr>
          <w:rStyle w:val="VerbatimChar"/>
        </w:rPr>
        <w:t xml:space="preserve">ARGUMENT    —</w:t>
      </w:r>
      <w:r>
        <w:br/>
      </w:r>
      <w:r>
        <w:br/>
      </w:r>
      <w:r>
        <w:rPr>
          <w:rStyle w:val="VerbatimChar"/>
        </w:rPr>
        <w:t xml:space="preserve">CONCLUSION  —</w:t>
      </w:r>
    </w:p>
    <w:bookmarkEnd w:id="20"/>
    <w:bookmarkStart w:id="21" w:name="table-of-authorities"/>
    <w:p>
      <w:pPr>
        <w:pStyle w:val="Heading1"/>
      </w:pPr>
      <w:r>
        <w:t xml:space="preserve">TABLE OF AUTHORITIES</w:t>
      </w:r>
    </w:p>
    <w:p>
      <w:pPr>
        <w:pStyle w:val="FirstParagraph"/>
      </w:pPr>
      <w:r>
        <w:rPr>
          <w:iCs/>
          <w:i/>
          <w:bCs/>
          <w:b/>
        </w:rPr>
        <w:t xml:space="preserve">Cases</w:t>
      </w:r>
    </w:p>
    <w:p>
      <w:pPr>
        <w:pStyle w:val="SourceCode"/>
      </w:pPr>
      <w:r>
        <w:rPr>
          <w:rStyle w:val="VerbatimChar"/>
        </w:rPr>
        <w:t xml:space="preserve">Brunner v. Caldwell, 344 P.3d 901 (Wash. 2015)  6, 7</w:t>
      </w:r>
      <w:r>
        <w:br/>
      </w:r>
      <w:r>
        <w:br/>
      </w:r>
      <w:r>
        <w:rPr>
          <w:rStyle w:val="VerbatimChar"/>
        </w:rPr>
        <w:t xml:space="preserve">Carmody v. Westfall Transit Auth., 512 F.3d 1042 (9th Cir. 2018)    2, 3, 4, 5, 6</w:t>
      </w:r>
      <w:r>
        <w:br/>
      </w:r>
      <w:r>
        <w:br/>
      </w:r>
      <w:r>
        <w:rPr>
          <w:rStyle w:val="VerbatimChar"/>
        </w:rPr>
        <w:t xml:space="preserve">Delgado v. Pinewood Credit Services, Inc., 487 U.S. 213 (1988)  3, 5</w:t>
      </w:r>
      <w:r>
        <w:br/>
      </w:r>
      <w:r>
        <w:br/>
      </w:r>
      <w:r>
        <w:rPr>
          <w:rStyle w:val="VerbatimChar"/>
        </w:rPr>
        <w:t xml:space="preserve">Hartwell Industries v. National Labor Relations Board, 723 F.2d 388 (2d Cir. 1984)  4</w:t>
      </w:r>
    </w:p>
    <w:p>
      <w:pPr>
        <w:pStyle w:val="FirstParagraph"/>
      </w:pPr>
      <w:r>
        <w:rPr>
          <w:iCs/>
          <w:i/>
          <w:bCs/>
          <w:b/>
        </w:rPr>
        <w:t xml:space="preserve">Statutes</w:t>
      </w:r>
    </w:p>
    <w:p>
      <w:pPr>
        <w:pStyle w:val="SourceCode"/>
      </w:pPr>
      <w:r>
        <w:rPr>
          <w:rStyle w:val="VerbatimChar"/>
        </w:rPr>
        <w:t xml:space="preserve">15 U.S.C. § 1692e   1, 4</w:t>
      </w:r>
    </w:p>
    <w:p>
      <w:pPr>
        <w:pStyle w:val="FirstParagraph"/>
      </w:pPr>
      <w:r>
        <w:rPr>
          <w:iCs/>
          <w:i/>
          <w:bCs/>
          <w:b/>
        </w:rPr>
        <w:t xml:space="preserve">Regulations</w:t>
      </w:r>
    </w:p>
    <w:p>
      <w:pPr>
        <w:pStyle w:val="SourceCode"/>
      </w:pPr>
      <w:r>
        <w:rPr>
          <w:rStyle w:val="VerbatimChar"/>
        </w:rPr>
        <w:t xml:space="preserve">12 C.F.R. § 1006.14 3, 6</w:t>
      </w:r>
    </w:p>
    <w:p>
      <w:pPr>
        <w:pStyle w:val="FirstParagraph"/>
      </w:pPr>
      <w:r>
        <w:rPr>
          <w:iCs/>
          <w:i/>
          <w:bCs/>
          <w:b/>
        </w:rPr>
        <w:t xml:space="preserve">Rules</w:t>
      </w:r>
    </w:p>
    <w:p>
      <w:pPr>
        <w:pStyle w:val="SourceCode"/>
      </w:pPr>
      <w:r>
        <w:rPr>
          <w:rStyle w:val="VerbatimChar"/>
        </w:rPr>
        <w:t xml:space="preserve">Fed. R. App. P. 28  7</w:t>
      </w:r>
    </w:p>
    <w:bookmarkEnd w:id="21"/>
    <w:bookmarkStart w:id="22" w:name="statement-of-jurisdiction"/>
    <w:p>
      <w:pPr>
        <w:pStyle w:val="Heading1"/>
      </w:pPr>
      <w:r>
        <w:t xml:space="preserve">STATEMENT OF JURISDICTION</w:t>
      </w:r>
    </w:p>
    <w:p>
      <w:pPr>
        <w:pStyle w:val="FirstParagraph"/>
      </w:pPr>
      <w:r>
        <w:t xml:space="preserve">The district court had jurisdiction under 28 U.S.C. § 1331. This Court has jurisdiction under 28 U.S.C. § 1291. The notice of appeal was timely filed. The district court’s contrary conclusion rests on a reading of the record that neither party advanced below and that the evidence does not support. Nothing in the statutory text, the implementing regulation, or the decisions of this Court suggests a different result. Appellee’s argument to the contrary conflates the threshold question of coverage with the distinct question of remedy, and the two inquiries proceed under different standards.</w:t>
      </w:r>
    </w:p>
    <w:bookmarkEnd w:id="22"/>
    <w:bookmarkStart w:id="23" w:name="statement-of-the-issues"/>
    <w:p>
      <w:pPr>
        <w:pStyle w:val="Heading1"/>
      </w:pPr>
      <w:r>
        <w:t xml:space="preserve">STATEMENT OF THE ISSUES</w:t>
      </w:r>
    </w:p>
    <w:p>
      <w:pPr>
        <w:pStyle w:val="FirstParagraph"/>
      </w:pPr>
      <w:r>
        <w:t xml:space="preserve">Whether the district court erred in holding that a debt collector’s communication is exempt from 15 U.S.C. § 1692e when the collector subjectively believed the representation to be accurate. That distinction is not a technicality; it reflects the allocation of burdens that Congress wrote into the statute. On de novo review, this Court owes no deference to the district court’s resolution of that legal question.</w:t>
      </w:r>
    </w:p>
    <w:bookmarkEnd w:id="23"/>
    <w:bookmarkStart w:id="24" w:name="statement-of-the-case"/>
    <w:p>
      <w:pPr>
        <w:pStyle w:val="Heading1"/>
      </w:pPr>
      <w:r>
        <w:t xml:space="preserve">STATEMENT OF THE CASE</w:t>
      </w:r>
    </w:p>
    <w:p>
      <w:pPr>
        <w:pStyle w:val="FirstParagraph"/>
      </w:pPr>
      <w:r>
        <w:t xml:space="preserve">This appeal arises from the district court’s grant of summary judgment. The operative complaint alleged that appellee misrepresented the character and legal status of a consumer debt in violation of 15 U.S.C. § 1692e. The undisputed facts, viewed in the light most favorable to the non-moving party, compel the opposite conclusion. Any other rule would render the provision surplusage, a result the canons of construction instruct courts to avoid. The legislative history, to the extent it is relevant at all, points in the same direction as the text. The district court’s contrary conclusion rests on a reading of the record that neither party advanced below and that the evidence does not support.</w:t>
      </w:r>
    </w:p>
    <w:p>
      <w:pPr>
        <w:pStyle w:val="BodyText"/>
      </w:pPr>
      <w:r>
        <w:t xml:space="preserve">The parties cross-moved for summary judgment. The district court granted appellee’s motion, reasoning that a collector’s good-faith belief in the accuracy of a representation defeats liability. Nothing in the statutory text, the implementing regulation, or the decisions of this Court suggests a different result. Appellee’s argument to the contrary conflates the threshold question of coverage with the distinct question of remedy, and the two inquiries proceed under different standards. That distinction is not a technicality; it reflects the allocation of burdens that Congress wrote into the statute. On de novo review, this Court owes no deference to the district court’s resolution of that legal question.</w:t>
      </w:r>
    </w:p>
    <w:p>
      <w:pPr>
        <w:pStyle w:val="BodyText"/>
      </w:pPr>
      <w:r>
        <w:t xml:space="preserve">That reasoning cannot be squared with this Court’s decision in Carmody v. Westfall Transit Auth., 512 F.3d 1042 (9th Cir. 2018), which held that section 1692e imposes a standard measured by the least sophisticated consumer, not by the collector’s state of mind. The undisputed facts, viewed in the light most favorable to the non-moving party, compel the opposite conclusion. Any other rule would render the provision surplusage, a result the canons of construction instruct courts to avoid. The legislative history, to the extent it is relevant at all, points in the same direction as the text.</w:t>
      </w:r>
    </w:p>
    <w:bookmarkEnd w:id="24"/>
    <w:bookmarkStart w:id="25" w:name="summary-of-the-argument"/>
    <w:p>
      <w:pPr>
        <w:pStyle w:val="Heading1"/>
      </w:pPr>
      <w:r>
        <w:t xml:space="preserve">SUMMARY OF THE ARGUMENT</w:t>
      </w:r>
    </w:p>
    <w:p>
      <w:pPr>
        <w:pStyle w:val="FirstParagraph"/>
      </w:pPr>
      <w:r>
        <w:t xml:space="preserve">The judgment should be reversed for three independent reasons. First, the statutory text forecloses a subjective-belief defense. See Carmody, 512 F.3d at 1047. The district court’s contrary conclusion rests on a reading of the record that neither party advanced below and that the evidence does not support. Nothing in the statutory text, the implementing regulation, or the decisions of this Court suggests a different result. Appellee’s argument to the contrary conflates the threshold question of coverage with the distinct question of remedy, and the two inquiries proceed under different standards.</w:t>
      </w:r>
    </w:p>
    <w:p>
      <w:pPr>
        <w:pStyle w:val="BodyText"/>
      </w:pPr>
      <w:r>
        <w:t xml:space="preserve">Second, the Supreme Court’s decision in Delgado v. Pinewood Credit Services, Inc., 487 U.S. 213 (1988) establishes that remedial consumer-protection statutes are construed against the creation of implied defenses. That distinction is not a technicality; it reflects the allocation of burdens that Congress wrote into the statute. On de novo review, this Court owes no deference to the district court’s resolution of that legal question. The undisputed facts, viewed in the light most favorable to the non-moving party, compel the opposite conclusion.</w:t>
      </w:r>
    </w:p>
    <w:p>
      <w:pPr>
        <w:pStyle w:val="BodyText"/>
      </w:pPr>
      <w:r>
        <w:t xml:space="preserve">Third, the implementing regulation, 12 C.F.R. § 1006.14, confirms the objective character of the inquiry. Any other rule would render the provision surplusage, a result the canons of construction instruct courts to avoid. The legislative history, to the extent it is relevant at all, points in the same direction as the text. The district court’s contrary conclusion rests on a reading of the record that neither party advanced below and that the evidence does not support.</w:t>
      </w:r>
    </w:p>
    <w:bookmarkEnd w:id="25"/>
    <w:bookmarkStart w:id="26" w:name="standard-of-review"/>
    <w:p>
      <w:pPr>
        <w:pStyle w:val="Heading1"/>
      </w:pPr>
      <w:r>
        <w:t xml:space="preserve">STANDARD OF REVIEW</w:t>
      </w:r>
    </w:p>
    <w:p>
      <w:pPr>
        <w:pStyle w:val="FirstParagraph"/>
      </w:pPr>
      <w:r>
        <w:t xml:space="preserve">This Court reviews a grant of summary judgment de novo. Carmody, 512 F.3d at 1045. The Court may affirm on any ground supported by the record. Nothing in the statutory text, the implementing regulation, or the decisions of this Court suggests a different result. Appellee’s argument to the contrary conflates the threshold question of coverage with the distinct question of remedy, and the two inquiries proceed under different standards. That distinction is not a technicality; it reflects the allocation of burdens that Congress wrote into the statute.</w:t>
      </w:r>
    </w:p>
    <w:bookmarkEnd w:id="26"/>
    <w:bookmarkStart w:id="30" w:name="argument"/>
    <w:p>
      <w:pPr>
        <w:pStyle w:val="Heading1"/>
      </w:pPr>
      <w:r>
        <w:t xml:space="preserve">ARGUMENT</w:t>
      </w:r>
    </w:p>
    <w:bookmarkStart w:id="27" w:name="X83ed320f9190855ebc4f7325191d71aa5ae57d9"/>
    <w:p>
      <w:pPr>
        <w:pStyle w:val="Heading2"/>
      </w:pPr>
      <w:r>
        <w:t xml:space="preserve">I. The Text of Section 1692e Forecloses a Subjective-Belief Defense</w:t>
      </w:r>
    </w:p>
    <w:p>
      <w:pPr>
        <w:pStyle w:val="FirstParagraph"/>
      </w:pPr>
      <w:r>
        <w:t xml:space="preserve">Section 1692e prohibits the use of</w:t>
      </w:r>
      <w:r>
        <w:t xml:space="preserve"> </w:t>
      </w:r>
      <w:r>
        <w:t xml:space="preserve">“</w:t>
      </w:r>
      <w:r>
        <w:t xml:space="preserve">any false, deceptive, or misleading representation</w:t>
      </w:r>
      <w:r>
        <w:t xml:space="preserve">”</w:t>
      </w:r>
      <w:r>
        <w:t xml:space="preserve"> </w:t>
      </w:r>
      <w:r>
        <w:t xml:space="preserve">in connection with the collection of a debt. 15 U.S.C. § 1692e. The provision contains no scienter requirement. On de novo review, this Court owes no deference to the district court’s resolution of that legal question. The undisputed facts, viewed in the light most favorable to the non-moving party, compel the opposite conclusion. Any other rule would render the provision surplusage, a result the canons of construction instruct courts to avoid. The legislative history, to the extent it is relevant at all, points in the same direction as the text.</w:t>
      </w:r>
    </w:p>
    <w:p>
      <w:pPr>
        <w:pStyle w:val="BodyText"/>
      </w:pPr>
      <w:r>
        <w:t xml:space="preserve">This Court so held in Carmody, 512 F.3d at 1048, explaining that the statute</w:t>
      </w:r>
      <w:r>
        <w:t xml:space="preserve"> </w:t>
      </w:r>
      <w:r>
        <w:t xml:space="preserve">“</w:t>
      </w:r>
      <w:r>
        <w:t xml:space="preserve">measures deception from the perspective of the audience, not the speaker.</w:t>
      </w:r>
      <w:r>
        <w:t xml:space="preserve">”</w:t>
      </w:r>
      <w:r>
        <w:t xml:space="preserve"> </w:t>
      </w:r>
      <w:r>
        <w:t xml:space="preserve">The district court’s contrary conclusion rests on a reading of the record that neither party advanced below and that the evidence does not support. Nothing in the statutory text, the implementing regulation, or the decisions of this Court suggests a different result. Appellee’s argument to the contrary conflates the threshold question of coverage with the distinct question of remedy, and the two inquiries proceed under different standards. That distinction is not a technicality; it reflects the allocation of burdens that Congress wrote into the statute.</w:t>
      </w:r>
    </w:p>
    <w:p>
      <w:pPr>
        <w:pStyle w:val="BodyText"/>
      </w:pPr>
      <w:r>
        <w:t xml:space="preserve">The Second Circuit reached the same conclusion construing parallel language in the labor context. Hartwell Industries v. National Labor Relations Board, 723 F.2d 388 (2d Cir. 1984). On de novo review, this Court owes no deference to the district court’s resolution of that legal question. The undisputed facts, viewed in the light most favorable to the non-moving party, compel the opposite conclusion. Any other rule would render the provision surplusage, a result the canons of construction instruct courts to avoid. The legislative history, to the extent it is relevant at all, points in the same direction as the text.</w:t>
      </w:r>
    </w:p>
    <w:p>
      <w:pPr>
        <w:pStyle w:val="BodyText"/>
      </w:pPr>
      <w:r>
        <w:t xml:space="preserve">Appellee’s reliance on out-of-circuit dictum is misplaced. The cited passages address the bona fide error defense, a distinct affirmative defense with its own elements. Carmody, 512 F.3d at 1050. The district court’s contrary conclusion rests on a reading of the record that neither party advanced below and that the evidence does not support. Nothing in the statutory text, the implementing regulation, or the decisions of this Court suggests a different result. Appellee’s argument to the contrary conflates the threshold question of coverage with the distinct question of remedy, and the two inquiries proceed under different standards. That distinction is not a technicality; it reflects the allocation of burdens that Congress wrote into the statute.</w:t>
      </w:r>
    </w:p>
    <w:bookmarkEnd w:id="27"/>
    <w:bookmarkStart w:id="28" w:name="Xe6699e15c383388cb84c896e4d0803c38c02b3b"/>
    <w:p>
      <w:pPr>
        <w:pStyle w:val="Heading2"/>
      </w:pPr>
      <w:r>
        <w:t xml:space="preserve">II. Delgado Confirms That Implied Defenses Are Disfavored</w:t>
      </w:r>
    </w:p>
    <w:p>
      <w:pPr>
        <w:pStyle w:val="FirstParagraph"/>
      </w:pPr>
      <w:r>
        <w:t xml:space="preserve">In Delgado, 487 U.S. at 219, the Supreme Court declined to read an unexpressed exception into a remedial statute, reasoning that Congress</w:t>
      </w:r>
      <w:r>
        <w:t xml:space="preserve"> </w:t>
      </w:r>
      <w:r>
        <w:t xml:space="preserve">“</w:t>
      </w:r>
      <w:r>
        <w:t xml:space="preserve">knows how to create a defense when it intends one.</w:t>
      </w:r>
      <w:r>
        <w:t xml:space="preserve">”</w:t>
      </w:r>
      <w:r>
        <w:t xml:space="preserve"> </w:t>
      </w:r>
      <w:r>
        <w:t xml:space="preserve">On de novo review, this Court owes no deference to the district court’s resolution of that legal question. The undisputed facts, viewed in the light most favorable to the non-moving party, compel the opposite conclusion. Any other rule would render the provision surplusage, a result the canons of construction instruct courts to avoid. The legislative history, to the extent it is relevant at all, points in the same direction as the text.</w:t>
      </w:r>
    </w:p>
    <w:p>
      <w:pPr>
        <w:pStyle w:val="BodyText"/>
      </w:pPr>
      <w:r>
        <w:t xml:space="preserve">The same logic controls here. Congress created an express bona fide error defense; it created no good-faith defense to section 1692e. Delgado, 487 U.S. at 221. The district court’s contrary conclusion rests on a reading of the record that neither party advanced below and that the evidence does not support. Nothing in the statutory text, the implementing regulation, or the decisions of this Court suggests a different result. Appellee’s argument to the contrary conflates the threshold question of coverage with the distinct question of remedy, and the two inquiries proceed under different standards. That distinction is not a technicality; it reflects the allocation of burdens that Congress wrote into the statute.</w:t>
      </w:r>
    </w:p>
    <w:p>
      <w:pPr>
        <w:pStyle w:val="BodyText"/>
      </w:pPr>
      <w:r>
        <w:t xml:space="preserve">The Washington Supreme Court has applied the identical principle to the state analogue. Brunner v. Caldwell, 344 P.3d 901 (Wash. 2015). On de novo review, this Court owes no deference to the district court’s resolution of that legal question. The undisputed facts, viewed in the light most favorable to the non-moving party, compel the opposite conclusion. Any other rule would render the provision surplusage, a result the canons of construction instruct courts to avoid. The legislative history, to the extent it is relevant at all, points in the same direction as the text. The district court’s contrary conclusion rests on a reading of the record that neither party advanced below and that the evidence does not support.</w:t>
      </w:r>
    </w:p>
    <w:bookmarkEnd w:id="28"/>
    <w:bookmarkStart w:id="29" w:name="Xc1b1ef376770e61c477ccc6e6b303812cdd080d"/>
    <w:p>
      <w:pPr>
        <w:pStyle w:val="Heading2"/>
      </w:pPr>
      <w:r>
        <w:t xml:space="preserve">III. The Regulation Confirms the Objective Standard</w:t>
      </w:r>
    </w:p>
    <w:p>
      <w:pPr>
        <w:pStyle w:val="FirstParagraph"/>
      </w:pPr>
      <w:r>
        <w:t xml:space="preserve">The Bureau’s implementing regulation describes the prohibited conduct in wholly objective terms. 12 C.F.R. § 1006.14. Nothing in the statutory text, the implementing regulation, or the decisions of this Court suggests a different result. Appellee’s argument to the contrary conflates the threshold question of coverage with the distinct question of remedy, and the two inquiries proceed under different standards. That distinction is not a technicality; it reflects the allocation of burdens that Congress wrote into the statute. On de novo review, this Court owes no deference to the district court’s resolution of that legal question.</w:t>
      </w:r>
    </w:p>
    <w:p>
      <w:pPr>
        <w:pStyle w:val="BodyText"/>
      </w:pPr>
      <w:r>
        <w:t xml:space="preserve">Because the regulation tracks the statute, no deference question arises; text and regulation point the same way. Carmody, 512 F.3d at 1052. The undisputed facts, viewed in the light most favorable to the non-moving party, compel the opposite conclusion. Any other rule would render the provision surplusage, a result the canons of construction instruct courts to avoid. The legislative history, to the extent it is relevant at all, points in the same direction as the text. The district court’s contrary conclusion rests on a reading of the record that neither party advanced below and that the evidence does not support.</w:t>
      </w:r>
    </w:p>
    <w:p>
      <w:pPr>
        <w:pStyle w:val="BodyText"/>
      </w:pPr>
      <w:r>
        <w:t xml:space="preserve">Finally, the structure of the briefing rules themselves presumes that authorities be presented accurately and completely, see Fed. R. App. P. 28, a presumption appellee’s reading would undermine. Brunner, 344 P.3d at 907. Nothing in the statutory text, the implementing regulation, or the decisions of this Court suggests a different result. Appellee’s argument to the contrary conflates the threshold question of coverage with the distinct question of remedy, and the two inquiries proceed under different standards. That distinction is not a technicality; it reflects the allocation of burdens that Congress wrote into the statute. On de novo review, this Court owes no deference to the district court’s resolution of that legal question.</w:t>
      </w:r>
    </w:p>
    <w:bookmarkEnd w:id="29"/>
    <w:bookmarkEnd w:id="30"/>
    <w:bookmarkStart w:id="31" w:name="conclusion"/>
    <w:p>
      <w:pPr>
        <w:pStyle w:val="Heading1"/>
      </w:pPr>
      <w:r>
        <w:t xml:space="preserve">CONCLUSION</w:t>
      </w:r>
    </w:p>
    <w:p>
      <w:pPr>
        <w:pStyle w:val="FirstParagraph"/>
      </w:pPr>
      <w:r>
        <w:t xml:space="preserve">The judgment of the district court should be reversed and the case remanded for further proceedings. The undisputed facts, viewed in the light most favorable to the non-moving party, compel the opposite conclusion. Any other rule would render the provision surplusage, a result the canons of construction instruct courts to avoid.</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2026-06-08T20:39:21Z</dcterms:created>
  <dcterms:modified xsi:type="dcterms:W3CDTF">2026-06-08T20:39:21Z</dcterms:modified>
</cp:coreProperties>
</file>

<file path=docProps/custom.xml><?xml version="1.0" encoding="utf-8"?>
<Properties xmlns="http://schemas.openxmlformats.org/officeDocument/2006/custom-properties" xmlns:vt="http://schemas.openxmlformats.org/officeDocument/2006/docPropsVTypes"/>
</file>