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SUPERIOR COURT OF WASHINGTON FOR KING COUNTY</w:t>
      </w:r>
    </w:p>
    <w:p>
      <w:pPr>
        <w:pStyle w:val="BodyText"/>
      </w:pPr>
      <w:r>
        <w:t xml:space="preserve">TERESA L. MABRY, Plaintiff, v. NORTHGATE ASSET RECOVERY, INC., Defendant.</w:t>
      </w:r>
    </w:p>
    <w:p>
      <w:pPr>
        <w:pStyle w:val="BodyText"/>
      </w:pPr>
      <w:r>
        <w:t xml:space="preserve">No. 25-2-19077-1 SEA</w:t>
      </w:r>
    </w:p>
    <w:p>
      <w:pPr>
        <w:pStyle w:val="BodyText"/>
      </w:pPr>
      <w:r>
        <w:rPr>
          <w:bCs/>
          <w:b/>
        </w:rPr>
        <w:t xml:space="preserve">PLAINTIFF’S MEMORANDUM IN OPPOSITION TO MOTION TO DISMISS</w:t>
      </w:r>
    </w:p>
    <w:p>
      <w:pPr>
        <w:pStyle w:val="BodyText"/>
      </w:pPr>
      <w:r>
        <w:t xml:space="preserve">[[TOA]]</w:t>
      </w:r>
    </w:p>
    <w:bookmarkStart w:id="20" w:name="introduction"/>
    <w:p>
      <w:pPr>
        <w:pStyle w:val="Heading1"/>
      </w:pPr>
      <w:r>
        <w:t xml:space="preserve">INTRODUCTION</w:t>
      </w:r>
    </w:p>
    <w:p>
      <w:pPr>
        <w:pStyle w:val="FirstParagraph"/>
      </w:pPr>
      <w:r>
        <w:t xml:space="preserve">Plaintiff submits this memorandum in opposition to defendant’s motion to dismiss.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w:t>
      </w:r>
    </w:p>
    <w:bookmarkEnd w:id="20"/>
    <w:bookmarkStart w:id="21" w:name="argument"/>
    <w:p>
      <w:pPr>
        <w:pStyle w:val="Heading1"/>
      </w:pPr>
      <w:r>
        <w:t xml:space="preserve">ARGUMENT</w:t>
      </w:r>
    </w:p>
    <w:p>
      <w:pPr>
        <w:pStyle w:val="FirstParagraph"/>
      </w:pPr>
      <w:r>
        <w:t xml:space="preserve">The complaint states a claim under 15 U.S.C. § 1692e. Its allegations, accepted as true, establish a materially misleading representation under the governing objective standard. Carmody v. Westfall Transit Auth., 512 F.3d 1042 (9th Cir. 2018).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 That distinction is not a technicality; it reflects the allocation of burdens that Congress wrote into the statute. On de novo review, this Court owes no deference to the district court’s resolution of that legal question.</w:t>
      </w:r>
    </w:p>
    <w:p>
      <w:pPr>
        <w:pStyle w:val="BodyText"/>
      </w:pPr>
      <w:r>
        <w:t xml:space="preserve">Defendant’s reliance on Delgado v. Pinewood Credit Services, Inc., 487 U.S. 213 (1988) is misplaced for the reasons stated above, and the regulation, 12 C.F.R. § 1006.14, independently supports plaintiff’s reading. Carmody, 512 F.3d at 1048. The undisputed facts, viewed in the light most favorable to the non-moving party, compel the opposite conclusion. Any other rule would render the provision surplusage, a result the canons of construction instruct courts to avoid. The legislative history, to the extent it is relevant at all, points in the same direction as the text. The district court’s contrary conclusion rests on a reading of the record that neither party advanced below and that the evidence does not support.</w:t>
      </w:r>
    </w:p>
    <w:bookmarkEnd w:id="21"/>
    <w:bookmarkStart w:id="22" w:name="conclusion"/>
    <w:p>
      <w:pPr>
        <w:pStyle w:val="Heading1"/>
      </w:pPr>
      <w:r>
        <w:t xml:space="preserve">CONCLUSION</w:t>
      </w:r>
    </w:p>
    <w:p>
      <w:pPr>
        <w:pStyle w:val="FirstParagraph"/>
      </w:pPr>
      <w:r>
        <w:t xml:space="preserve">The motion should be denied. Nothing in the statutory text, the implementing regulation, or the decisions of this Court suggests a different result. Appellee’s argument to the contrary conflates the threshold question of coverage with the distinct question of remedy, and the two inquiries proceed under different standards.</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2026-06-08T20:39:21Z</dcterms:created>
  <dcterms:modified xsi:type="dcterms:W3CDTF">2026-06-08T20:39:21Z</dcterms:modified>
</cp:coreProperties>
</file>

<file path=docProps/custom.xml><?xml version="1.0" encoding="utf-8"?>
<Properties xmlns="http://schemas.openxmlformats.org/officeDocument/2006/custom-properties" xmlns:vt="http://schemas.openxmlformats.org/officeDocument/2006/docPropsVTypes"/>
</file>