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UNITED STATES DISTRICT COURT FOR THE WESTERN DISTRICT OF WASHINGTON</w:t>
      </w:r>
    </w:p>
    <w:p>
      <w:pPr>
        <w:pStyle w:val="BodyText"/>
      </w:pPr>
      <w:r>
        <w:t xml:space="preserve">DANIEL R. OYELARAN, Plaintiff, v. CASCADE PORTFOLIO PARTNERS, LLC, Defendant.</w:t>
      </w:r>
    </w:p>
    <w:p>
      <w:pPr>
        <w:pStyle w:val="BodyText"/>
      </w:pPr>
      <w:r>
        <w:t xml:space="preserve">Case No. 2:25-cv-01882</w:t>
      </w:r>
    </w:p>
    <w:p>
      <w:pPr>
        <w:pStyle w:val="BodyText"/>
      </w:pPr>
      <w:r>
        <w:rPr>
          <w:bCs/>
          <w:b/>
        </w:rPr>
        <w:t xml:space="preserve">PLAINTIFF</w:t>
      </w:r>
      <w:r>
        <w:rPr>
          <w:bCs/>
          <w:b/>
        </w:rPr>
        <w:t xml:space="preserve">‘</w:t>
      </w:r>
      <w:r>
        <w:rPr>
          <w:bCs/>
          <w:b/>
        </w:rPr>
        <w:t xml:space="preserve">****S OPPOSITION TO DEFENDANT****</w:t>
      </w:r>
      <w:r>
        <w:rPr>
          <w:bCs/>
          <w:b/>
        </w:rPr>
        <w:t xml:space="preserve">’</w:t>
      </w:r>
      <w:r>
        <w:rPr>
          <w:bCs/>
          <w:b/>
        </w:rPr>
        <w:t xml:space="preserve">S MOTION FOR SUMMARY JUDGMENT</w:t>
      </w:r>
    </w:p>
    <w:bookmarkStart w:id="20" w:name="table-of-authorities"/>
    <w:p>
      <w:pPr>
        <w:pStyle w:val="Heading1"/>
      </w:pPr>
      <w:r>
        <w:t xml:space="preserve">TABLE OF AUTHORITIES</w:t>
      </w:r>
    </w:p>
    <w:p>
      <w:pPr>
        <w:pStyle w:val="FirstParagraph"/>
      </w:pPr>
      <w:r>
        <w:rPr>
          <w:iCs/>
          <w:i/>
          <w:bCs/>
          <w:b/>
        </w:rPr>
        <w:t xml:space="preserve">Cases</w:t>
      </w:r>
    </w:p>
    <w:p>
      <w:pPr>
        <w:pStyle w:val="SourceCode"/>
      </w:pPr>
      <w:r>
        <w:rPr>
          <w:rStyle w:val="VerbatimChar"/>
        </w:rPr>
        <w:t xml:space="preserve">Carmody v. Westfall Transit Auth., 512 F.3d 1042 (9th Cir. 2018)    2, 3</w:t>
      </w:r>
      <w:r>
        <w:br/>
      </w:r>
      <w:r>
        <w:br/>
      </w:r>
      <w:r>
        <w:rPr>
          <w:rStyle w:val="VerbatimChar"/>
        </w:rPr>
        <w:t xml:space="preserve">Delgado v. Pinewood Credit Services, Inc., 487 U.S. 213 (1988)  4</w:t>
      </w:r>
    </w:p>
    <w:p>
      <w:pPr>
        <w:pStyle w:val="FirstParagraph"/>
      </w:pPr>
      <w:r>
        <w:rPr>
          <w:iCs/>
          <w:i/>
          <w:bCs/>
          <w:b/>
        </w:rPr>
        <w:t xml:space="preserve">Statutes</w:t>
      </w:r>
    </w:p>
    <w:p>
      <w:pPr>
        <w:pStyle w:val="SourceCode"/>
      </w:pPr>
      <w:r>
        <w:rPr>
          <w:rStyle w:val="VerbatimChar"/>
        </w:rPr>
        <w:t xml:space="preserve">15 U.S.C. § 1692e   1</w:t>
      </w:r>
    </w:p>
    <w:p>
      <w:pPr>
        <w:pStyle w:val="FirstParagraph"/>
      </w:pPr>
      <w:r>
        <w:rPr>
          <w:iCs/>
          <w:i/>
          <w:bCs/>
          <w:b/>
        </w:rPr>
        <w:t xml:space="preserve">Regulations</w:t>
      </w:r>
    </w:p>
    <w:p>
      <w:pPr>
        <w:pStyle w:val="SourceCode"/>
      </w:pPr>
      <w:r>
        <w:rPr>
          <w:rStyle w:val="VerbatimChar"/>
        </w:rPr>
        <w:t xml:space="preserve">12 C.F.R. § 1006.14 9</w:t>
      </w:r>
    </w:p>
    <w:bookmarkEnd w:id="20"/>
    <w:bookmarkStart w:id="21" w:name="introduction"/>
    <w:p>
      <w:pPr>
        <w:pStyle w:val="Heading1"/>
      </w:pPr>
      <w:r>
        <w:t xml:space="preserve">INTRODUCTION</w:t>
      </w:r>
    </w:p>
    <w:p>
      <w:pPr>
        <w:pStyle w:val="FirstParagraph"/>
      </w:pPr>
      <w:r>
        <w:t xml:space="preserve">Defendant’s motion for summary judgment should be denied. The undisputed facts establish each element of plaintiff’s claim under 15 U.S.C. § 1692e, and controlling authority forecloses each of defendant’s arguments. The legislative history, to the extent it is relevant at all, points in the same direction as the text. The district court’s contrary conclusion rests on a reading of the record that neither party advanced below and that the evidence does not support. Nothing in the statutory text, the implementing regulation, or the decisions of this Court suggests a different result. Appellee’s argument to the contrary conflates the threshold question of coverage with the distinct question of remedy, and the two inquiries proceed under different standards.</w:t>
      </w:r>
    </w:p>
    <w:bookmarkEnd w:id="21"/>
    <w:bookmarkStart w:id="22" w:name="legal-standard"/>
    <w:p>
      <w:pPr>
        <w:pStyle w:val="Heading1"/>
      </w:pPr>
      <w:r>
        <w:t xml:space="preserve">LEGAL STANDARD</w:t>
      </w:r>
    </w:p>
    <w:p>
      <w:pPr>
        <w:pStyle w:val="FirstParagraph"/>
      </w:pPr>
      <w:r>
        <w:t xml:space="preserve">Summary judgment is proper only where no genuine dispute of material fact exists. Carmody v. Westfall Transit Auth., 512 F.3d 1042 (9th Cir. 2018). All reasonable inferences are drawn for the non-movant. Carmody, 512 F.3d at 1046. That distinction is not a technicality; it reflects the allocation of burdens that Congress wrote into the statute. On de novo review, this Court owes no deference to the district court’s resolution of that legal question. The undisputed facts, viewed in the light most favorable to the non-moving party, compel the opposite conclusion. Any other rule would render the provision surplusage, a result the canons of construction instruct courts to avoid.</w:t>
      </w:r>
    </w:p>
    <w:bookmarkEnd w:id="22"/>
    <w:bookmarkStart w:id="27" w:name="argument"/>
    <w:p>
      <w:pPr>
        <w:pStyle w:val="Heading1"/>
      </w:pPr>
      <w:r>
        <w:t xml:space="preserve">ARGUMENT</w:t>
      </w:r>
    </w:p>
    <w:bookmarkStart w:id="23" w:name="X0591a88df4adf0210da816b9ac9c8b942f56d5d"/>
    <w:p>
      <w:pPr>
        <w:pStyle w:val="Heading2"/>
      </w:pPr>
      <w:r>
        <w:t xml:space="preserve">I. The Representation Was False Under the Objective Standard</w:t>
      </w:r>
    </w:p>
    <w:p>
      <w:pPr>
        <w:pStyle w:val="FirstParagraph"/>
      </w:pPr>
      <w:r>
        <w:t xml:space="preserve">The least-sophisticated-consumer standard governs. Carmody, 512 F.3d at 1047. Under that standard, the November letter misstated the legal status of the debt. The legislative history, to the extent it is relevant at all, points in the same direction as the text. The district court’s contrary conclusion rests on a reading of the record that neither party advanced below and that the evidence does not support. Nothing in the statutory text, the implementing regulation, or the decisions of this Court suggests a different result. Appellee’s argument to the contrary conflates the threshold question of coverage with the distinct question of remedy, and the two inquiries proceed under different standards. That distinction is not a technicality; it reflects the allocation of burdens that Congress wrote into the statute.</w:t>
      </w:r>
    </w:p>
    <w:p>
      <w:pPr>
        <w:pStyle w:val="BodyText"/>
      </w:pPr>
      <w:r>
        <w:t xml:space="preserve">Defendant’s contrary authority is inapposite. The decision in Delgado v. Pinewood Credit Services, Inc., 487 U.S. 213 (1988) addressed a different statutory scheme, and its reasoning supports plaintiff in any event. On de novo review, this Court owes no deference to the district court’s resolution of that legal question. The undisputed facts, viewed in the light most favorable to the non-moving party, compel the opposite conclusion. Any other rule would render the provision surplusage, a result the canons of construction instruct courts to avoid. The legislative history, to the extent it is relevant at all, points in the same direction as the text. The district court’s contrary conclusion rests on a reading of the record that neither party advanced below and that the evidence does not support.</w:t>
      </w:r>
    </w:p>
    <w:p>
      <w:pPr>
        <w:pStyle w:val="BodyText"/>
      </w:pPr>
      <w:r>
        <w:t xml:space="preserve">As the court explained in Ellison, 740 F.3d at 1133, a representation is materially misleading where it would frustrate the consumer’s ability to intelligently respond. Nothing in the statutory text, the implementing regulation, or the decisions of this Court suggests a different result. Appellee’s argument to the contrary conflates the threshold question of coverage with the distinct question of remedy, and the two inquiries proceed under different standards. That distinction is not a technicality; it reflects the allocation of burdens that Congress wrote into the statute. On de novo review, this Court owes no deference to the district court’s resolution of that legal question. The undisputed facts, viewed in the light most favorable to the non-moving party, compel the opposite conclusion.</w:t>
      </w:r>
    </w:p>
    <w:p>
      <w:pPr>
        <w:pStyle w:val="BodyText"/>
      </w:pPr>
      <w:r>
        <w:t xml:space="preserve">The same is true here. Carmody, 512 F.3d at 1049; Delgado, 487 U.S. at 218. Any other rule would render the provision surplusage, a result the canons of construction instruct courts to avoid. The legislative history, to the extent it is relevant at all, points in the same direction as the text. The district court’s contrary conclusion rests on a reading of the record that neither party advanced below and that the evidence does not support. Nothing in the statutory text, the implementing regulation, or the decisions of this Court suggests a different result. Appellee’s argument to the contrary conflates the threshold question of coverage with the distinct question of remedy, and the two inquiries proceed under different standards.</w:t>
      </w:r>
    </w:p>
    <w:bookmarkEnd w:id="23"/>
    <w:bookmarkStart w:id="24" w:name="X380a9c2fa40849ccbc6a4e7bb5ab0b6b915dbf0"/>
    <w:p>
      <w:pPr>
        <w:pStyle w:val="Heading2"/>
      </w:pPr>
      <w:r>
        <w:t xml:space="preserve">II. Defendant Cannot Establish the Bona Fide Error Defense</w:t>
      </w:r>
    </w:p>
    <w:p>
      <w:pPr>
        <w:pStyle w:val="FirstParagraph"/>
      </w:pPr>
      <w:r>
        <w:t xml:space="preserve">The defense requires procedures reasonably adapted to avoid the specific error at issue. United States v. Okafor, 891 F.3d 655 (9th Cir. 2019). Defendant identified no such procedures in discovery. That distinction is not a technicality; it reflects the allocation of burdens that Congress wrote into the statute. On de novo review, this Court owes no deference to the district court’s resolution of that legal question. The undisputed facts, viewed in the light most favorable to the non-moving party, compel the opposite conclusion. Any other rule would render the provision surplusage, a result the canons of construction instruct courts to avoid. The legislative history, to the extent it is relevant at all, points in the same direction as the text.</w:t>
      </w:r>
    </w:p>
    <w:p>
      <w:pPr>
        <w:pStyle w:val="BodyText"/>
      </w:pPr>
      <w:r>
        <w:t xml:space="preserve">Its compliance manual postdates the letter, see Okafor, 891 F.3d at 661, and its training materials do not address the misrepresented term at all. Carmody, 512 F.3d at 1051. The district court’s contrary conclusion rests on a reading of the record that neither party advanced below and that the evidence does not support. Nothing in the statutory text, the implementing regulation, or the decisions of this Court suggests a different result. Appellee’s argument to the contrary conflates the threshold question of coverage with the distinct question of remedy, and the two inquiries proceed under different standards. That distinction is not a technicality; it reflects the allocation of burdens that Congress wrote into the statute. On de novo review, this Court owes no deference to the district court’s resolution of that legal question.</w:t>
      </w:r>
    </w:p>
    <w:p>
      <w:pPr>
        <w:pStyle w:val="BodyText"/>
      </w:pPr>
      <w:r>
        <w:t xml:space="preserve">The regulation reinforces that conclusion. 12 C.F.R. § 1006.14. Delgado, 487 U.S. at 222. The undisputed facts, viewed in the light most favorable to the non-moving party, compel the opposite conclusion. Any other rule would render the provision surplusage, a result the canons of construction instruct courts to avoid. The legislative history, to the extent it is relevant at all, points in the same direction as the text. The district court’s contrary conclusion rests on a reading of the record that neither party advanced below and that the evidence does not support. Nothing in the statutory text, the implementing regulation, or the decisions of this Court suggests a different result.</w:t>
      </w:r>
    </w:p>
    <w:bookmarkEnd w:id="24"/>
    <w:bookmarkStart w:id="25" w:name="iii.-damages-present-a-jury-question"/>
    <w:p>
      <w:pPr>
        <w:pStyle w:val="Heading2"/>
      </w:pPr>
      <w:r>
        <w:t xml:space="preserve">III. Damages Present a Jury Question</w:t>
      </w:r>
    </w:p>
    <w:p>
      <w:pPr>
        <w:pStyle w:val="FirstParagraph"/>
      </w:pPr>
      <w:r>
        <w:t xml:space="preserve">Statutory damages are available without proof of actual harm, and the record in any event contains evidence of concrete injury. Carmody, 512 F.3d at 1053; Ellison, 740 F.3d at 1136. Appellee’s argument to the contrary conflates the threshold question of coverage with the distinct question of remedy, and the two inquiries proceed under different standards. That distinction is not a technicality; it reflects the allocation of burdens that Congress wrote into the statute. On de novo review, this Court owes no deference to the district court’s resolution of that legal question. The undisputed facts, viewed in the light most favorable to the non-moving party, compel the opposite conclusion. Any other rule would render the provision surplusage, a result the canons of construction instruct courts to avoid.</w:t>
      </w:r>
    </w:p>
    <w:p>
      <w:pPr>
        <w:pStyle w:val="BodyText"/>
      </w:pPr>
      <w:r>
        <w:t xml:space="preserve">Defendant’s proportionality argument was rejected in Delgado, 487 U.S. at 224, and nothing in the intervening case law revives it. Okafor, 891 F.3d at 664. The legislative history, to the extent it is relevant at all, points in the same direction as the text. The district court’s contrary conclusion rests on a reading of the record that neither party advanced below and that the evidence does not support. Nothing in the statutory text, the implementing regulation, or the decisions of this Court suggests a different result. Appellee’s argument to the contrary conflates the threshold question of coverage with the distinct question of remedy, and the two inquiries proceed under different standards. That distinction is not a technicality; it reflects the allocation of burdens that Congress wrote into the statute.</w:t>
      </w:r>
    </w:p>
    <w:p>
      <w:pPr>
        <w:pStyle w:val="BodyText"/>
      </w:pPr>
      <w:r>
        <w:t xml:space="preserve">Nor can defendant manufacture a factual dispute by recharacterizing its own exhibits. The summary-judgment standard does not permit it. Carmody, 512 F.3d at 1046. On de novo review, this Court owes no deference to the district court’s resolution of that legal question. The undisputed facts, viewed in the light most favorable to the non-moving party, compel the opposite conclusion. Any other rule would render the provision surplusage, a result the canons of construction instruct courts to avoid. The legislative history, to the extent it is relevant at all, points in the same direction as the text. The district court’s contrary conclusion rests on a reading of the record that neither party advanced below and that the evidence does not support. Nothing in the statutory text, the implementing regulation, or the decisions of this Court suggests a different result.</w:t>
      </w:r>
    </w:p>
    <w:bookmarkEnd w:id="25"/>
    <w:bookmarkStart w:id="26" w:name="X65c3a6a1edb9bcdc531a9d8a4aba4714cd3af33"/>
    <w:p>
      <w:pPr>
        <w:pStyle w:val="Heading2"/>
      </w:pPr>
      <w:r>
        <w:t xml:space="preserve">IV. Defendant’s Remaining Arguments Are Forfeited or Meritless</w:t>
      </w:r>
    </w:p>
    <w:p>
      <w:pPr>
        <w:pStyle w:val="FirstParagraph"/>
      </w:pPr>
      <w:r>
        <w:t xml:space="preserve">Defendant’s standing argument appears for the first time in its reply and is forfeited. It also fails on the merits, because the injury alleged is precisely the informational harm the statute protects against. Delgado, 487 U.S. at 226. Appellee’s argument to the contrary conflates the threshold question of coverage with the distinct question of remedy, and the two inquiries proceed under different standards. That distinction is not a technicality; it reflects the allocation of burdens that Congress wrote into the statute. On de novo review, this Court owes no deference to the district court’s resolution of that legal question. The undisputed facts, viewed in the light most favorable to the non-moving party, compel the opposite conclusion. Any other rule would render the provision surplusage, a result the canons of construction instruct courts to avoid. The legislative history, to the extent it is relevant at all, points in the same direction as the text.</w:t>
      </w:r>
    </w:p>
    <w:p>
      <w:pPr>
        <w:pStyle w:val="BodyText"/>
      </w:pPr>
      <w:r>
        <w:t xml:space="preserve">Its preemption argument fares no better. The state claim parallels the federal standard and imposes no additional obligation. Carmody, 512 F.3d at 1055. The district court’s contrary conclusion rests on a reading of the record that neither party advanced below and that the evidence does not support. Nothing in the statutory text, the implementing regulation, or the decisions of this Court suggests a different result. Appellee’s argument to the contrary conflates the threshold question of coverage with the distinct question of remedy, and the two inquiries proceed under different standards. That distinction is not a technicality; it reflects the allocation of burdens that Congress wrote into the statute. On de novo review, this Court owes no deference to the district court’s resolution of that legal question. The undisputed facts, viewed in the light most favorable to the non-moving party, compel the opposite conclusion.</w:t>
      </w:r>
    </w:p>
    <w:p>
      <w:pPr>
        <w:pStyle w:val="BodyText"/>
      </w:pPr>
      <w:r>
        <w:t xml:space="preserve">Finally, defendant’s request to strike plaintiff’s expert declaration is procedurally improper and substantively wrong; the declaration addresses industry collection practices squarely at issue. Delgado, 487 U.S. at 227. Any other rule would render the provision surplusage, a result the canons of construction instruct courts to avoid. The legislative history, to the extent it is relevant at all, points in the same direction as the text. The district court’s contrary conclusion rests on a reading of the record that neither party advanced below and that the evidence does not support. Nothing in the statutory text, the implementing regulation, or the decisions of this Court suggests a different result. Appellee’s argument to the contrary conflates the threshold question of coverage with the distinct question of remedy, and the two inquiries proceed under different standards. That distinction is not a technicality; it reflects the allocation of burdens that Congress wrote into the statute.</w:t>
      </w:r>
    </w:p>
    <w:bookmarkEnd w:id="26"/>
    <w:bookmarkEnd w:id="27"/>
    <w:bookmarkStart w:id="28" w:name="conclusion"/>
    <w:p>
      <w:pPr>
        <w:pStyle w:val="Heading2"/>
      </w:pPr>
      <w:r>
        <w:t>V. Defendant's Sufficiency Argument Fails</w:t>
      </w:r>
    </w:p>
    <w:p>
      <w:pPr>
        <w:pStyle w:val="BodyText"/>
      </w:pPr>
      <w:r>
        <w:t>Defendant's final contention regarding the sufficiency of plaintiff's evidence collapses under settled law. This Court has squarely held that a plaintiff need not produce direct proof of subjective intent to survive summary judgment. Carmody, 512 F.3d at 1046.</w:t>
      </w:r>
    </w:p>
    <w:p>
      <w:pPr>
        <w:pStyle w:val="BodyText"/>
      </w:pPr>
      <w:r>
        <w:t>The objective inquiry that Carmody prescribes does not turn on the defendant's self-serving characterization of its own conduct. Carmody, 512 F.3d at 1047. A reasonable factfinder could readily conclude that the communication at issue was misleading under that standard.</w:t>
      </w:r>
    </w:p>
    <w:p>
      <w:pPr>
        <w:pStyle w:val="BodyText"/>
      </w:pPr>
      <w:r>
        <w:t>Nothing in defendant's submission distinguishes this record from the one the court confronted in Carmody, 512 F.3d at 1048, where comparable boilerplate was held insufficient as a matter of law. The same result follows here.</w:t>
      </w:r>
    </w:p>
    <w:p>
      <w:pPr>
        <w:pStyle w:val="BodyText"/>
      </w:pPr>
      <w:r>
        <w:t>Defendant's remaining authorities predate Carmody and cannot be reconciled with its holding. Carmody, 512 F.3d at 1050. To the extent any tension exists, the controlling circuit precedent governs and forecloses defendant's position.</w:t>
      </w:r>
    </w:p>
    <w:p>
      <w:pPr>
        <w:pStyle w:val="BodyText"/>
      </w:pPr>
      <w:r>
        <w:t>Even assuming defendant could identify some residual factual dispute, that dispute would be immaterial under the governing legal framework. Carmody, 512 F.3d at 1051. Summary judgment for the defendant is therefore unwarranted on this record.</w:t>
      </w:r>
    </w:p>
    <w:p>
      <w:pPr>
        <w:pStyle w:val="BodyText"/>
      </w:pPr>
      <w:r>
        <w:t>In short, every strand of defendant's sufficiency argument has already been considered and rejected by this Court. Carmody, 512 F.3d at 1052. The motion fails for this independent reason as well.</w:t>
      </w:r>
    </w:p>
    <w:p>
      <w:pPr>
        <w:pStyle w:val="Heading1"/>
      </w:pPr>
      <w:r>
        <w:t xml:space="preserve">CONCLUSION</w:t>
      </w:r>
    </w:p>
    <w:p>
      <w:pPr>
        <w:pStyle w:val="FirstParagraph"/>
      </w:pPr>
      <w:r>
        <w:t xml:space="preserve">For the foregoing reasons, defendant’s motion should be denied in its entirety. Carmody, 512 F.3d at 1054. On de novo review, this Court owes no deference to the district court’s resolution of that legal question. The undisputed facts, viewed in the light most favorable to the non-moving party, compel the opposite conclusion.</w:t>
      </w:r>
    </w:p>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2026-06-08T20:39:21Z</dcterms:created>
  <dcterms:modified xsi:type="dcterms:W3CDTF">2026-06-08T20:39:21Z</dcterms:modified>
</cp:coreProperties>
</file>

<file path=docProps/custom.xml><?xml version="1.0" encoding="utf-8"?>
<Properties xmlns="http://schemas.openxmlformats.org/officeDocument/2006/custom-properties" xmlns:vt="http://schemas.openxmlformats.org/officeDocument/2006/docPropsVTypes"/>
</file>