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1"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Justification-Suppression Model</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prejudice </w:t>
      </w:r>
      <w:r>
        <w:rPr>
          <w:b w:val="false"/>
          <w:bCs w:val="false"/>
          <w:i w:val="false"/>
          <w:iCs w:val="false"/>
          <w:sz w:val="24"/>
          <w:szCs w:val="24"/>
        </w:rPr>
        <w:t>as a negative evaluation of a social group or of an individual primarily based on their presumed group membership (Crandall &amp; Eshleman, 2003). There is a tension regarding prejudice in contemporary American society. People feel and want to express prejudices, but it is socially unacceptable to do so, a norm many people have internalized; thus, expressing prejudice can lead to reprimand from others or an internal feeling of guilt. Crandall and Eshleman (2003) model this tension with their justification-suppression model of prejudice (JSM), synthesizing the theoretical commonalities shared by modern theories of prejudice. The JSM contains four elements: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holds toward a social group or member of a social group. This is considered to be currently unmeasurable, as any self-report will be contaminated by only being able to access conscious feelings and various biases (e.g., social desirability). Implicit and physiological measures are promising techniques for tapping into genuine prejudice, but there are still unresolved questions about what exactly these measures are capturing, given that they tend to weakly correlate with one another (e.g., Fazio &amp; Olson, 2003) and do not demonstrate higher predictive validity than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refers to any social or psychological process that keeps people from expressing their prejudices. The primary example are the norms that proscribe the expression of prejudice. Prescriptive norms against expressing prejudice exist and have been formalized in American institutions, such as companies, schools, and the government. These examples are </w:t>
      </w:r>
      <w:r>
        <w:rPr>
          <w:b w:val="false"/>
          <w:bCs w:val="false"/>
          <w:i/>
          <w:iCs/>
          <w:sz w:val="24"/>
          <w:szCs w:val="24"/>
        </w:rPr>
        <w:t xml:space="preserve">external </w:t>
      </w:r>
      <w:r>
        <w:rPr>
          <w:b w:val="false"/>
          <w:bCs w:val="false"/>
          <w:i w:val="false"/>
          <w:iCs w:val="false"/>
          <w:sz w:val="24"/>
          <w:szCs w:val="24"/>
        </w:rPr>
        <w:t xml:space="preserve">suppressive factors; however, people can also internalize these norms or be motivated by their values to suppress their prejudices—an </w:t>
      </w:r>
      <w:r>
        <w:rPr>
          <w:b w:val="false"/>
          <w:bCs w:val="false"/>
          <w:i/>
          <w:iCs/>
          <w:sz w:val="24"/>
          <w:szCs w:val="24"/>
        </w:rPr>
        <w:t xml:space="preserve">internal </w:t>
      </w:r>
      <w:r>
        <w:rPr>
          <w:b w:val="false"/>
          <w:bCs w:val="false"/>
          <w:i w:val="false"/>
          <w:iCs w:val="false"/>
          <w:sz w:val="24"/>
          <w:szCs w:val="24"/>
        </w:rPr>
        <w:t>motivation (Plant &amp; Devine, 1998).</w:t>
      </w:r>
    </w:p>
    <w:p>
      <w:pPr>
        <w:pStyle w:val="TextBody"/>
        <w:bidi w:val="0"/>
        <w:spacing w:lineRule="auto" w:line="240" w:before="0" w:after="0"/>
        <w:contextualSpacing/>
        <w:jc w:val="left"/>
        <w:rPr>
          <w:b/>
          <w:b/>
          <w:bCs/>
        </w:rPr>
      </w:pPr>
      <w:r>
        <w:rPr>
          <w:b w:val="false"/>
          <w:bCs w:val="false"/>
          <w:i w:val="false"/>
          <w:iCs w:val="false"/>
          <w:sz w:val="24"/>
          <w:szCs w:val="24"/>
        </w:rPr>
        <w:tab/>
        <w:t xml:space="preserve">People feel prejudices, but they are suppressed from expression by a number of social and psychological forces. However, people are nonetheless motivated to express these feelings. People thus search out </w:t>
      </w:r>
      <w:r>
        <w:rPr>
          <w:b w:val="false"/>
          <w:bCs w:val="false"/>
          <w:i/>
          <w:iCs/>
          <w:sz w:val="24"/>
          <w:szCs w:val="24"/>
        </w:rPr>
        <w:t xml:space="preserve">justifications </w:t>
      </w:r>
      <w:r>
        <w:rPr>
          <w:b w:val="false"/>
          <w:bCs w:val="false"/>
          <w:i w:val="false"/>
          <w:iCs w:val="false"/>
          <w:sz w:val="24"/>
          <w:szCs w:val="24"/>
        </w:rPr>
        <w:t xml:space="preserve">for their prejudice. Justifications refer to any social or psychological process that allows one to feel as if they can express prejudice without suffering negative internal (e.g., guilt) or external (e.g., ostracism) consequences. These justifications free people up the </w:t>
      </w:r>
      <w:r>
        <w:rPr>
          <w:b w:val="false"/>
          <w:bCs w:val="false"/>
          <w:i/>
          <w:iCs/>
          <w:sz w:val="24"/>
          <w:szCs w:val="24"/>
        </w:rPr>
        <w:t xml:space="preserve">expression </w:t>
      </w:r>
      <w:r>
        <w:rPr>
          <w:b w:val="false"/>
          <w:bCs w:val="false"/>
          <w:i w:val="false"/>
          <w:iCs w:val="false"/>
          <w:sz w:val="24"/>
          <w:szCs w:val="24"/>
        </w:rPr>
        <w:t>of prejudice.</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p>
    <w:p>
      <w:pPr>
        <w:pStyle w:val="TextBody"/>
        <w:bidi w:val="0"/>
        <w:spacing w:lineRule="auto" w:line="240" w:before="0" w:after="0"/>
        <w:contextualSpacing/>
        <w:jc w:val="left"/>
        <w:rPr>
          <w:b/>
          <w:b/>
          <w:bCs/>
        </w:rPr>
      </w:pPr>
      <w:r>
        <w:rPr>
          <w:b/>
          <w:bCs/>
          <w:i w:val="false"/>
          <w:iCs w:val="false"/>
          <w:sz w:val="24"/>
          <w:szCs w:val="24"/>
        </w:rPr>
        <w:t>Norms and Attribution</w:t>
      </w:r>
    </w:p>
    <w:p>
      <w:pPr>
        <w:pStyle w:val="TextBody"/>
        <w:bidi w:val="0"/>
        <w:spacing w:lineRule="auto" w:line="240" w:before="0" w:after="0"/>
        <w:contextualSpacing/>
        <w:jc w:val="left"/>
        <w:rPr>
          <w:b/>
          <w:b/>
          <w:bCs/>
        </w:rPr>
      </w:pPr>
      <w:r>
        <w:rPr>
          <w:b/>
          <w:bCs/>
          <w:i w:val="false"/>
          <w:iCs w:val="false"/>
          <w:sz w:val="24"/>
          <w:szCs w:val="24"/>
        </w:rPr>
        <w:t>Social Projection</w:t>
      </w:r>
    </w:p>
    <w:p>
      <w:pPr>
        <w:pStyle w:val="TextBody"/>
        <w:bidi w:val="0"/>
        <w:spacing w:lineRule="auto" w:line="240" w:before="0" w:after="0"/>
        <w:contextualSpacing/>
        <w:jc w:val="left"/>
        <w:rPr>
          <w:b/>
          <w:b/>
          <w:bCs/>
        </w:rPr>
      </w:pPr>
      <w:r>
        <w:rPr>
          <w:b/>
          <w:bCs/>
          <w:i w:val="false"/>
          <w:iCs w:val="false"/>
          <w:sz w:val="24"/>
          <w:szCs w:val="24"/>
        </w:rPr>
        <w:t>Balance</w:t>
      </w:r>
    </w:p>
    <w:p>
      <w:pPr>
        <w:pStyle w:val="TextBody"/>
        <w:bidi w:val="0"/>
        <w:spacing w:lineRule="auto" w:line="240" w:before="0" w:after="0"/>
        <w:contextualSpacing/>
        <w:jc w:val="left"/>
        <w:rPr>
          <w:b/>
          <w:b/>
          <w:bCs/>
        </w:rPr>
      </w:pPr>
      <w:r>
        <w:rPr>
          <w:b/>
          <w:bCs/>
          <w:i w:val="false"/>
          <w:iCs w:val="false"/>
          <w:sz w:val="24"/>
          <w:szCs w:val="24"/>
        </w:rPr>
        <w:t>Motivated Reasoning</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2" w:name="__DdeLink__506_3960537964"/>
      <w:r>
        <w:rPr>
          <w:b w:val="false"/>
          <w:bCs w:val="false"/>
          <w:i w:val="false"/>
          <w:iCs w:val="false"/>
          <w:sz w:val="24"/>
          <w:szCs w:val="24"/>
        </w:rPr>
        <w:t xml:space="preserve">Note that Welch’s </w:t>
      </w:r>
      <w:r>
        <w:rPr>
          <w:b w:val="false"/>
          <w:bCs w:val="false"/>
          <w:i/>
          <w:iCs/>
          <w:sz w:val="24"/>
          <w:szCs w:val="24"/>
        </w:rPr>
        <w:t>t</w:t>
      </w:r>
      <w:bookmarkEnd w:id="2"/>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3"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3"/>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3383</TotalTime>
  <Application>LibreOffice/5.4.3.2$MacOSX_X86_64 LibreOffice_project/92a7159f7e4af62137622921e809f8546db437e5</Application>
  <Pages>12</Pages>
  <Words>6708</Words>
  <Characters>36638</Characters>
  <CharactersWithSpaces>43286</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2018-01-13T22:51:26Z</dcterms:modified>
  <cp:revision>1712</cp:revision>
  <dc:subject/>
  <dc:title/>
</cp:coreProperties>
</file>