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“true to oneself”—being “authentic”—for thousands of years, but the study of authenticity was first embraced in psychology by the early humanistic clinical psychologists, such as Rogers, Maslow, and Jourard (Kernis &amp; Goldman, 2004). In this tradition, authenticity was vaguely defined as living in accordance with one’s true, core, inner self. These psychologists saw the inner core of people as being fundamentally good—or at least, in Maslow’s case, </w:t>
      </w:r>
      <w:r>
        <w:rPr>
          <w:b w:val="false"/>
          <w:bCs w:val="false"/>
          <w:i/>
          <w:iCs/>
          <w:sz w:val="24"/>
          <w:szCs w:val="24"/>
        </w:rPr>
        <w:t xml:space="preserve">not </w:t>
      </w:r>
      <w:r>
        <w:rPr>
          <w:b w:val="false"/>
          <w:bCs w:val="false"/>
          <w:i w:val="false"/>
          <w:iCs w:val="false"/>
          <w:sz w:val="24"/>
          <w:szCs w:val="24"/>
        </w:rPr>
        <w:t xml:space="preserve">fundamentally evil—and thus the job of a psychotherapist is to nurture this inner self in therapy. Being true to oneself was presumed to be an instinct, so they saw therapists’ task as </w:t>
      </w:r>
      <w:r>
        <w:rPr>
          <w:b w:val="false"/>
          <w:bCs w:val="false"/>
          <w:i/>
          <w:iCs/>
          <w:sz w:val="24"/>
          <w:szCs w:val="24"/>
        </w:rPr>
        <w:t xml:space="preserve">allowing </w:t>
      </w:r>
      <w:r>
        <w:rPr>
          <w:b w:val="false"/>
          <w:bCs w:val="false"/>
          <w:i w:val="false"/>
          <w:iCs w:val="false"/>
          <w:sz w:val="24"/>
          <w:szCs w:val="24"/>
        </w:rPr>
        <w:t>people to flourish and develop into their true selves. Although not necessarily explicitly called “authenticity,” many early ideas in the humanist tradition were treated synonymously with “authenticity.”</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 xml:space="preserve">Congruence </w:t>
      </w:r>
      <w:r>
        <w:rPr>
          <w:b w:val="false"/>
          <w:bCs w:val="false"/>
          <w:i w:val="false"/>
          <w:iCs w:val="false"/>
          <w:sz w:val="24"/>
          <w:szCs w:val="24"/>
        </w:rPr>
        <w:t>was a fundamental concept to the way Carl Rogers saw psychotherapy. The idea was to align how a client sees themselves in line with who they want to be—their ideal self. Rogers (1961) argues that the Kierkegaard quote, “to be that self which one really is,” was the goal he set for his clients. Although he did not explicitly call this authenticity, it is easy to see how this could be synonymous with the term. He places centrality on closely-related concepts like being genuine, true, real, and not putting up facades to the outside world.</w:t>
      </w:r>
    </w:p>
    <w:p>
      <w:pPr>
        <w:pStyle w:val="TextBody"/>
        <w:bidi w:val="0"/>
        <w:spacing w:lineRule="auto" w:line="240" w:before="0" w:after="0"/>
        <w:contextualSpacing/>
        <w:jc w:val="left"/>
        <w:rPr/>
      </w:pPr>
      <w:r>
        <w:rPr>
          <w:b w:val="false"/>
          <w:bCs w:val="false"/>
          <w:i w:val="false"/>
          <w:iCs w:val="false"/>
          <w:sz w:val="24"/>
          <w:szCs w:val="24"/>
        </w:rPr>
        <w:tab/>
        <w:t xml:space="preserve">Abraham Maslow (1968) defined his own central concept as </w:t>
      </w:r>
      <w:r>
        <w:rPr>
          <w:b w:val="false"/>
          <w:bCs w:val="false"/>
          <w:i/>
          <w:iCs/>
          <w:sz w:val="24"/>
          <w:szCs w:val="24"/>
        </w:rPr>
        <w:t>self-actualizing</w:t>
      </w:r>
      <w:r>
        <w:rPr>
          <w:b w:val="false"/>
          <w:bCs w:val="false"/>
          <w:i w:val="false"/>
          <w:iCs w:val="false"/>
          <w:sz w:val="24"/>
          <w:szCs w:val="24"/>
        </w:rPr>
        <w:t>, which he defined as an “acceptance and expression of the inner core or self” (p. 197). He explicitly used the term “authentic” in saying that one who is authentic is one that resists influences to be someone that deviates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saw authenticity as something fundamentally social. He argued that we learn at a young age, through punishments and rules, that we should suppress our true feelings. If done chronically, this leads to isolation.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positive psychological functioning. He also explicitly used the term “authentic” in saying that an “authentic” person is one who is “being oneself, honestly, in one’s relations with his [sic] fellows” (Jourard, 1964; p. 153). Much of his work reiterates that one of the main goals of a therapist is to help the patient live an authentic life, to let people see us how we see ourselves, to not be suppressed by external pressures.</w:t>
      </w:r>
    </w:p>
    <w:p>
      <w:pPr>
        <w:pStyle w:val="TextBody"/>
        <w:bidi w:val="0"/>
        <w:spacing w:lineRule="auto" w:line="240" w:before="0" w:after="0"/>
        <w:contextualSpacing/>
        <w:jc w:val="left"/>
        <w:rPr/>
      </w:pPr>
      <w:r>
        <w:rPr>
          <w:b w:val="false"/>
          <w:bCs w:val="false"/>
          <w:i w:val="false"/>
          <w:iCs w:val="false"/>
          <w:sz w:val="24"/>
          <w:szCs w:val="24"/>
        </w:rPr>
        <w:tab/>
        <w:t>These humanistic ideas about authenticity were not subjected to many empirical tests, however, partly due to the elusiveness of measuring what the “true self” is that one was meant to be authentic to: “it is unclear what the self is being true to, when it is being true to itself” (Sheldon, 2009, p. 75). Positive psychologists (Sheldon &amp; King, 2001) undertook many empirical tests of “authenticity,” by doing away with the idea that there is an objective, inner self, given that the self is a social construct that may change between contexts and roles. Sheldon, Ryan, Rawsthorne, &amp; Ilardi (1997) defined authentic behavior as that which is “phenomenally experienced as being authentic by the self… or internally caused,” and that to act authentically is to act “with a full sense of choice and expression” (p. 1381). This is remarkably similar to the psychological need of autonomy</w:t>
      </w:r>
      <w:r>
        <w:rPr>
          <w:b w:val="false"/>
          <w:bCs w:val="false"/>
          <w:i/>
          <w:iCs/>
          <w:sz w:val="24"/>
          <w:szCs w:val="24"/>
        </w:rPr>
        <w:t xml:space="preserve"> </w:t>
      </w:r>
      <w:r>
        <w:rPr>
          <w:b w:val="false"/>
          <w:bCs w:val="false"/>
          <w:i w:val="false"/>
          <w:iCs w:val="false"/>
          <w:sz w:val="24"/>
          <w:szCs w:val="24"/>
        </w:rPr>
        <w:t>in the context of self-determination theory, where autonomy “connotes an inner endorsement of one’s actions” where “people experience themselves as initiators of their own behavior” (Deci &amp; Ryan, 1987, p. 1025). Unsurprisingly, then, research under the umbrella of self-determination theory has found consistent positive consequences for behaving authentically,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Many definitions abound for the nebulous concept of “authenticity” (Kernis &amp; Goldman; Sheldon, 2009); many researchers note that it is often ill-defined or left undefined in research (e.g., Beverland, 2005; Kadirov, 2015; Molleda &amp; Jain, 2013). What do people </w:t>
      </w:r>
      <w:r>
        <w:rPr>
          <w:b w:val="false"/>
          <w:bCs w:val="false"/>
          <w:i/>
          <w:iCs/>
          <w:sz w:val="24"/>
          <w:szCs w:val="24"/>
        </w:rPr>
        <w:t xml:space="preserve">think </w:t>
      </w:r>
      <w:r>
        <w:rPr>
          <w:b w:val="false"/>
          <w:bCs w:val="false"/>
          <w:i w:val="false"/>
          <w:iCs w:val="false"/>
          <w:sz w:val="24"/>
          <w:szCs w:val="24"/>
        </w:rPr>
        <w:t>“authenticity” means? How do they determine what is “authentic”? How do perceptions of “authenticity” affect behavior? Evidence answering each of these questions come from a wide range of areas,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What is perceived as authentic depends on the person and the context—perceptions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the meanings they had for authenticity and presented these participants with about 100 images depicting various brands, cultural icons, tourist sites, etc., to facilitate discussion about what they perceived to be authentic. Among other reasons, interviewees attributed authenticity to products because the what they were advertised to do (shampoo) or gave people greater ability to develop knowledge (Apple computers), while they said products were inauthentic because the products were expensive and made with exploitative labor (Nike) or because they were unhealthy products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be “authentic” in that they are actual 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fictionalized character from history. Grayson and Martinec (2004) interviewed people visiting Shakespeare’s birthplace as well as the Sherlock Holmes museum, finding that people used different definitions of authenticity at each place in their judgments of calling these attractions “authentic.” The authors refer to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“original”—that is, not a copy or replica, while </w:t>
      </w:r>
      <w:r>
        <w:rPr>
          <w:b w:val="false"/>
          <w:bCs w:val="false"/>
          <w:i/>
          <w:iCs/>
          <w:sz w:val="24"/>
          <w:szCs w:val="24"/>
        </w:rPr>
        <w:t xml:space="preserve">iconic authenticity </w:t>
      </w:r>
      <w:r>
        <w:rPr>
          <w:b w:val="false"/>
          <w:bCs w:val="false"/>
          <w:i w:val="false"/>
          <w:iCs w:val="false"/>
          <w:sz w:val="24"/>
          <w:szCs w:val="24"/>
        </w:rPr>
        <w:t>refers to something that accurately represents and is true to the original, without actually being the original. An indexically authentic basketball jersey is the one the player wore in a game; an iconically authentic jersey is one that is made exactly like the player’s, but was never worn by them.</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(p. 300), these are “things that Sherlock Holes might have used to solve the crimes” (p. 300), and that one could see “[Holmes’s] living quarters, and where he say, did his writings and thinking” (p. 301). Patrons also noted the authenticity of the Holmes museum because it looked like things did at that historical time; it appears as though people’s perceptions of authenticity in this case are tangled up with feelings of nostalgia for a (fictionalized) past (Baldwin, White, &amp; Sullivan, 2018).</w:t>
      </w:r>
    </w:p>
    <w:p>
      <w:pPr>
        <w:pStyle w:val="TextBody"/>
        <w:bidi w:val="0"/>
        <w:spacing w:lineRule="auto" w:line="240" w:before="0" w:after="0"/>
        <w:contextualSpacing/>
        <w:jc w:val="left"/>
        <w:rPr/>
      </w:pPr>
      <w:r>
        <w:rPr>
          <w:b w:val="false"/>
          <w:bCs w:val="false"/>
          <w:i w:val="false"/>
          <w:iCs w:val="false"/>
          <w:sz w:val="24"/>
          <w:szCs w:val="24"/>
        </w:rPr>
        <w:tab/>
        <w:t>Considering the perceived authenticity of restaurants, Kovacs, Carroll, and Lehman (2014) asked participants to choose or nominate words that would describe a restaurant as “authentic.” In addition to the synonyms commonly found across authenticity research, such as genuine and real, participants also said that authentic restaurants would also be skilled, traditional, historical, expert, professional, and iconic. Some of these words contradict what people perceive to be authentic in political candidates, as amateurism and non-professionalism can bring a feeling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studied the correlates, causes, and consequences of perceived authenticity, in a literature that is not tied together by an overarching theoretical framework connecting the studies.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CEO at a company)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as well.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 of a review they left the establishment. Family-owned restaurants were perceived as authentic, while chain restaurants and restaurants categorized in multiple ways (e.g., Italian, Chinese, burgers, sandwiches, pizza) were seen as inauthentic. Kovacs and colleagues replicate these findings in a vignette experiment. The more consumers found their stay at an Airbnb to be more authentic (i.e., representative of local way of life, conducive to interacting with the local community), the more they thought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very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Two studies on perceived authenticity are more directly related to the current research question. Hahl, Kim &amp; Sivan (2017) wondered why people could find a “lying demagogue” to be such an authentic political candidate. They found that participants who read about a candidate telling obvious lies and making misogynist remarks were found to be more authentic when the participant felt like they were from an aggrieved social group and that the political system did not represent their interests. Hahl and colleagues argued that this was due to lying and misogyny flouting the established norms of a political system the participants found illegitimate.</w:t>
      </w:r>
    </w:p>
    <w:p>
      <w:pPr>
        <w:pStyle w:val="TextBody"/>
        <w:bidi w:val="0"/>
        <w:spacing w:lineRule="auto" w:line="240" w:before="0" w:after="0"/>
        <w:contextualSpacing/>
        <w:jc w:val="left"/>
        <w:rPr/>
      </w:pPr>
      <w:r>
        <w:rPr>
          <w:b w:val="false"/>
          <w:bCs w:val="false"/>
          <w:i w:val="false"/>
          <w:iCs w:val="false"/>
          <w:sz w:val="24"/>
          <w:szCs w:val="24"/>
        </w:rPr>
        <w:tab/>
        <w:t>Pillow, Crabtree, Galvin, and Hale (2017) also investigated why people found politicians to be authentic. They argued that people were motivated to see candidates they liked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than when they did not. Pillow and colleagues argue that this supports a motivated reasoning (Kunda, 1990) account, as they interpret the interaction to be due to people who like the candidate weighting perceived candor more when judging the authenticity of a candidate. They also show that perceiving the candidate as unfiltered and not “politically correct” led to people thinking the candidate was rejecting external influences on their behavior, which in turn led to them perceiving the candidate as authentic. They argue that this supports a correspondent inference (Jones &amp; Davis, 1965) account, as people assume others are acting on their own volition when when acting against prescriptive and descriptive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 xml:space="preserve">Study </w:t>
      </w:r>
      <w:r>
        <w:rPr>
          <w:b/>
          <w:bCs/>
          <w:i w:val="false"/>
          <w:iCs w:val="false"/>
          <w:sz w:val="24"/>
          <w:szCs w:val="24"/>
        </w:rPr>
        <w:t>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 xml:space="preserve">The same four questions used in Studies 1 – </w:t>
      </w:r>
      <w:r>
        <w:rPr>
          <w:b w:val="false"/>
          <w:bCs w:val="false"/>
          <w:i w:val="false"/>
          <w:iCs w:val="false"/>
          <w:sz w:val="24"/>
          <w:szCs w:val="24"/>
        </w:rPr>
        <w:t xml:space="preserve">4 </w:t>
      </w:r>
      <w:r>
        <w:rPr>
          <w:b w:val="false"/>
          <w:bCs w:val="false"/>
          <w:i w:val="false"/>
          <w:iCs w:val="false"/>
          <w:sz w:val="24"/>
          <w:szCs w:val="24"/>
        </w:rPr>
        <w:t>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 xml:space="preserve">Study </w:t>
      </w:r>
      <w:r>
        <w:rPr>
          <w:b/>
          <w:bCs/>
          <w:i w:val="false"/>
          <w:iCs w:val="false"/>
          <w:sz w:val="24"/>
          <w:szCs w:val="24"/>
        </w:rPr>
        <w:t>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 xml:space="preserve">The procedure was identical to Study </w:t>
      </w:r>
      <w:r>
        <w:rPr>
          <w:b w:val="false"/>
          <w:bCs w:val="false"/>
          <w:i w:val="false"/>
          <w:iCs w:val="false"/>
          <w:sz w:val="24"/>
          <w:szCs w:val="24"/>
        </w:rPr>
        <w:t>5</w:t>
      </w:r>
      <w:r>
        <w:rPr>
          <w:b w:val="false"/>
          <w:bCs w:val="false"/>
          <w:i w:val="false"/>
          <w:iCs w:val="false"/>
          <w:sz w:val="24"/>
          <w:szCs w:val="24"/>
        </w:rPr>
        <w:t xml:space="preserve">, and demographics and prejudice were measured the same as in Study </w:t>
      </w:r>
      <w:r>
        <w:rPr>
          <w:b w:val="false"/>
          <w:bCs w:val="false"/>
          <w:i w:val="false"/>
          <w:iCs w:val="false"/>
          <w:sz w:val="24"/>
          <w:szCs w:val="24"/>
        </w:rPr>
        <w:t>5</w:t>
      </w:r>
      <w:r>
        <w:rPr>
          <w:b w:val="false"/>
          <w:bCs w:val="false"/>
          <w:i w:val="false"/>
          <w:iCs w:val="false"/>
          <w:sz w:val="24"/>
          <w:szCs w:val="24"/>
        </w:rPr>
        <w:t>.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 xml:space="preserve">Study </w:t>
      </w:r>
      <w:r>
        <w:rPr>
          <w:b/>
          <w:bCs/>
          <w:i w:val="false"/>
          <w:iCs w:val="false"/>
          <w:sz w:val="24"/>
          <w:szCs w:val="24"/>
        </w:rPr>
        <w:t>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 xml:space="preserve">Study </w:t>
      </w:r>
      <w:r>
        <w:rPr>
          <w:b/>
          <w:bCs/>
          <w:i w:val="false"/>
          <w:iCs w:val="false"/>
          <w:sz w:val="24"/>
          <w:szCs w:val="24"/>
        </w:rPr>
        <w:t>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 xml:space="preserve">I reminded participants about their goal before measuring perceived authenticity using the same items as in Studies 1 – </w:t>
      </w:r>
      <w:r>
        <w:rPr>
          <w:b w:val="false"/>
          <w:bCs w:val="false"/>
          <w:i w:val="false"/>
          <w:iCs w:val="false"/>
          <w:sz w:val="24"/>
          <w:szCs w:val="24"/>
        </w:rPr>
        <w:t>5</w:t>
      </w:r>
      <w:r>
        <w:rPr>
          <w:b w:val="false"/>
          <w:bCs w:val="false"/>
          <w:i w:val="false"/>
          <w:iCs w:val="false"/>
          <w:sz w:val="24"/>
          <w:szCs w:val="24"/>
        </w:rPr>
        <w:t>.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2759</TotalTime>
  <Application>LibreOffice/5.4.3.2$MacOSX_X86_64 LibreOffice_project/92a7159f7e4af62137622921e809f8546db437e5</Application>
  <Pages>11</Pages>
  <Words>6282</Words>
  <Characters>33850</Characters>
  <CharactersWithSpaces>40073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2018-01-12T20:44:50Z</dcterms:modified>
  <cp:revision>1355</cp:revision>
  <dc:subject/>
  <dc:title/>
</cp:coreProperties>
</file>