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control),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and averaged together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the left side of Table 1; this side of the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.18. However, control dislikes</w:t>
      </w:r>
      <w:r>
        <w:rPr>
          <w:b w:val="false"/>
          <w:bCs w:val="false"/>
          <w:sz w:val="24"/>
          <w:szCs w:val="24"/>
        </w:rPr>
        <w:t xml:space="preserve"> did not correlate with thinking the control dislike statements were authentic, </w:t>
      </w:r>
      <w:r>
        <w:rPr>
          <w:b w:val="false"/>
          <w:bCs w:val="false"/>
          <w:i/>
          <w:iCs/>
          <w:sz w:val="24"/>
          <w:szCs w:val="24"/>
        </w:rPr>
        <w:t xml:space="preserve">r </w:t>
      </w:r>
      <w:r>
        <w:rPr>
          <w:b w:val="false"/>
          <w:bCs w:val="false"/>
          <w:i w:val="false"/>
          <w:iCs w:val="false"/>
          <w:sz w:val="24"/>
          <w:szCs w:val="24"/>
        </w:rPr>
        <w:t>= -.06.</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This question is addressed in the right-hand side of Table 1, where the differences between dislike and perceived authenticity correlations are presented. Confidence intervals for these differences in correlations were calculated using Zou’s (2007) method (Diedenhofen &amp; Musch, 2015). For example,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 Prejudices against Muslims and politicians were more predictive of their respective perceived authenticity measures when compared to control statements, as well.</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i/>
          <w:i/>
          <w:iCs/>
        </w:rPr>
      </w:pPr>
      <w:r>
        <w:rPr>
          <w:b w:val="false"/>
          <w:bCs w:val="false"/>
          <w:i/>
          <w:iCs/>
          <w:sz w:val="24"/>
          <w:szCs w:val="24"/>
        </w:rPr>
        <w:t>Correlations Between Dislike and Perceived Authenticity, and Differences in Correlations</w:t>
      </w:r>
    </w:p>
    <w:tbl>
      <w:tblPr>
        <w:tblW w:w="8933"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406"/>
        <w:gridCol w:w="996"/>
        <w:gridCol w:w="1197"/>
        <w:gridCol w:w="896"/>
        <w:gridCol w:w="1482"/>
        <w:gridCol w:w="1478"/>
        <w:gridCol w:w="1477"/>
      </w:tblGrid>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sz w:val="24"/>
                <w:szCs w:val="24"/>
              </w:rPr>
            </w:pPr>
            <w:r>
              <w:rPr>
                <w:sz w:val="24"/>
                <w:szCs w:val="24"/>
              </w:rPr>
            </w:r>
          </w:p>
        </w:tc>
        <w:tc>
          <w:tcPr>
            <w:tcW w:w="3089" w:type="dxa"/>
            <w:gridSpan w:val="3"/>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sz w:val="24"/>
                <w:szCs w:val="24"/>
              </w:rPr>
            </w:pPr>
            <w:r>
              <w:rPr>
                <w:sz w:val="24"/>
                <w:szCs w:val="24"/>
              </w:rPr>
              <w:t>Perceived Authenticity</w:t>
            </w:r>
          </w:p>
        </w:tc>
        <w:tc>
          <w:tcPr>
            <w:tcW w:w="4437"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bidi w:val="0"/>
              <w:spacing w:lineRule="auto" w:line="240" w:before="0" w:after="0"/>
              <w:contextualSpacing/>
              <w:jc w:val="left"/>
              <w:rPr/>
            </w:pPr>
            <w:r>
              <w:rPr>
                <w:sz w:val="24"/>
                <w:szCs w:val="24"/>
              </w:rPr>
              <w:t>Correlation Difference</w:t>
            </w:r>
          </w:p>
        </w:tc>
      </w:tr>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sz w:val="24"/>
                <w:szCs w:val="24"/>
              </w:rPr>
            </w:pPr>
            <w:r>
              <w:rPr>
                <w:sz w:val="24"/>
                <w:szCs w:val="24"/>
              </w:rPr>
              <w:t>Dislike</w:t>
            </w:r>
          </w:p>
        </w:tc>
        <w:tc>
          <w:tcPr>
            <w:tcW w:w="99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sz w:val="24"/>
                <w:szCs w:val="24"/>
              </w:rPr>
            </w:pPr>
            <w:r>
              <w:rPr>
                <w:sz w:val="24"/>
                <w:szCs w:val="24"/>
              </w:rPr>
              <w:t>Muslims</w:t>
            </w:r>
          </w:p>
        </w:tc>
        <w:tc>
          <w:tcPr>
            <w:tcW w:w="119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sz w:val="24"/>
                <w:szCs w:val="24"/>
              </w:rPr>
            </w:pPr>
            <w:r>
              <w:rPr>
                <w:sz w:val="24"/>
                <w:szCs w:val="24"/>
              </w:rPr>
              <w:t>Politicians</w:t>
            </w:r>
          </w:p>
        </w:tc>
        <w:tc>
          <w:tcPr>
            <w:tcW w:w="89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sz w:val="24"/>
                <w:szCs w:val="24"/>
              </w:rPr>
            </w:pPr>
            <w:r>
              <w:rPr>
                <w:sz w:val="24"/>
                <w:szCs w:val="24"/>
              </w:rPr>
              <w:t>Control</w:t>
            </w:r>
          </w:p>
        </w:tc>
        <w:tc>
          <w:tcPr>
            <w:tcW w:w="148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sz w:val="24"/>
                <w:szCs w:val="24"/>
              </w:rPr>
            </w:pPr>
            <w:r>
              <w:rPr>
                <w:sz w:val="24"/>
                <w:szCs w:val="24"/>
              </w:rPr>
              <w:t>Muslims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sz w:val="24"/>
                <w:szCs w:val="24"/>
              </w:rPr>
            </w:pPr>
            <w:r>
              <w:rPr>
                <w:sz w:val="24"/>
                <w:szCs w:val="24"/>
              </w:rPr>
              <w:t>Politicians</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sz w:val="24"/>
                <w:szCs w:val="24"/>
              </w:rPr>
            </w:pPr>
            <w:r>
              <w:rPr>
                <w:sz w:val="24"/>
                <w:szCs w:val="24"/>
              </w:rPr>
              <w:t>Control</w:t>
            </w:r>
          </w:p>
        </w:tc>
      </w:tr>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ind w:hanging="0"/>
              <w:contextualSpacing/>
              <w:jc w:val="left"/>
              <w:rPr>
                <w:rFonts w:ascii="Cambria" w:hAnsi="Cambria"/>
                <w:sz w:val="24"/>
                <w:szCs w:val="24"/>
              </w:rPr>
            </w:pPr>
            <w:r>
              <w:rPr>
                <w:sz w:val="24"/>
                <w:szCs w:val="24"/>
              </w:rPr>
              <w:t xml:space="preserve">    </w:t>
            </w:r>
            <w:r>
              <w:rPr>
                <w:sz w:val="24"/>
                <w:szCs w:val="24"/>
              </w:rPr>
              <w:t>Muslims</w:t>
            </w:r>
          </w:p>
        </w:tc>
        <w:tc>
          <w:tcPr>
            <w:tcW w:w="99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b/>
                <w:b/>
                <w:bCs/>
                <w:sz w:val="24"/>
                <w:szCs w:val="24"/>
              </w:rPr>
            </w:pPr>
            <w:r>
              <w:rPr>
                <w:b/>
                <w:bCs/>
                <w:sz w:val="24"/>
                <w:szCs w:val="24"/>
              </w:rPr>
              <w:t>.38</w:t>
            </w:r>
          </w:p>
        </w:tc>
        <w:tc>
          <w:tcPr>
            <w:tcW w:w="119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sz w:val="24"/>
                <w:szCs w:val="24"/>
              </w:rPr>
            </w:pPr>
            <w:r>
              <w:rPr>
                <w:sz w:val="24"/>
                <w:szCs w:val="24"/>
              </w:rPr>
              <w:t>.05</w:t>
            </w:r>
          </w:p>
        </w:tc>
        <w:tc>
          <w:tcPr>
            <w:tcW w:w="89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sz w:val="24"/>
                <w:szCs w:val="24"/>
              </w:rPr>
            </w:pPr>
            <w:r>
              <w:rPr>
                <w:sz w:val="24"/>
                <w:szCs w:val="24"/>
              </w:rPr>
              <w:t>-.13</w:t>
            </w:r>
          </w:p>
        </w:tc>
        <w:tc>
          <w:tcPr>
            <w:tcW w:w="148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sz w:val="24"/>
                <w:szCs w:val="24"/>
              </w:rPr>
            </w:pPr>
            <w:r>
              <w:rPr>
                <w:sz w:val="24"/>
                <w:szCs w:val="24"/>
              </w:rPr>
              <w:t>–</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sz w:val="24"/>
                <w:szCs w:val="24"/>
              </w:rPr>
            </w:pPr>
            <w:r>
              <w:rPr>
                <w:sz w:val="24"/>
                <w:szCs w:val="24"/>
              </w:rPr>
              <w:t>.33 [.16, .50]</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sz w:val="24"/>
                <w:szCs w:val="24"/>
              </w:rPr>
            </w:pPr>
            <w:r>
              <w:rPr>
                <w:sz w:val="24"/>
                <w:szCs w:val="24"/>
              </w:rPr>
              <w:t>.51 [.32, .69]</w:t>
            </w:r>
          </w:p>
        </w:tc>
      </w:tr>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ind w:hanging="0"/>
              <w:contextualSpacing/>
              <w:jc w:val="left"/>
              <w:rPr>
                <w:rFonts w:ascii="Cambria" w:hAnsi="Cambria"/>
                <w:sz w:val="24"/>
                <w:szCs w:val="24"/>
              </w:rPr>
            </w:pPr>
            <w:r>
              <w:rPr>
                <w:sz w:val="24"/>
                <w:szCs w:val="24"/>
              </w:rPr>
              <w:t xml:space="preserve">    </w:t>
            </w:r>
            <w:r>
              <w:rPr>
                <w:sz w:val="24"/>
                <w:szCs w:val="24"/>
              </w:rPr>
              <w:t>Politicians</w:t>
            </w:r>
          </w:p>
        </w:tc>
        <w:tc>
          <w:tcPr>
            <w:tcW w:w="99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sz w:val="24"/>
                <w:szCs w:val="24"/>
              </w:rPr>
            </w:pPr>
            <w:r>
              <w:rPr>
                <w:sz w:val="24"/>
                <w:szCs w:val="24"/>
              </w:rPr>
              <w:t>-.06</w:t>
            </w:r>
          </w:p>
        </w:tc>
        <w:tc>
          <w:tcPr>
            <w:tcW w:w="119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b w:val="false"/>
                <w:b w:val="false"/>
                <w:bCs w:val="false"/>
                <w:sz w:val="24"/>
                <w:szCs w:val="24"/>
              </w:rPr>
            </w:pPr>
            <w:r>
              <w:rPr>
                <w:b w:val="false"/>
                <w:bCs w:val="false"/>
                <w:sz w:val="24"/>
                <w:szCs w:val="24"/>
              </w:rPr>
              <w:t>.</w:t>
            </w:r>
            <w:r>
              <w:rPr>
                <w:b/>
                <w:bCs/>
                <w:sz w:val="24"/>
                <w:szCs w:val="24"/>
              </w:rPr>
              <w:t>18</w:t>
            </w:r>
          </w:p>
        </w:tc>
        <w:tc>
          <w:tcPr>
            <w:tcW w:w="89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sz w:val="24"/>
                <w:szCs w:val="24"/>
              </w:rPr>
            </w:pPr>
            <w:r>
              <w:rPr>
                <w:sz w:val="24"/>
                <w:szCs w:val="24"/>
              </w:rPr>
              <w:t>-.02</w:t>
            </w:r>
          </w:p>
        </w:tc>
        <w:tc>
          <w:tcPr>
            <w:tcW w:w="148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sz w:val="24"/>
                <w:szCs w:val="24"/>
              </w:rPr>
            </w:pPr>
            <w:r>
              <w:rPr>
                <w:sz w:val="24"/>
                <w:szCs w:val="24"/>
              </w:rPr>
              <w:t>.24 [.06, .41]</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sz w:val="24"/>
                <w:szCs w:val="24"/>
              </w:rPr>
            </w:pPr>
            <w:r>
              <w:rPr>
                <w:sz w:val="24"/>
                <w:szCs w:val="24"/>
              </w:rPr>
              <w:t xml:space="preserve">– </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bidi w:val="0"/>
              <w:spacing w:lineRule="auto" w:line="240" w:before="0" w:after="0"/>
              <w:contextualSpacing/>
              <w:jc w:val="left"/>
              <w:rPr/>
            </w:pPr>
            <w:r>
              <w:rPr>
                <w:sz w:val="24"/>
                <w:szCs w:val="24"/>
              </w:rPr>
              <w:t>.19 [-.01, .39]</w:t>
            </w:r>
          </w:p>
        </w:tc>
      </w:tr>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ind w:hanging="0"/>
              <w:contextualSpacing/>
              <w:jc w:val="left"/>
              <w:rPr>
                <w:rFonts w:ascii="Cambria" w:hAnsi="Cambria"/>
                <w:sz w:val="24"/>
                <w:szCs w:val="24"/>
              </w:rPr>
            </w:pPr>
            <w:r>
              <w:rPr>
                <w:sz w:val="24"/>
                <w:szCs w:val="24"/>
              </w:rPr>
              <w:t xml:space="preserve">    </w:t>
            </w:r>
            <w:r>
              <w:rPr>
                <w:sz w:val="24"/>
                <w:szCs w:val="24"/>
              </w:rPr>
              <w:t>Control</w:t>
            </w:r>
          </w:p>
        </w:tc>
        <w:tc>
          <w:tcPr>
            <w:tcW w:w="99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b/>
                <w:b/>
                <w:bCs/>
                <w:sz w:val="24"/>
                <w:szCs w:val="24"/>
              </w:rPr>
            </w:pPr>
            <w:r>
              <w:rPr>
                <w:b/>
                <w:bCs/>
                <w:sz w:val="24"/>
                <w:szCs w:val="24"/>
              </w:rPr>
              <w:t>-.19</w:t>
            </w:r>
          </w:p>
        </w:tc>
        <w:tc>
          <w:tcPr>
            <w:tcW w:w="119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b w:val="false"/>
                <w:b w:val="false"/>
                <w:bCs w:val="false"/>
                <w:sz w:val="24"/>
                <w:szCs w:val="24"/>
              </w:rPr>
            </w:pPr>
            <w:r>
              <w:rPr>
                <w:b w:val="false"/>
                <w:bCs w:val="false"/>
                <w:sz w:val="24"/>
                <w:szCs w:val="24"/>
              </w:rPr>
              <w:t>-</w:t>
            </w:r>
            <w:r>
              <w:rPr>
                <w:b/>
                <w:bCs/>
                <w:sz w:val="24"/>
                <w:szCs w:val="24"/>
              </w:rPr>
              <w:t>.25</w:t>
            </w:r>
          </w:p>
        </w:tc>
        <w:tc>
          <w:tcPr>
            <w:tcW w:w="89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sz w:val="24"/>
                <w:szCs w:val="24"/>
              </w:rPr>
            </w:pPr>
            <w:r>
              <w:rPr>
                <w:sz w:val="24"/>
                <w:szCs w:val="24"/>
              </w:rPr>
              <w:t>-.06</w:t>
            </w:r>
          </w:p>
        </w:tc>
        <w:tc>
          <w:tcPr>
            <w:tcW w:w="148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sz w:val="24"/>
                <w:szCs w:val="24"/>
              </w:rPr>
            </w:pPr>
            <w:r>
              <w:rPr>
                <w:sz w:val="24"/>
                <w:szCs w:val="24"/>
              </w:rPr>
              <w:t>.13 [-.07, .33]</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sz w:val="24"/>
                <w:szCs w:val="24"/>
              </w:rPr>
            </w:pPr>
            <w:r>
              <w:rPr>
                <w:sz w:val="24"/>
                <w:szCs w:val="24"/>
              </w:rPr>
              <w:t>.19 [-.01, .39]</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bidi w:val="0"/>
              <w:spacing w:lineRule="auto" w:line="240" w:before="0" w:after="0"/>
              <w:contextualSpacing/>
              <w:jc w:val="left"/>
              <w:rPr>
                <w:rFonts w:ascii="Cambria" w:hAnsi="Cambria"/>
                <w:sz w:val="24"/>
                <w:szCs w:val="24"/>
              </w:rPr>
            </w:pPr>
            <w:r>
              <w:rPr>
                <w:sz w:val="24"/>
                <w:szCs w:val="24"/>
              </w:rPr>
              <w:t xml:space="preserve">– </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 Correlations in brackets represent 95% confidence intervals.</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In contrast to what would be predicted from correspondent inference theory,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3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0" w:name="__DdeLink__506_3960537964"/>
      <w:r>
        <w:rPr>
          <w:b w:val="false"/>
          <w:bCs w:val="false"/>
          <w:i w:val="false"/>
          <w:iCs w:val="false"/>
          <w:sz w:val="24"/>
          <w:szCs w:val="24"/>
        </w:rPr>
        <w:t xml:space="preserve">Note that Welch’s </w:t>
      </w:r>
      <w:r>
        <w:rPr>
          <w:b w:val="false"/>
          <w:bCs w:val="false"/>
          <w:i/>
          <w:iCs/>
          <w:sz w:val="24"/>
          <w:szCs w:val="24"/>
        </w:rPr>
        <w:t>t</w:t>
      </w:r>
      <w:bookmarkEnd w:id="0"/>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w:t>
      </w:r>
      <w:r>
        <w:rPr>
          <w:b w:val="false"/>
          <w:bCs w:val="false"/>
          <w:i w:val="false"/>
          <w:iCs w:val="false"/>
          <w:sz w:val="24"/>
          <w:szCs w:val="24"/>
        </w:rPr>
        <w:t>00</w:t>
      </w:r>
      <w:r>
        <w:rPr>
          <w:b w:val="false"/>
          <w:bCs w:val="false"/>
          <w:i w:val="false"/>
          <w:iCs w:val="false"/>
          <w:sz w:val="24"/>
          <w:szCs w:val="24"/>
        </w:rPr>
        <w:t xml:space="preserve"> people from MTurk to participate in a “study on person perception.” A total of 2</w:t>
      </w:r>
      <w:r>
        <w:rPr>
          <w:b w:val="false"/>
          <w:bCs w:val="false"/>
          <w:i w:val="false"/>
          <w:iCs w:val="false"/>
          <w:sz w:val="24"/>
          <w:szCs w:val="24"/>
        </w:rPr>
        <w:t>02</w:t>
      </w:r>
      <w:r>
        <w:rPr>
          <w:b w:val="false"/>
          <w:bCs w:val="false"/>
          <w:i w:val="false"/>
          <w:iCs w:val="false"/>
          <w:sz w:val="24"/>
          <w:szCs w:val="24"/>
        </w:rPr>
        <w:t xml:space="preserve"> people participated, </w:t>
      </w:r>
      <w:r>
        <w:rPr>
          <w:b w:val="false"/>
          <w:bCs w:val="false"/>
          <w:i w:val="false"/>
          <w:iCs w:val="false"/>
          <w:sz w:val="24"/>
          <w:szCs w:val="24"/>
        </w:rPr>
        <w:t>but one was dropped from analyses for partial responding.</w:t>
      </w:r>
      <w:r>
        <w:rPr>
          <w:b w:val="false"/>
          <w:bCs w:val="false"/>
          <w:i w:val="false"/>
          <w:iCs w:val="false"/>
          <w:sz w:val="24"/>
          <w:szCs w:val="24"/>
        </w:rPr>
        <w:t xml:space="preserve"> </w:t>
      </w:r>
      <w:r>
        <w:rPr>
          <w:b w:val="false"/>
          <w:bCs w:val="false"/>
          <w:i w:val="false"/>
          <w:iCs w:val="false"/>
          <w:sz w:val="24"/>
          <w:szCs w:val="24"/>
        </w:rPr>
        <w:t>Participants’</w:t>
      </w:r>
      <w:r>
        <w:rPr>
          <w:b w:val="false"/>
          <w:bCs w:val="false"/>
          <w:i w:val="false"/>
          <w:iCs w:val="false"/>
          <w:sz w:val="24"/>
          <w:szCs w:val="24"/>
        </w:rPr>
        <w:t xml:space="preserve"> ages ranged from 1</w:t>
      </w:r>
      <w:r>
        <w:rPr>
          <w:b w:val="false"/>
          <w:bCs w:val="false"/>
          <w:i w:val="false"/>
          <w:iCs w:val="false"/>
          <w:sz w:val="24"/>
          <w:szCs w:val="24"/>
        </w:rPr>
        <w:t>8</w:t>
      </w:r>
      <w:r>
        <w:rPr>
          <w:b w:val="false"/>
          <w:bCs w:val="false"/>
          <w:i w:val="false"/>
          <w:iCs w:val="false"/>
          <w:sz w:val="24"/>
          <w:szCs w:val="24"/>
        </w:rPr>
        <w:t xml:space="preserve"> to </w:t>
      </w:r>
      <w:r>
        <w:rPr>
          <w:b w:val="false"/>
          <w:bCs w:val="false"/>
          <w:i w:val="false"/>
          <w:iCs w:val="false"/>
          <w:sz w:val="24"/>
          <w:szCs w:val="24"/>
        </w:rPr>
        <w:t>70</w:t>
      </w:r>
      <w:r>
        <w:rPr>
          <w:b w:val="false"/>
          <w:bCs w:val="false"/>
          <w:i w:val="false"/>
          <w:iCs w:val="false"/>
          <w:sz w:val="24"/>
          <w:szCs w:val="24"/>
        </w:rPr>
        <w:t xml:space="preserve"> (</w:t>
      </w:r>
      <w:r>
        <w:rPr>
          <w:b w:val="false"/>
          <w:bCs w:val="false"/>
          <w:i/>
          <w:iCs/>
          <w:sz w:val="24"/>
          <w:szCs w:val="24"/>
        </w:rPr>
        <w:t xml:space="preserve">M </w:t>
      </w:r>
      <w:r>
        <w:rPr>
          <w:b w:val="false"/>
          <w:bCs w:val="false"/>
          <w:i w:val="false"/>
          <w:iCs w:val="false"/>
          <w:sz w:val="24"/>
          <w:szCs w:val="24"/>
        </w:rPr>
        <w:t>= 3</w:t>
      </w:r>
      <w:r>
        <w:rPr>
          <w:b w:val="false"/>
          <w:bCs w:val="false"/>
          <w:i w:val="false"/>
          <w:iCs w:val="false"/>
          <w:sz w:val="24"/>
          <w:szCs w:val="24"/>
        </w:rPr>
        <w:t>6</w:t>
      </w:r>
      <w:r>
        <w:rPr>
          <w:b w:val="false"/>
          <w:bCs w:val="false"/>
          <w:i w:val="false"/>
          <w:iCs w:val="false"/>
          <w:sz w:val="24"/>
          <w:szCs w:val="24"/>
        </w:rPr>
        <w:t>.</w:t>
      </w:r>
      <w:r>
        <w:rPr>
          <w:b w:val="false"/>
          <w:bCs w:val="false"/>
          <w:i w:val="false"/>
          <w:iCs w:val="false"/>
          <w:sz w:val="24"/>
          <w:szCs w:val="24"/>
        </w:rPr>
        <w:t>71</w:t>
      </w:r>
      <w:r>
        <w:rPr>
          <w:b w:val="false"/>
          <w:bCs w:val="false"/>
          <w:i w:val="false"/>
          <w:iCs w:val="false"/>
          <w:sz w:val="24"/>
          <w:szCs w:val="24"/>
        </w:rPr>
        <w:t xml:space="preserve">, </w:t>
      </w:r>
      <w:r>
        <w:rPr>
          <w:b w:val="false"/>
          <w:bCs w:val="false"/>
          <w:i/>
          <w:iCs/>
          <w:sz w:val="24"/>
          <w:szCs w:val="24"/>
        </w:rPr>
        <w:t xml:space="preserve">SD </w:t>
      </w:r>
      <w:r>
        <w:rPr>
          <w:b w:val="false"/>
          <w:bCs w:val="false"/>
          <w:i w:val="false"/>
          <w:iCs w:val="false"/>
          <w:sz w:val="24"/>
          <w:szCs w:val="24"/>
        </w:rPr>
        <w:t xml:space="preserve">= </w:t>
      </w:r>
      <w:r>
        <w:rPr>
          <w:b w:val="false"/>
          <w:bCs w:val="false"/>
          <w:i w:val="false"/>
          <w:iCs w:val="false"/>
          <w:sz w:val="24"/>
          <w:szCs w:val="24"/>
        </w:rPr>
        <w:t>11.70</w:t>
      </w:r>
      <w:r>
        <w:rPr>
          <w:b w:val="false"/>
          <w:bCs w:val="false"/>
          <w:i w:val="false"/>
          <w:iCs w:val="false"/>
          <w:sz w:val="24"/>
          <w:szCs w:val="24"/>
        </w:rPr>
        <w:t xml:space="preserve">), </w:t>
      </w:r>
      <w:r>
        <w:rPr>
          <w:b w:val="false"/>
          <w:bCs w:val="false"/>
          <w:i w:val="false"/>
          <w:iCs w:val="false"/>
          <w:sz w:val="24"/>
          <w:szCs w:val="24"/>
        </w:rPr>
        <w:t>42</w:t>
      </w:r>
      <w:r>
        <w:rPr>
          <w:b w:val="false"/>
          <w:bCs w:val="false"/>
          <w:i w:val="false"/>
          <w:iCs w:val="false"/>
          <w:sz w:val="24"/>
          <w:szCs w:val="24"/>
        </w:rPr>
        <w:t>%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r>
      <w:r>
        <w:rPr>
          <w:b w:val="false"/>
          <w:bCs w:val="false"/>
          <w:i w:val="false"/>
          <w:iCs w:val="false"/>
          <w:sz w:val="24"/>
          <w:szCs w:val="24"/>
        </w:rPr>
        <w:t xml:space="preserve">The procedure was identical to Study 4, </w:t>
      </w:r>
      <w:r>
        <w:rPr>
          <w:b w:val="false"/>
          <w:bCs w:val="false"/>
          <w:i w:val="false"/>
          <w:iCs w:val="false"/>
          <w:sz w:val="24"/>
          <w:szCs w:val="24"/>
        </w:rPr>
        <w:t>and d</w:t>
      </w:r>
      <w:r>
        <w:rPr>
          <w:b w:val="false"/>
          <w:bCs w:val="false"/>
          <w:i w:val="false"/>
          <w:iCs w:val="false"/>
          <w:sz w:val="24"/>
          <w:szCs w:val="24"/>
        </w:rPr>
        <w:t>emographics and prejudice were measured the same as in Study 4.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r>
      <w:r>
        <w:rPr>
          <w:b w:val="false"/>
          <w:bCs w:val="false"/>
          <w:i w:val="false"/>
          <w:iCs w:val="false"/>
          <w:sz w:val="24"/>
          <w:szCs w:val="24"/>
        </w:rPr>
        <w:t>Considering items in response to negative and neutral statements separately, a</w:t>
      </w:r>
      <w:r>
        <w:rPr>
          <w:b w:val="false"/>
          <w:bCs w:val="false"/>
          <w:i w:val="false"/>
          <w:iCs w:val="false"/>
          <w:sz w:val="24"/>
          <w:szCs w:val="24"/>
        </w:rPr>
        <w:t xml:space="preserve">n exploratory </w:t>
      </w:r>
      <w:r>
        <w:rPr>
          <w:b w:val="false"/>
          <w:bCs w:val="false"/>
          <w:i w:val="false"/>
          <w:iCs w:val="false"/>
          <w:sz w:val="24"/>
          <w:szCs w:val="24"/>
        </w:rPr>
        <w:t>principal axis factor analysis</w:t>
      </w:r>
      <w:r>
        <w:rPr>
          <w:b w:val="false"/>
          <w:bCs w:val="false"/>
          <w:i w:val="false"/>
          <w:iCs w:val="false"/>
          <w:sz w:val="24"/>
          <w:szCs w:val="24"/>
        </w:rPr>
        <w:t xml:space="preserve"> with an oblimin rotation supported this two-factor </w:t>
      </w:r>
      <w:r>
        <w:rPr>
          <w:b w:val="false"/>
          <w:bCs w:val="false"/>
          <w:i w:val="false"/>
          <w:iCs w:val="false"/>
          <w:sz w:val="24"/>
          <w:szCs w:val="24"/>
        </w:rPr>
        <w:t xml:space="preserve">solution and with simple </w:t>
      </w:r>
      <w:r>
        <w:rPr>
          <w:b w:val="false"/>
          <w:bCs w:val="false"/>
          <w:i w:val="false"/>
          <w:iCs w:val="false"/>
          <w:sz w:val="24"/>
          <w:szCs w:val="24"/>
        </w:rPr>
        <w:t xml:space="preserve">structure </w:t>
      </w:r>
      <w:r>
        <w:rPr>
          <w:b w:val="false"/>
          <w:bCs w:val="false"/>
          <w:i w:val="false"/>
          <w:iCs w:val="false"/>
          <w:sz w:val="24"/>
          <w:szCs w:val="24"/>
        </w:rPr>
        <w:t>(using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1.16, </w:t>
      </w:r>
      <w:r>
        <w:rPr>
          <w:b w:val="false"/>
          <w:bCs w:val="false"/>
          <w:i/>
          <w:iCs/>
          <w:sz w:val="24"/>
          <w:szCs w:val="24"/>
        </w:rPr>
        <w:t xml:space="preserve">SE </w:t>
      </w:r>
      <w:r>
        <w:rPr>
          <w:b w:val="false"/>
          <w:bCs w:val="false"/>
          <w:i w:val="false"/>
          <w:iCs w:val="false"/>
          <w:sz w:val="24"/>
          <w:szCs w:val="24"/>
        </w:rPr>
        <w:t xml:space="preserve">= 1.66,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b/>
          <w:b/>
          <w:bCs/>
        </w:rPr>
      </w:pPr>
      <w:r>
        <w:rPr>
          <w:b/>
          <w:bCs/>
          <w:i w:val="false"/>
          <w:iCs w:val="false"/>
          <w:sz w:val="24"/>
          <w:szCs w:val="24"/>
        </w:rPr>
        <w:t>Study 7</w:t>
      </w:r>
    </w:p>
    <w:p>
      <w:pPr>
        <w:pStyle w:val="Normal"/>
        <w:bidi w:val="0"/>
        <w:spacing w:lineRule="auto" w:line="240" w:before="0" w:after="0"/>
        <w:contextualSpacing/>
        <w:jc w:val="left"/>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954</TotalTime>
  <Application>LibreOffice/5.4.3.2$MacOSX_X86_64 LibreOffice_project/92a7159f7e4af62137622921e809f8546db437e5</Application>
  <Pages>7</Pages>
  <Words>3890</Words>
  <Characters>20937</Characters>
  <CharactersWithSpaces>24789</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2018-01-06T23:25:16Z</dcterms:modified>
  <cp:revision>820</cp:revision>
  <dc:subject/>
  <dc:title/>
</cp:coreProperties>
</file>