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Introduction</w:t>
      </w:r>
    </w:p>
    <w:p>
      <w:pPr>
        <w:pStyle w:val="TextBody"/>
        <w:bidi w:val="0"/>
        <w:spacing w:lineRule="auto" w:line="240" w:before="0" w:after="0"/>
        <w:contextualSpacing/>
        <w:jc w:val="left"/>
        <w:rPr/>
      </w:pPr>
      <w:r>
        <w:rPr>
          <w:b/>
          <w:bCs/>
          <w:sz w:val="24"/>
          <w:szCs w:val="24"/>
        </w:rPr>
        <w:t>Authenticity</w:t>
      </w:r>
    </w:p>
    <w:p>
      <w:pPr>
        <w:pStyle w:val="TextBody"/>
        <w:bidi w:val="0"/>
        <w:spacing w:lineRule="auto" w:line="240" w:before="0" w:after="0"/>
        <w:contextualSpacing/>
        <w:jc w:val="left"/>
        <w:rPr/>
      </w:pPr>
      <w:r>
        <w:rPr>
          <w:b/>
          <w:bCs/>
          <w:sz w:val="24"/>
          <w:szCs w:val="24"/>
        </w:rPr>
        <w:tab/>
        <w:t xml:space="preserve">Humanist psychology. </w:t>
      </w:r>
      <w:r>
        <w:rPr>
          <w:b w:val="false"/>
          <w:bCs w:val="false"/>
          <w:sz w:val="24"/>
          <w:szCs w:val="24"/>
        </w:rPr>
        <w:t xml:space="preserve">Philosophers have been interested in the concept of being “true to oneself”—being “authentic”—for thousands of years. The study of authenticity was first embraced in psychology by the early humanistic clinical psychologists, such as Rogers, Maslow, and Jourard.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Contemporary social psychology. </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62"/>
        <w:gridCol w:w="1662"/>
        <w:gridCol w:w="1662"/>
        <w:gridCol w:w="1663"/>
        <w:gridCol w:w="1662"/>
        <w:gridCol w:w="1660"/>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Politicians</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Beach</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.18</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.02</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-.15</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.01</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-.28</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-.17</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-.09</w:t>
            </w:r>
          </w:p>
        </w:tc>
        <w:tc>
          <w:tcPr>
            <w:tcW w:w="1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1514</TotalTime>
  <Application>LibreOffice/5.4.3.2$MacOSX_X86_64 LibreOffice_project/92a7159f7e4af62137622921e809f8546db437e5</Application>
  <Pages>9</Pages>
  <Words>4876</Words>
  <Characters>25939</Characters>
  <CharactersWithSpaces>30765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2018-01-10T23:34:53Z</dcterms:modified>
  <cp:revision>1015</cp:revision>
  <dc:subject/>
  <dc:title/>
</cp:coreProperties>
</file>