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w:t>
      </w:r>
      <w:r>
        <w:rPr>
          <w:b w:val="false"/>
          <w:bCs w:val="false"/>
          <w:i w:val="false"/>
          <w:iCs w:val="false"/>
          <w:sz w:val="24"/>
          <w:szCs w:val="24"/>
        </w:rPr>
        <w:t xml:space="preserve">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.18, respectively).</w:t>
      </w:r>
      <w:r>
        <w:rPr>
          <w:b w:val="false"/>
          <w:bCs w:val="false"/>
          <w:i w:val="false"/>
          <w:iCs w:val="false"/>
          <w:sz w:val="24"/>
          <w:szCs w:val="24"/>
        </w:rPr>
        <w:t xml:space="preserve"> Confidence intervals for these differences in correlations were calculated using Zou’s (2007) method (Diedenhofen &amp; Musch, 2015). </w:t>
      </w:r>
      <w:r>
        <w:rPr>
          <w:b w:val="false"/>
          <w:bCs w:val="false"/>
          <w:i w:val="false"/>
          <w:iCs w:val="false"/>
          <w:sz w:val="24"/>
          <w:szCs w:val="24"/>
        </w:rPr>
        <w:t>T</w:t>
      </w:r>
      <w:r>
        <w:rPr>
          <w:b w:val="false"/>
          <w:bCs w:val="false"/>
          <w:i w:val="false"/>
          <w:iCs w:val="false"/>
          <w:sz w:val="24"/>
          <w:szCs w:val="24"/>
        </w:rPr>
        <w:t xml:space="preserve">he relationship between Muslim prejudice and thinking anti-Muslim statements are authentic </w:t>
      </w:r>
      <w:r>
        <w:rPr>
          <w:b w:val="false"/>
          <w:bCs w:val="false"/>
          <w:i w:val="false"/>
          <w:iCs w:val="false"/>
          <w:sz w:val="24"/>
          <w:szCs w:val="24"/>
        </w:rPr>
        <w:t>was</w:t>
      </w:r>
      <w:r>
        <w:rPr>
          <w:b w:val="false"/>
          <w:bCs w:val="false"/>
          <w:i w:val="false"/>
          <w:iCs w:val="false"/>
          <w:sz w:val="24"/>
          <w:szCs w:val="24"/>
        </w:rPr>
        <w:t xml:space="preserve">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w:t>
      </w:r>
      <w:r>
        <w:rPr>
          <w:b w:val="false"/>
          <w:bCs w:val="false"/>
          <w:i w:val="false"/>
          <w:iCs w:val="false"/>
          <w:sz w:val="24"/>
          <w:szCs w:val="24"/>
        </w:rPr>
        <w:t xml:space="preserve">and anti-politician </w:t>
      </w:r>
      <w:r>
        <w:rPr>
          <w:b w:val="false"/>
          <w:bCs w:val="false"/>
          <w:i w:val="false"/>
          <w:iCs w:val="false"/>
          <w:sz w:val="24"/>
          <w:szCs w:val="24"/>
        </w:rPr>
        <w:t xml:space="preserve">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1"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1"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5615</TotalTime>
  <Application>LibreOffice/5.4.3.2$MacOSX_X86_64 LibreOffice_project/92a7159f7e4af62137622921e809f8546db437e5</Application>
  <Pages>16</Pages>
  <Words>9412</Words>
  <Characters>51834</Characters>
  <CharactersWithSpaces>61175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2018-01-17T13:28:28Z</dcterms:modified>
  <cp:revision>2595</cp:revision>
  <dc:subject/>
  <dc:title/>
</cp:coreProperties>
</file>