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(i.e.,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when suppression is absent; one needs no justification in saying they hate rapists.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 (i.e., suppression is present).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from their personality. People tend to see causes of behavior coming from either external factors (e.g., norms, rules, directions from others)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leading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frame within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 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the positive relationship between prejudice and perceived authenticity is stronger when the prejudice is prescriptively non-normative (Studies 3, 5, and 6). Fourth, prejudice positively predicts perceived descriptive normativity, which in turn causes people to perceive prejudiced statements as authentic (Studies 3 and 4).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and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pPr>
      <w:r>
        <w:rPr>
          <w:b/>
          <w:bCs/>
          <w:i w:val="false"/>
          <w:iCs w:val="false"/>
          <w:sz w:val="24"/>
          <w:szCs w:val="24"/>
        </w:rPr>
        <w:t>Meta-Analysis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performed a meta-analysis </w:t>
      </w:r>
      <w:r>
        <w:rPr>
          <w:b w:val="false"/>
          <w:bCs w:val="false"/>
          <w:i w:val="false"/>
          <w:iCs w:val="false"/>
          <w:sz w:val="24"/>
          <w:szCs w:val="24"/>
        </w:rPr>
        <w:t xml:space="preserve">(N = 1386) </w:t>
      </w:r>
      <w:r>
        <w:rPr>
          <w:b w:val="false"/>
          <w:bCs w:val="false"/>
          <w:i w:val="false"/>
          <w:iCs w:val="false"/>
          <w:sz w:val="24"/>
          <w:szCs w:val="24"/>
        </w:rPr>
        <w:t xml:space="preserve">on the primary correlations of interest—those between a self-reported prejudice and perceived authenticity of that same prejudice; I used a multivariate approach to account for the dependencies between correlations in Studies 1 and 3 (Jackson, Riley, &amp; White, 2011; Konstantopoulos, 2011; Viechtbauer, 2010). Eighteen correlations were analyzed (Table 2). The average meta-analytic correlation was </w:t>
      </w:r>
      <w:r>
        <w:rPr>
          <w:b w:val="false"/>
          <w:bCs w:val="false"/>
          <w:i/>
          <w:iCs/>
          <w:sz w:val="24"/>
          <w:szCs w:val="24"/>
        </w:rPr>
        <w:t xml:space="preserve">r </w:t>
      </w:r>
      <w:r>
        <w:rPr>
          <w:b w:val="false"/>
          <w:bCs w:val="false"/>
          <w:i w:val="false"/>
          <w:iCs w:val="false"/>
          <w:sz w:val="24"/>
          <w:szCs w:val="24"/>
        </w:rPr>
        <w:t>= .2</w:t>
      </w:r>
      <w:r>
        <w:rPr>
          <w:b w:val="false"/>
          <w:bCs w:val="false"/>
          <w:i w:val="false"/>
          <w:iCs w:val="false"/>
          <w:sz w:val="24"/>
          <w:szCs w:val="24"/>
        </w:rPr>
        <w:t>2</w:t>
      </w:r>
      <w:r>
        <w:rPr>
          <w:b w:val="false"/>
          <w:bCs w:val="false"/>
          <w:i w:val="false"/>
          <w:iCs w:val="false"/>
          <w:sz w:val="24"/>
          <w:szCs w:val="24"/>
        </w:rPr>
        <w:t xml:space="preserve"> [.1</w:t>
      </w:r>
      <w:r>
        <w:rPr>
          <w:b w:val="false"/>
          <w:bCs w:val="false"/>
          <w:i w:val="false"/>
          <w:iCs w:val="false"/>
          <w:sz w:val="24"/>
          <w:szCs w:val="24"/>
        </w:rPr>
        <w:t>8</w:t>
      </w:r>
      <w:r>
        <w:rPr>
          <w:b w:val="false"/>
          <w:bCs w:val="false"/>
          <w:i w:val="false"/>
          <w:iCs w:val="false"/>
          <w:sz w:val="24"/>
          <w:szCs w:val="24"/>
        </w:rPr>
        <w:t>, .2</w:t>
      </w:r>
      <w:r>
        <w:rPr>
          <w:b w:val="false"/>
          <w:bCs w:val="false"/>
          <w:i w:val="false"/>
          <w:iCs w:val="false"/>
          <w:sz w:val="24"/>
          <w:szCs w:val="24"/>
        </w:rPr>
        <w:t>6</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Table 2</w:t>
      </w:r>
    </w:p>
    <w:p>
      <w:pPr>
        <w:pStyle w:val="Normal"/>
        <w:bidi w:val="0"/>
        <w:spacing w:lineRule="auto" w:line="240" w:before="0" w:after="0"/>
        <w:contextualSpacing/>
        <w:jc w:val="left"/>
        <w:rPr>
          <w:i/>
          <w:i/>
          <w:iCs/>
        </w:rPr>
      </w:pPr>
      <w:r>
        <w:rPr>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i/>
                <w:i/>
                <w:iCs/>
              </w:rPr>
            </w:pPr>
            <w:r>
              <w:rPr>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val="false"/>
                <w:i w:val="false"/>
                <w:iCs w:val="false"/>
              </w:rPr>
            </w:pPr>
            <w:r>
              <w:rPr>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r>
              <w:rPr/>
              <w:t>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w:t>
            </w:r>
            <w:r>
              <w:rPr/>
              <w:t>8</w:t>
            </w:r>
            <w:r>
              <w:rPr/>
              <w:t>, .2</w:t>
            </w:r>
            <w:r>
              <w:rPr/>
              <w:t>6</w:t>
            </w:r>
            <w:r>
              <w:rPr/>
              <w:t>]</w:t>
            </w:r>
          </w:p>
        </w:tc>
      </w:tr>
    </w:tbl>
    <w:p>
      <w:pPr>
        <w:pStyle w:val="Normal"/>
        <w:bidi w:val="0"/>
        <w:spacing w:lineRule="auto" w:line="240" w:before="0" w:after="0"/>
        <w:contextualSpacing/>
        <w:jc w:val="left"/>
        <w:rPr>
          <w:b w:val="false"/>
          <w:b w:val="false"/>
          <w:bCs w:val="false"/>
          <w:i w:val="false"/>
          <w:i w:val="false"/>
          <w:iCs w:val="false"/>
          <w:sz w:val="24"/>
          <w:szCs w:val="24"/>
        </w:rPr>
      </w:pPr>
      <w:r>
        <w:rPr>
          <w:b w:val="false"/>
          <w:bCs w:val="false"/>
          <w:i w:val="false"/>
          <w:iCs w:val="false"/>
          <w:sz w:val="24"/>
          <w:szCs w:val="24"/>
        </w:rPr>
      </w:r>
    </w:p>
    <w:p>
      <w:pPr>
        <w:pStyle w:val="Normal"/>
        <w:bidi w:val="0"/>
        <w:spacing w:lineRule="auto" w:line="240" w:before="0" w:after="0"/>
        <w:contextualSpacing/>
        <w:jc w:val="center"/>
        <w:rPr/>
      </w:pPr>
      <w:r>
        <w:rPr>
          <w:b/>
          <w:bCs/>
          <w:i w:val="false"/>
          <w:iCs w:val="false"/>
          <w:sz w:val="24"/>
          <w:szCs w:val="24"/>
        </w:rPr>
        <w:t>General Discussion</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5825</TotalTime>
  <Application>LibreOffice/5.4.3.2$MacOSX_X86_64 LibreOffice_project/92a7159f7e4af62137622921e809f8546db437e5</Application>
  <Pages>17</Pages>
  <Words>9685</Words>
  <Characters>53242</Characters>
  <CharactersWithSpaces>62783</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2018-01-18T09:27:09Z</dcterms:modified>
  <cp:revision>2650</cp:revision>
  <dc:subject/>
  <dc:title/>
</cp:coreProperties>
</file>