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1: THE UPGRADE IS OFFICIAL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Vietnam is now an Emerging Market.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FTSE Russell has officially reclassified Vietnam from Frontier to Secondary Emerging Market, effective September 21, 2026.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it matters: This is the single biggest validation of Vietnam's economic reforms and capital market development.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result: Puts Vietnam in the same league as China and India, forcing global funds to pay attention.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Significance: Marks a major milestone in Vietnam’s 25-year capital market journey and positions the country for long-term international investment.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LSEG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Reuters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Oct 8, 2025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2: THE CAPITAL INFLOW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$5–6B in foreign investment expected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Passive flows: ~$1B from ETFs tracking FTSE EM indices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flows: ~$4–5B from global funds, strategic positioning ahead of inclusion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Short-term impact: Likely moderate; most major allocations will happen after Sep 2026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Long-term effect: Sustained foreign inflows could reverse years of net outflows (~$8.5B over 3 years), boost liquidity, and increase investor confidence.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VNDirect &amp; HSBC project that the upgrade will enhance Vietnam’s profile, attracting institutional investors like pension funds, which improve market stability.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TheInvestor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3: THE MARKET'S REACTION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1700+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 ~34% YTD, making it SE Asia’s top-performing market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Foreign investors returned, ending a 15-session net selling streak (~VND 234B / $9.6M)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Liquidity surged to VND 33T (~$1.36B)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Analysts note much of the upgrade optimism is already priced in, so future gains depend on corporate earnings, macro stability, and reform progress.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Vietnamnet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Slide 4: Who Wins &amp; What’s Next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Stocks: VIC, VHM, VCB, SSI, MSN, VNM, FPT, HPG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Structural Hurdles: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Foreign ownership limits in sensitive sectors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access for global brokers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data &amp; disclosure gaps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Reforms Ahead: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 Counterparty (CCP), new trading system by 2027 -&gt; safer &amp; smoother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Faster IPOs: 90 → 30 day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market target: 120% of GDP by 2030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Bloomberg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VinaCapital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Upside Potential: VN-Index forward P/E 13x → 15–20% potential gain in 12–18 months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Takeaway: Upgrade is a milestone, but continued reforms are key to attract lasting global capital.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vinacapital.com/wp-content/uploads/2025/10/VinaCapital-Insights-Vietnams-emerging-market-upgrade-Reclassification-expected-in-September-2026.pdf" TargetMode="External"/><Relationship Id="rId10" Type="http://schemas.openxmlformats.org/officeDocument/2006/relationships/hyperlink" Target="https://www.bloomberg.com/news/articles/2025-09-13/vietnam-accelerates-ipos-enables-higher-foreign-stock-ownership" TargetMode="External"/><Relationship Id="rId9" Type="http://schemas.openxmlformats.org/officeDocument/2006/relationships/hyperlink" Target="https://vietnamnet.vn/en/vietnam-s-stock-market-upgraded-may-attract-usd-10b-in-foreign-capital-2450719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seg.com/en/media-centre/press-releases/ftse-russell/2025/ftse-russell-country-classification-september-2025" TargetMode="External"/><Relationship Id="rId7" Type="http://schemas.openxmlformats.org/officeDocument/2006/relationships/hyperlink" Target="https://www.reuters.com/sustainability/boards-policy-regulation/ftse-russell-upgrades-vietnam-emerging-markets-status-2025-10-07" TargetMode="External"/><Relationship Id="rId8" Type="http://schemas.openxmlformats.org/officeDocument/2006/relationships/hyperlink" Target="https://theinvestor.vn/vn-index-valuation-might-offer-15-20-upside-in-next-12-18-months-d17288.html#:~:text=The%20EM%20upgrade%20by%20FTSE,6%20billion%20in%20foreign%20flow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