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ju82hu0k6yw" w:id="0"/>
      <w:bookmarkEnd w:id="0"/>
      <w:r w:rsidDel="00000000" w:rsidR="00000000" w:rsidRPr="00000000">
        <w:rPr>
          <w:rtl w:val="0"/>
        </w:rPr>
        <w:t xml:space="preserve">1. Vietnam’s Railway: From Legacy to Velocity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 spending hit 7% of GDP in 2025 (~USD 36B)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Rail and metro are now national priorities.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99rc9px8yz2" w:id="1"/>
      <w:bookmarkEnd w:id="1"/>
      <w:r w:rsidDel="00000000" w:rsidR="00000000" w:rsidRPr="00000000">
        <w:rPr>
          <w:rtl w:val="0"/>
        </w:rPr>
        <w:t xml:space="preserve">2. Macro snapshot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Vietnam’s railway system, long constrained by aging infrastructure and limited coverage, is now central to the country’s 2030 goals. The government lifted infrastructure spending to 7% of GDP in 2025 (≈USD 36B), nearly 40% higher than last year. Transport (rail + metro) is one of the top two priorities alongside electricity.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today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~3,000 km, &lt;5% electrified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Policy 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Resolution No. 188/2025/QH15 gives Hanoi &amp; HCMC fast‑track powers for metro expansion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2030 vision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25+ new lines, integration with ports and highways, positioning rail as a backbone for green mobility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 Investor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Trade.gov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B-Company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pmkzta7k8xhi" w:id="2"/>
      <w:bookmarkEnd w:id="2"/>
      <w:r w:rsidDel="00000000" w:rsidR="00000000" w:rsidRPr="00000000">
        <w:rPr>
          <w:rtl w:val="0"/>
        </w:rPr>
        <w:t xml:space="preserve">2. Spotlight Project: VinSpeed’s Bến Thành–Cần Giờ High-Speed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Recently approved, VinSpeed’s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VND 102.43 trillion (≈USD 3.9B)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is Vietnam’s first fully private‑led high‑speed corridor.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54 km, 1,435 mm standard gauge, 350 km/h, fully electrified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Land clearance starts Q4 2025, operations by 2028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PPP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85% debt-financed, 15% equity, 70-year concession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Cuts travel time to ~20.3 mins, unlocks tourism in sea-reclaimed Cần 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 Saigon Times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Vinspeed,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Vietnam 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jc w:val="both"/>
        <w:rPr/>
      </w:pPr>
      <w:bookmarkStart w:colFirst="0" w:colLast="0" w:name="_nn5482oqqdjq" w:id="3"/>
      <w:bookmarkEnd w:id="3"/>
      <w:r w:rsidDel="00000000" w:rsidR="00000000" w:rsidRPr="00000000">
        <w:rPr>
          <w:rtl w:val="0"/>
        </w:rPr>
        <w:t xml:space="preserve">3. Sector Growth: From Legacy to Velocity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2.3329425556858"/>
        <w:gridCol w:w="2512.8253223915594"/>
        <w:gridCol w:w="2677.4208675263776"/>
        <w:gridCol w:w="2677.4208675263776"/>
        <w:tblGridChange w:id="0">
          <w:tblGrid>
            <w:gridCol w:w="1492.3329425556858"/>
            <w:gridCol w:w="2512.8253223915594"/>
            <w:gridCol w:w="2677.4208675263776"/>
            <w:gridCol w:w="2677.420867526377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Year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Passenger (million)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Freight (million tons)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Freight (million tonne‑km)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2.85*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3,742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1.77*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3,759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3,600*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4.52*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3,650*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 (proj.)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7.50*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5.10*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3,730*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tons = cargo volume; tonne-km = cargo volume × distance traveled;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= back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re‑rated: Passengers jumped from ~1.15m (2021) to ~7.0m (2024) — clear, sustained demand for better rail services.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Freight is selective: Tonne‑km stayed ~3.6–3.8b while tonnage rose to ~5.0m (2024) — growth is in specific cargo routes (intermodal, LNG).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Event‑driven trade: Near‑term wins are project‑linked (VinSpeed, metro contracts, VNR upgrades); avoid broad exposure until megaproject financing is nailed down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B-Company, Vietnam Net, VN Express, National Statistics Office of Vietnam</w:t>
      </w:r>
    </w:p>
    <w:p w:rsidR="00000000" w:rsidDel="00000000" w:rsidP="00000000" w:rsidRDefault="00000000" w:rsidRPr="00000000" w14:paraId="0000003B">
      <w:pPr>
        <w:pStyle w:val="Heading3"/>
        <w:spacing w:after="240" w:before="240" w:lineRule="auto"/>
        <w:jc w:val="both"/>
        <w:rPr/>
      </w:pPr>
      <w:bookmarkStart w:colFirst="0" w:colLast="0" w:name="_c6c1671i4nzn" w:id="4"/>
      <w:bookmarkEnd w:id="4"/>
      <w:r w:rsidDel="00000000" w:rsidR="00000000" w:rsidRPr="00000000">
        <w:rPr>
          <w:rtl w:val="0"/>
        </w:rPr>
        <w:t xml:space="preserve">4. Who is doing what?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605"/>
        <w:gridCol w:w="1815"/>
        <w:gridCol w:w="1920"/>
        <w:gridCol w:w="2100"/>
        <w:tblGridChange w:id="0">
          <w:tblGrid>
            <w:gridCol w:w="1860"/>
            <w:gridCol w:w="1605"/>
            <w:gridCol w:w="1815"/>
            <w:gridCol w:w="1920"/>
            <w:gridCol w:w="21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VinSpeed Bến Thành–Cần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(VinSpeed)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Shovel‑ready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Land Q4 2025 → Ops 2028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Proof of private HSR delivery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North–South HSR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in principle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Phased; multi‑decade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Transformational if financed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HCMC metro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HCMC / Govt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Fast‑track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2025–2030 (phased)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Last‑mile + integration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VNR freight 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Vietnam Railways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Ongoing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2024–2026 (rollout)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Intermodal, terminals, wagons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Port‑rail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Ports / VNR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Planning / early 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2025–2030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Unlock container flows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Source: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Vietnam News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Diplomat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Vietnam Investment Review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Tuoi 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jc w:val="left"/>
        <w:rPr/>
      </w:pPr>
      <w:bookmarkStart w:colFirst="0" w:colLast="0" w:name="_o2cnnpoeltav" w:id="5"/>
      <w:bookmarkEnd w:id="5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Bottom 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Rail moved from recovery to investable momentum -&gt; private pilots (VinSpeed) + metro fast‑tracks create near‑term catalysts.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to 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Contractors, rolling‑stock suppliers, intermodal terminals, and digital freight platforms tied to confirmed projects.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risks: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Financing, land clearance, and execution delays. Treat exposure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event‑driven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index‑wide.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Watch VinSpeed land clearance (Q4 2025) and metro tender awards for the next buy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Times New Roman" w:cs="Times New Roman" w:eastAsia="Times New Roman" w:hAnsi="Times New Roman"/>
      <w:b w:val="1"/>
      <w:bCs w:val="1"/>
      <w:sz w:val="26"/>
      <w:szCs w:val="26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glish.thesaigontimes.vn/hcmc-approves-vinspeed-to-develop-ben-thanh-can-gio-metro-line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vietnamnews.vn/society/1731376/vinspeed-to-build-high-speed-metro-linking-downtown-hcm-city-to-can-gio.html" TargetMode="External"/><Relationship Id="rId12" Type="http://schemas.openxmlformats.org/officeDocument/2006/relationships/hyperlink" Target="https://en.vietnamplus.vn/vinspeed-approved-as-investor-of-hcm-citys-ben-thanh-can-gio-railway-post333911.vnp#:~:text=VinSpeed%20will%20contribute%20over%2015.36,institutions%20and%20other%20permitted%20source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-company.jp/railway-infrastructure-in-vietnam-and-development-goals/" TargetMode="External"/><Relationship Id="rId15" Type="http://schemas.openxmlformats.org/officeDocument/2006/relationships/hyperlink" Target="https://vir.com.vn/vietnams-rail-transport-sees-impressive-growth-112800.html" TargetMode="External"/><Relationship Id="rId14" Type="http://schemas.openxmlformats.org/officeDocument/2006/relationships/hyperlink" Target="https://thediplomat.com/2025/02/vietnams-national-assembly-approves-8b-rail-link-to-china/" TargetMode="External"/><Relationship Id="rId16" Type="http://schemas.openxmlformats.org/officeDocument/2006/relationships/hyperlink" Target="https://news.tuoitre.vn/vinspeed-registers-60bn-investment-in-vietnams-north-south-high-speed-rail-103250511163535525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investor.vn/vietnams-increased-infrastructure-investment-target-and-its-implications-d14697.html" TargetMode="External"/><Relationship Id="rId7" Type="http://schemas.openxmlformats.org/officeDocument/2006/relationships/hyperlink" Target="https://b-company.jp/railway-infrastructure-in-vietnam-and-development-goals/" TargetMode="External"/><Relationship Id="rId8" Type="http://schemas.openxmlformats.org/officeDocument/2006/relationships/hyperlink" Target="https://www.trade.gov/market-intelligence/vietnam-urban-railways-develop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