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4919E" w14:textId="77777777" w:rsidR="001E6EFF" w:rsidRDefault="00E35696">
      <w:pPr>
        <w:spacing w:before="120" w:after="160"/>
        <w:jc w:val="center"/>
      </w:pPr>
      <w:r>
        <w:rPr>
          <w:b/>
          <w:sz w:val="36"/>
        </w:rPr>
        <w:t>Predictive Analytics for Early Identification of Disputed Accounts Receivable Invoices</w:t>
      </w:r>
    </w:p>
    <w:p w14:paraId="7FB3423F" w14:textId="77777777" w:rsidR="001E6EFF" w:rsidRDefault="00E35696">
      <w:pPr>
        <w:spacing w:after="40"/>
        <w:jc w:val="center"/>
      </w:pPr>
      <w:r>
        <w:rPr>
          <w:sz w:val="22"/>
        </w:rPr>
        <w:t>Mark Clarence P. Balmes</w:t>
      </w:r>
    </w:p>
    <w:p w14:paraId="1B0161CD" w14:textId="77777777" w:rsidR="001E6EFF" w:rsidRDefault="00E35696">
      <w:pPr>
        <w:spacing w:after="40"/>
        <w:jc w:val="center"/>
      </w:pPr>
      <w:r>
        <w:t>College of Computing Education, University of Mindanao</w:t>
      </w:r>
    </w:p>
    <w:p w14:paraId="1F11B324" w14:textId="77777777" w:rsidR="001E6EFF" w:rsidRDefault="00E35696">
      <w:pPr>
        <w:spacing w:after="40"/>
        <w:jc w:val="center"/>
      </w:pPr>
      <w:r>
        <w:rPr>
          <w:i/>
        </w:rPr>
        <w:t>Matina, Davao City, Philippines</w:t>
      </w:r>
    </w:p>
    <w:p w14:paraId="449E2DF5" w14:textId="77777777" w:rsidR="005F4A08" w:rsidRDefault="005F4A08" w:rsidP="005F4A08">
      <w:pPr>
        <w:pStyle w:val="NormalWeb"/>
        <w:spacing w:before="0" w:beforeAutospacing="0" w:after="200" w:afterAutospacing="0"/>
        <w:jc w:val="center"/>
      </w:pPr>
      <w:hyperlink r:id="rId6" w:history="1">
        <w:r>
          <w:rPr>
            <w:rStyle w:val="Hyperlink"/>
            <w:i/>
            <w:iCs/>
            <w:sz w:val="20"/>
            <w:szCs w:val="20"/>
          </w:rPr>
          <w:t>m.balmes.548176@umindanao.edu.ph</w:t>
        </w:r>
      </w:hyperlink>
    </w:p>
    <w:p w14:paraId="7E0B6C44" w14:textId="77777777" w:rsidR="001E6EFF" w:rsidRDefault="001E6EFF">
      <w:pPr>
        <w:sectPr w:rsidR="001E6EFF">
          <w:pgSz w:w="11906" w:h="16838"/>
          <w:pgMar w:top="1077" w:right="850" w:bottom="1077" w:left="850" w:header="720" w:footer="720" w:gutter="0"/>
          <w:cols w:space="720"/>
          <w:docGrid w:linePitch="360"/>
        </w:sectPr>
      </w:pPr>
    </w:p>
    <w:p w14:paraId="17455D40" w14:textId="77777777" w:rsidR="001E6EFF" w:rsidRDefault="00E35696">
      <w:pPr>
        <w:spacing w:before="120" w:after="40"/>
      </w:pPr>
      <w:r>
        <w:rPr>
          <w:b/>
          <w:sz w:val="22"/>
        </w:rPr>
        <w:t>1. Introduction</w:t>
      </w:r>
    </w:p>
    <w:p w14:paraId="5B170D21" w14:textId="77777777" w:rsidR="001E6EFF" w:rsidRDefault="00E35696">
      <w:pPr>
        <w:spacing w:before="120" w:after="40"/>
      </w:pPr>
      <w:r>
        <w:rPr>
          <w:b/>
        </w:rPr>
        <w:t>1.1 Business Problem Description</w:t>
      </w:r>
    </w:p>
    <w:p w14:paraId="1E5FA3A0" w14:textId="39E288CC" w:rsidR="001E6EFF" w:rsidRDefault="00E35696">
      <w:pPr>
        <w:spacing w:after="40"/>
      </w:pPr>
      <w:r>
        <w:t>Trade-credit invoices are a working-capital lever for B2B firms, but disputed invoices stall cash collection, raise Days Sales Outstanding, and consume collect</w:t>
      </w:r>
      <w:r>
        <w:t xml:space="preserve">or time. The shared-service center wants to know </w:t>
      </w:r>
      <w:r>
        <w:t xml:space="preserve">at the moment an invoice is issued </w:t>
      </w:r>
      <w:r>
        <w:t>which customers are likely to dispute, so collectors can intervene proactively instead of reactively chasing aged receivables. Manual rules (country, amount thresholds)</w:t>
      </w:r>
      <w:r>
        <w:t xml:space="preserve"> miss the joint patterns between customer behavior, invoice timing, and channel choice, which is why a predictive model is needed.</w:t>
      </w:r>
    </w:p>
    <w:p w14:paraId="5614F589" w14:textId="77777777" w:rsidR="001E6EFF" w:rsidRDefault="00E35696">
      <w:pPr>
        <w:spacing w:before="120" w:after="40"/>
      </w:pPr>
      <w:r>
        <w:rPr>
          <w:b/>
        </w:rPr>
        <w:t>1.2 Objectives</w:t>
      </w:r>
    </w:p>
    <w:p w14:paraId="7D1C5C63" w14:textId="77777777" w:rsidR="001E6EFF" w:rsidRDefault="00E35696">
      <w:pPr>
        <w:spacing w:after="40"/>
      </w:pPr>
      <w:r>
        <w:t>1.2.1 To define the dispute-prediction problem and its significance to the AR collections workflow.</w:t>
      </w:r>
    </w:p>
    <w:p w14:paraId="44113714" w14:textId="77777777" w:rsidR="001E6EFF" w:rsidRDefault="00E35696">
      <w:pPr>
        <w:spacing w:after="40"/>
      </w:pPr>
      <w:r>
        <w:t>1.2.2 To a</w:t>
      </w:r>
      <w:r>
        <w:t>nalyze the IBM Accounts Receivable dataset and engineer leakage-free features available at invoice issuance.</w:t>
      </w:r>
    </w:p>
    <w:p w14:paraId="637AD082" w14:textId="77777777" w:rsidR="001E6EFF" w:rsidRDefault="00E35696">
      <w:pPr>
        <w:spacing w:after="40"/>
      </w:pPr>
      <w:r>
        <w:t>1.2.3 To frame the task as binary classification and justify the metric choice (precision-oriented for a ranked-risk queue).</w:t>
      </w:r>
    </w:p>
    <w:p w14:paraId="799DE7AF" w14:textId="77777777" w:rsidR="001E6EFF" w:rsidRDefault="00E35696">
      <w:pPr>
        <w:spacing w:after="40"/>
      </w:pPr>
      <w:r>
        <w:t>1.2.4 To compare a hum</w:t>
      </w:r>
      <w:r>
        <w:t>an-implemented Logistic Regression with an AI-recommended Random Forest, then refine and select the final model on performance, stability, and business fit.</w:t>
      </w:r>
    </w:p>
    <w:p w14:paraId="39CE2A52" w14:textId="77777777" w:rsidR="001E6EFF" w:rsidRDefault="00E35696">
      <w:pPr>
        <w:spacing w:before="120" w:after="40"/>
      </w:pPr>
      <w:r>
        <w:rPr>
          <w:b/>
          <w:sz w:val="22"/>
        </w:rPr>
        <w:t>2. Methodology</w:t>
      </w:r>
    </w:p>
    <w:p w14:paraId="353A6E78" w14:textId="77777777" w:rsidR="001E6EFF" w:rsidRDefault="00E35696">
      <w:pPr>
        <w:spacing w:before="120" w:after="40"/>
      </w:pPr>
      <w:r>
        <w:rPr>
          <w:b/>
        </w:rPr>
        <w:t>2.1 Dataset Overview</w:t>
      </w:r>
    </w:p>
    <w:p w14:paraId="1DACD3E7" w14:textId="6C324839" w:rsidR="001E6EFF" w:rsidRDefault="00E35696">
      <w:pPr>
        <w:spacing w:after="40"/>
      </w:pPr>
      <w:r>
        <w:t>Source: IBM Sample</w:t>
      </w:r>
      <w:r>
        <w:t xml:space="preserve"> WA_Fn-UseC_-Accounts-Receivable.csv. Size:</w:t>
      </w:r>
      <w:r>
        <w:t xml:space="preserve"> 2,466 invoices × 12 attributes. Target: Disputed (Yes/No), 22.7% positive class</w:t>
      </w:r>
      <w:r>
        <w:t xml:space="preserve"> moderately imbalanced. Key fields: countryCode, customerID, PaperlessDate, InvoiceNumber, InvoiceDate, DueDate, InvoiceAmount, Disputed, PaperlessBill, DaysToSettle, DaysLat</w:t>
      </w:r>
      <w:r>
        <w:t>e, SettledDate.</w:t>
      </w:r>
    </w:p>
    <w:p w14:paraId="0A4A0463" w14:textId="77777777" w:rsidR="001E6EFF" w:rsidRDefault="00E35696">
      <w:pPr>
        <w:spacing w:before="120" w:after="40"/>
      </w:pPr>
      <w:r>
        <w:rPr>
          <w:b/>
        </w:rPr>
        <w:t>2.2 Data Analysis</w:t>
      </w:r>
    </w:p>
    <w:p w14:paraId="5496F7AC" w14:textId="77777777" w:rsidR="001E6EFF" w:rsidRDefault="00E35696">
      <w:pPr>
        <w:spacing w:after="40"/>
      </w:pPr>
      <w:r>
        <w:t>The raw file has zero missing values and no duplicates. Class distribution: 1,907 No / 559 Yes (22.7% disputed). InvoiceAmount is right-skewed; CreditTermDays (DueDate − InvoiceDate) is discrete and clusters at 30/45/60. S</w:t>
      </w:r>
      <w:r>
        <w:t>ettlement-time fields (DaysToSettle, DaysLate, SettledDate) leak the future and were excluded from training.</w:t>
      </w:r>
    </w:p>
    <w:p w14:paraId="3EA853AE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6DC15726" wp14:editId="2D394A16">
            <wp:extent cx="2926080" cy="1040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lass_miss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1E04" w14:textId="77777777" w:rsidR="001E6EFF" w:rsidRDefault="00E35696">
      <w:pPr>
        <w:spacing w:after="120"/>
        <w:jc w:val="center"/>
      </w:pPr>
      <w:r>
        <w:rPr>
          <w:i/>
          <w:sz w:val="18"/>
        </w:rPr>
        <w:t>Figure A. Target class distribution and missing-value audit (0 missing across all columns).</w:t>
      </w:r>
    </w:p>
    <w:p w14:paraId="254F5732" w14:textId="408B2CD4" w:rsidR="001E6EFF" w:rsidRDefault="00E35696">
      <w:pPr>
        <w:spacing w:after="40"/>
      </w:pPr>
      <w:r>
        <w:t xml:space="preserve">22.7% positive class confirms moderate </w:t>
      </w:r>
      <w:r>
        <w:t>imbalance and justifies class_weight='balanced' and precision-oriented evaluation. The right panel verifies a clean dataset</w:t>
      </w:r>
      <w:r>
        <w:t xml:space="preserve"> no imputation required at the raw stage.</w:t>
      </w:r>
    </w:p>
    <w:p w14:paraId="6FD0E789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09DBFC72" wp14:editId="57705BB5">
            <wp:extent cx="2926080" cy="1039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invoice_am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72D3" w14:textId="77777777" w:rsidR="001E6EFF" w:rsidRDefault="00E35696">
      <w:pPr>
        <w:spacing w:after="120"/>
        <w:jc w:val="center"/>
      </w:pPr>
      <w:r>
        <w:rPr>
          <w:i/>
          <w:sz w:val="18"/>
        </w:rPr>
        <w:t>Figure B. InvoiceAmount distribution and dispute split.</w:t>
      </w:r>
    </w:p>
    <w:p w14:paraId="4EF4CC76" w14:textId="38AB9B9E" w:rsidR="001E6EFF" w:rsidRDefault="00E35696">
      <w:pPr>
        <w:spacing w:after="40"/>
      </w:pPr>
      <w:r>
        <w:t>Invoice</w:t>
      </w:r>
      <w:r w:rsidR="005F4A08">
        <w:t xml:space="preserve"> </w:t>
      </w:r>
      <w:r>
        <w:t>Amount is right-s</w:t>
      </w:r>
      <w:r>
        <w:t>kewed and disputed invoices skew toward larger amounts</w:t>
      </w:r>
      <w:r w:rsidR="005F4A08">
        <w:t xml:space="preserve"> </w:t>
      </w:r>
      <w:r>
        <w:t>strong signal for the model and motivation to keep this feature.</w:t>
      </w:r>
    </w:p>
    <w:p w14:paraId="2054B378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0C7B14BC" wp14:editId="68D72BF0">
            <wp:extent cx="2743200" cy="2440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o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CBF2" w14:textId="77777777" w:rsidR="001E6EFF" w:rsidRDefault="00E35696">
      <w:pPr>
        <w:spacing w:after="120"/>
        <w:jc w:val="center"/>
      </w:pPr>
      <w:r>
        <w:rPr>
          <w:i/>
          <w:sz w:val="18"/>
        </w:rPr>
        <w:t>Figure C. Correlation matrix on raw numeric fields.</w:t>
      </w:r>
    </w:p>
    <w:p w14:paraId="7E1DFC72" w14:textId="0355E56D" w:rsidR="001E6EFF" w:rsidRDefault="00E35696">
      <w:pPr>
        <w:spacing w:after="40"/>
      </w:pPr>
      <w:r>
        <w:t xml:space="preserve">low pair-wise correlation between predictor candidates </w:t>
      </w:r>
      <w:r>
        <w:t>no severe multic</w:t>
      </w:r>
      <w:r>
        <w:t>ollinearity, so all candidate features can enter the model.</w:t>
      </w:r>
    </w:p>
    <w:p w14:paraId="114F3CC6" w14:textId="77777777" w:rsidR="005F4A08" w:rsidRDefault="005F4A08">
      <w:pPr>
        <w:spacing w:after="40"/>
      </w:pPr>
    </w:p>
    <w:p w14:paraId="5F6A933B" w14:textId="77777777" w:rsidR="001E6EFF" w:rsidRDefault="00E35696">
      <w:pPr>
        <w:spacing w:before="120" w:after="40"/>
      </w:pPr>
      <w:r>
        <w:rPr>
          <w:b/>
        </w:rPr>
        <w:lastRenderedPageBreak/>
        <w:t>2.3 Data Preparation and Feature Engineering</w:t>
      </w:r>
    </w:p>
    <w:p w14:paraId="169F14FB" w14:textId="77777777" w:rsidR="001E6EFF" w:rsidRDefault="00E35696">
      <w:pPr>
        <w:spacing w:after="40"/>
      </w:pPr>
      <w:r>
        <w:t xml:space="preserve">Six leakage-free features were derived from issuance-time data: (1) CreditTermDays, (2) InvoiceMonth, (3) InvoiceDayOfWeek, (4) </w:t>
      </w:r>
      <w:r>
        <w:t>InvoiceQuarter, (5) DaysSincePaperless, (6) CustomerFreq (count of past invoices per customer). PaperlessBill was label-encoded. Numerical features were standardized for Logistic Regression only. The dataset was split 80/20 with stratification on Disputed.</w:t>
      </w:r>
    </w:p>
    <w:p w14:paraId="6FF48CCA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21BD8682" wp14:editId="7EDDE76A">
            <wp:extent cx="3017520" cy="8404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_engineered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8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16A6" w14:textId="77777777" w:rsidR="001E6EFF" w:rsidRDefault="00E35696">
      <w:pPr>
        <w:spacing w:after="120"/>
        <w:jc w:val="center"/>
      </w:pPr>
      <w:r>
        <w:rPr>
          <w:i/>
          <w:sz w:val="18"/>
        </w:rPr>
        <w:t>Figure D. Distributions of engineered features — CreditTermDays, DaysSincePaperless, CustomerFreq.</w:t>
      </w:r>
    </w:p>
    <w:p w14:paraId="4AD39C1F" w14:textId="3CDAB974" w:rsidR="001E6EFF" w:rsidRDefault="00E35696">
      <w:pPr>
        <w:spacing w:after="40"/>
      </w:pPr>
      <w:proofErr w:type="spellStart"/>
      <w:r>
        <w:t>CreditTermDays</w:t>
      </w:r>
      <w:proofErr w:type="spellEnd"/>
      <w:r>
        <w:t xml:space="preserve"> clusters at the expected 30/45/60-day terms; DaysSincePaperless and CustomerFreq show meaningful spread across c</w:t>
      </w:r>
      <w:r>
        <w:t>ustomers</w:t>
      </w:r>
      <w:r>
        <w:t xml:space="preserve"> the engineered fields are well-defined and non-degenerate.</w:t>
      </w:r>
    </w:p>
    <w:p w14:paraId="3319257B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2203C492" wp14:editId="0598E0A5">
            <wp:extent cx="3017520" cy="840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_target_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8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BFD1" w14:textId="77777777" w:rsidR="001E6EFF" w:rsidRDefault="00E35696">
      <w:pPr>
        <w:spacing w:after="120"/>
        <w:jc w:val="center"/>
      </w:pPr>
      <w:r>
        <w:rPr>
          <w:i/>
          <w:sz w:val="18"/>
        </w:rPr>
        <w:t>Figure E. Engineered features versus dispute outcome.</w:t>
      </w:r>
    </w:p>
    <w:p w14:paraId="652E907C" w14:textId="2E096990" w:rsidR="001E6EFF" w:rsidRDefault="00E35696">
      <w:pPr>
        <w:spacing w:after="40"/>
      </w:pPr>
      <w:r>
        <w:t xml:space="preserve">disputed invoices have visibly different CreditTermDays and CustomerFreq profiles, and the monthly </w:t>
      </w:r>
      <w:r>
        <w:t>dispute rate varies by ~10 pp</w:t>
      </w:r>
      <w:r w:rsidR="005F4A08">
        <w:t xml:space="preserve"> </w:t>
      </w:r>
      <w:r>
        <w:t>the new features carry real signal, not just noise.</w:t>
      </w:r>
    </w:p>
    <w:p w14:paraId="4669E3E7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54EED7FB" wp14:editId="69E0A14E">
            <wp:extent cx="2926080" cy="2598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_corr_ref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DC3F" w14:textId="77777777" w:rsidR="001E6EFF" w:rsidRDefault="00E35696">
      <w:pPr>
        <w:spacing w:after="120"/>
        <w:jc w:val="center"/>
      </w:pPr>
      <w:r>
        <w:rPr>
          <w:i/>
          <w:sz w:val="18"/>
        </w:rPr>
        <w:t>Figure F. Correlation heat-map of the full refined feature matrix (with target).</w:t>
      </w:r>
    </w:p>
    <w:p w14:paraId="1FFD10DC" w14:textId="77777777" w:rsidR="005F4A08" w:rsidRDefault="005F4A08">
      <w:pPr>
        <w:spacing w:after="40"/>
      </w:pPr>
    </w:p>
    <w:p w14:paraId="24DEA67F" w14:textId="77777777" w:rsidR="005F4A08" w:rsidRDefault="005F4A08">
      <w:pPr>
        <w:spacing w:after="40"/>
      </w:pPr>
    </w:p>
    <w:p w14:paraId="1489A319" w14:textId="77777777" w:rsidR="005F4A08" w:rsidRDefault="005F4A08">
      <w:pPr>
        <w:spacing w:after="40"/>
      </w:pPr>
    </w:p>
    <w:p w14:paraId="57065A17" w14:textId="5B101F32" w:rsidR="001E6EFF" w:rsidRDefault="00E35696">
      <w:pPr>
        <w:spacing w:after="40"/>
      </w:pPr>
      <w:r>
        <w:t>refined features remain weakly correlated with each other while several show non-t</w:t>
      </w:r>
      <w:r>
        <w:t xml:space="preserve">rivial </w:t>
      </w:r>
      <w:proofErr w:type="gramStart"/>
      <w:r>
        <w:t>correlation</w:t>
      </w:r>
      <w:proofErr w:type="gramEnd"/>
      <w:r>
        <w:t xml:space="preserve"> with Disputed</w:t>
      </w:r>
      <w:r w:rsidR="005F4A08">
        <w:t xml:space="preserve"> </w:t>
      </w:r>
      <w:r>
        <w:t>supporting their inclusion and the use of SelectKBest to keep the most informative subset.</w:t>
      </w:r>
    </w:p>
    <w:p w14:paraId="29BB1234" w14:textId="77777777" w:rsidR="001E6EFF" w:rsidRDefault="00E35696">
      <w:pPr>
        <w:spacing w:before="120" w:after="40"/>
      </w:pPr>
      <w:r>
        <w:rPr>
          <w:b/>
        </w:rPr>
        <w:t>2.4 Predictive Modeling Approaches</w:t>
      </w:r>
    </w:p>
    <w:p w14:paraId="08B6134F" w14:textId="77777777" w:rsidR="001E6EFF" w:rsidRDefault="00E35696">
      <w:pPr>
        <w:spacing w:before="120" w:after="40"/>
      </w:pPr>
      <w:r>
        <w:rPr>
          <w:b/>
          <w:i/>
        </w:rPr>
        <w:t>2.4.1 Human-Implemented Model</w:t>
      </w:r>
    </w:p>
    <w:p w14:paraId="4C0F7CF0" w14:textId="5C887FDB" w:rsidR="001E6EFF" w:rsidRDefault="00E35696">
      <w:pPr>
        <w:spacing w:after="40"/>
      </w:pPr>
      <w:r>
        <w:t>Logistic Regression was selected for interpretability</w:t>
      </w:r>
      <w:r>
        <w:t xml:space="preserve"> collector</w:t>
      </w:r>
      <w:r>
        <w:t>s need to know why an invoice was flagged. Its coefficients give a direct, signed contribution per feature and the model is robust on small, mixed-type tabular data.</w:t>
      </w:r>
    </w:p>
    <w:p w14:paraId="0938E8B8" w14:textId="77777777" w:rsidR="001E6EFF" w:rsidRDefault="00E35696">
      <w:pPr>
        <w:spacing w:before="120" w:after="40"/>
      </w:pPr>
      <w:r>
        <w:rPr>
          <w:b/>
          <w:i/>
        </w:rPr>
        <w:t>2.4.2 AI-Recommended Model</w:t>
      </w:r>
    </w:p>
    <w:p w14:paraId="6744930A" w14:textId="77777777" w:rsidR="001E6EFF" w:rsidRDefault="00E35696">
      <w:pPr>
        <w:spacing w:after="40"/>
      </w:pPr>
      <w:r>
        <w:t>Random Forest was recommended by the AI tool for its ability to</w:t>
      </w:r>
      <w:r>
        <w:t xml:space="preserve"> capture non-linear interactions (e.g., Country × Amount × CustomerFreq) without manual feature crosses, and for built-in feature-importance reporting that supports business explanation.</w:t>
      </w:r>
    </w:p>
    <w:p w14:paraId="4CC9C950" w14:textId="77777777" w:rsidR="001E6EFF" w:rsidRDefault="00E35696">
      <w:pPr>
        <w:spacing w:before="120" w:after="40"/>
      </w:pPr>
      <w:r>
        <w:rPr>
          <w:b/>
        </w:rPr>
        <w:t>2.5 Model Comparison and Initial Evaluation</w:t>
      </w:r>
    </w:p>
    <w:p w14:paraId="743CE45E" w14:textId="78349E8A" w:rsidR="001E6EFF" w:rsidRDefault="00E35696">
      <w:pPr>
        <w:spacing w:after="40"/>
      </w:pPr>
      <w:r>
        <w:t xml:space="preserve">Both models were trained </w:t>
      </w:r>
      <w:r>
        <w:t>on identical features. Evaluation metrics: Accuracy, Precision, Recall, F1, and ROC-AUC. Precision is the primary business metric</w:t>
      </w:r>
      <w:r>
        <w:t xml:space="preserve"> collectors have limited capacity, so flagged invoices must be truly disputable to avoid wasted outreach. ROC-AUC measures th</w:t>
      </w:r>
      <w:r>
        <w:t>reshold-independent ranking quality.</w:t>
      </w:r>
    </w:p>
    <w:p w14:paraId="5F11CFF9" w14:textId="77777777" w:rsidR="001E6EFF" w:rsidRDefault="00E35696">
      <w:pPr>
        <w:spacing w:before="120" w:after="40"/>
      </w:pPr>
      <w:r>
        <w:rPr>
          <w:b/>
        </w:rPr>
        <w:t>2.6 Model Refinement and Performance Improvement</w:t>
      </w:r>
    </w:p>
    <w:p w14:paraId="49647DF7" w14:textId="7530E023" w:rsidR="001E6EFF" w:rsidRDefault="00E35696">
      <w:pPr>
        <w:spacing w:after="40"/>
      </w:pPr>
      <w:r>
        <w:t xml:space="preserve">Three refinements were applied: (a) SelectKBest (ANOVA F-test) to drop weak features; (b) GridSearchCV with 5-fold StratifiedKFold to tune Logistic Regression (C, k) on </w:t>
      </w:r>
      <w:r>
        <w:t>F1 and Random Forest (n_estimators, max_depth, min_samples_split, k) on Precision; (c) probability-threshold calibration via the precision</w:t>
      </w:r>
      <w:r w:rsidR="005F4A08">
        <w:t xml:space="preserve"> </w:t>
      </w:r>
      <w:r>
        <w:t>recall curve, with the Random Forest threshold moved from 0.50 to 0.294 to hit a target precision of 0.50 while prese</w:t>
      </w:r>
      <w:r>
        <w:t>rving recall. The refined Random Forest is the final model</w:t>
      </w:r>
      <w:r>
        <w:t xml:space="preserve"> it dominates every metric except recall (where LR is higher but with very low precision) and offers the best ranking quality (ROC-AUC 0.746).</w:t>
      </w:r>
    </w:p>
    <w:p w14:paraId="2F4145E5" w14:textId="77777777" w:rsidR="001E6EFF" w:rsidRDefault="00E35696">
      <w:pPr>
        <w:spacing w:before="120" w:after="40"/>
      </w:pPr>
      <w:r>
        <w:rPr>
          <w:b/>
          <w:sz w:val="22"/>
        </w:rPr>
        <w:t>3. Results</w:t>
      </w:r>
    </w:p>
    <w:p w14:paraId="762341DF" w14:textId="77777777" w:rsidR="001E6EFF" w:rsidRDefault="00E35696">
      <w:pPr>
        <w:spacing w:after="40"/>
      </w:pPr>
      <w:r>
        <w:t xml:space="preserve">Table I summarizes the four models on the </w:t>
      </w:r>
      <w:r>
        <w:t>held-out test set (20% stratified). The refined Random Forest is the best-performing model on Accuracy, Precision, F1, and ROC-AUC.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7"/>
        <w:gridCol w:w="958"/>
        <w:gridCol w:w="942"/>
        <w:gridCol w:w="772"/>
        <w:gridCol w:w="772"/>
        <w:gridCol w:w="772"/>
      </w:tblGrid>
      <w:tr w:rsidR="001E6EFF" w14:paraId="15214211" w14:textId="77777777" w:rsidTr="001E6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A3067E" w14:textId="77777777" w:rsidR="001E6EFF" w:rsidRDefault="00E35696">
            <w:r>
              <w:rPr>
                <w:sz w:val="16"/>
              </w:rPr>
              <w:t>Model</w:t>
            </w:r>
          </w:p>
        </w:tc>
        <w:tc>
          <w:tcPr>
            <w:tcW w:w="1701" w:type="dxa"/>
          </w:tcPr>
          <w:p w14:paraId="263CDAA1" w14:textId="77777777" w:rsidR="001E6EFF" w:rsidRDefault="00E356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Accuracy</w:t>
            </w:r>
          </w:p>
        </w:tc>
        <w:tc>
          <w:tcPr>
            <w:tcW w:w="1701" w:type="dxa"/>
          </w:tcPr>
          <w:p w14:paraId="079C1793" w14:textId="77777777" w:rsidR="001E6EFF" w:rsidRDefault="00E356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Precision</w:t>
            </w:r>
          </w:p>
        </w:tc>
        <w:tc>
          <w:tcPr>
            <w:tcW w:w="1701" w:type="dxa"/>
          </w:tcPr>
          <w:p w14:paraId="0A412804" w14:textId="77777777" w:rsidR="001E6EFF" w:rsidRDefault="00E356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Recall</w:t>
            </w:r>
          </w:p>
        </w:tc>
        <w:tc>
          <w:tcPr>
            <w:tcW w:w="1701" w:type="dxa"/>
          </w:tcPr>
          <w:p w14:paraId="00A8CB1E" w14:textId="77777777" w:rsidR="001E6EFF" w:rsidRDefault="00E356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F1</w:t>
            </w:r>
          </w:p>
        </w:tc>
        <w:tc>
          <w:tcPr>
            <w:tcW w:w="1701" w:type="dxa"/>
          </w:tcPr>
          <w:p w14:paraId="6684F113" w14:textId="77777777" w:rsidR="001E6EFF" w:rsidRDefault="00E356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ROC-AUC</w:t>
            </w:r>
          </w:p>
        </w:tc>
      </w:tr>
      <w:tr w:rsidR="001E6EFF" w14:paraId="39E93C22" w14:textId="77777777" w:rsidTr="001E6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F05527" w14:textId="77777777" w:rsidR="001E6EFF" w:rsidRDefault="00E35696">
            <w:r>
              <w:rPr>
                <w:sz w:val="16"/>
              </w:rPr>
              <w:t>LR — Baseline</w:t>
            </w:r>
          </w:p>
        </w:tc>
        <w:tc>
          <w:tcPr>
            <w:tcW w:w="1701" w:type="dxa"/>
          </w:tcPr>
          <w:p w14:paraId="19FF7DE1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0.5870</w:t>
            </w:r>
          </w:p>
        </w:tc>
        <w:tc>
          <w:tcPr>
            <w:tcW w:w="1701" w:type="dxa"/>
          </w:tcPr>
          <w:p w14:paraId="798CE9DD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0.2946</w:t>
            </w:r>
          </w:p>
        </w:tc>
        <w:tc>
          <w:tcPr>
            <w:tcW w:w="1701" w:type="dxa"/>
          </w:tcPr>
          <w:p w14:paraId="2DF4CE47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0.5893</w:t>
            </w:r>
          </w:p>
        </w:tc>
        <w:tc>
          <w:tcPr>
            <w:tcW w:w="1701" w:type="dxa"/>
          </w:tcPr>
          <w:p w14:paraId="239A5189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0.3929</w:t>
            </w:r>
          </w:p>
        </w:tc>
        <w:tc>
          <w:tcPr>
            <w:tcW w:w="1701" w:type="dxa"/>
          </w:tcPr>
          <w:p w14:paraId="7236C324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0.6192</w:t>
            </w:r>
          </w:p>
        </w:tc>
      </w:tr>
      <w:tr w:rsidR="001E6EFF" w14:paraId="24A1BD9F" w14:textId="77777777" w:rsidTr="001E6E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B4A829" w14:textId="77777777" w:rsidR="001E6EFF" w:rsidRDefault="00E35696">
            <w:r>
              <w:rPr>
                <w:sz w:val="16"/>
              </w:rPr>
              <w:t>RF — Baseline</w:t>
            </w:r>
          </w:p>
        </w:tc>
        <w:tc>
          <w:tcPr>
            <w:tcW w:w="1701" w:type="dxa"/>
          </w:tcPr>
          <w:p w14:paraId="04A41580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0.7126</w:t>
            </w:r>
          </w:p>
        </w:tc>
        <w:tc>
          <w:tcPr>
            <w:tcW w:w="1701" w:type="dxa"/>
          </w:tcPr>
          <w:p w14:paraId="25D9727E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0.3707</w:t>
            </w:r>
          </w:p>
        </w:tc>
        <w:tc>
          <w:tcPr>
            <w:tcW w:w="1701" w:type="dxa"/>
          </w:tcPr>
          <w:p w14:paraId="220A1EF2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0.3839</w:t>
            </w:r>
          </w:p>
        </w:tc>
        <w:tc>
          <w:tcPr>
            <w:tcW w:w="1701" w:type="dxa"/>
          </w:tcPr>
          <w:p w14:paraId="7951F537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0.3772</w:t>
            </w:r>
          </w:p>
        </w:tc>
        <w:tc>
          <w:tcPr>
            <w:tcW w:w="1701" w:type="dxa"/>
          </w:tcPr>
          <w:p w14:paraId="58392DE0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0.6200</w:t>
            </w:r>
          </w:p>
        </w:tc>
      </w:tr>
      <w:tr w:rsidR="001E6EFF" w14:paraId="6A7FA533" w14:textId="77777777" w:rsidTr="001E6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F44F08" w14:textId="77777777" w:rsidR="001E6EFF" w:rsidRDefault="00E35696">
            <w:r>
              <w:rPr>
                <w:sz w:val="16"/>
              </w:rPr>
              <w:t>LR — Refined</w:t>
            </w:r>
          </w:p>
        </w:tc>
        <w:tc>
          <w:tcPr>
            <w:tcW w:w="1701" w:type="dxa"/>
          </w:tcPr>
          <w:p w14:paraId="1688D0AF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0.5931</w:t>
            </w:r>
          </w:p>
        </w:tc>
        <w:tc>
          <w:tcPr>
            <w:tcW w:w="1701" w:type="dxa"/>
          </w:tcPr>
          <w:p w14:paraId="19BA76E9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0.2986</w:t>
            </w:r>
          </w:p>
        </w:tc>
        <w:tc>
          <w:tcPr>
            <w:tcW w:w="1701" w:type="dxa"/>
          </w:tcPr>
          <w:p w14:paraId="21707800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0.5893</w:t>
            </w:r>
          </w:p>
        </w:tc>
        <w:tc>
          <w:tcPr>
            <w:tcW w:w="1701" w:type="dxa"/>
          </w:tcPr>
          <w:p w14:paraId="72B86A0B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0.3964</w:t>
            </w:r>
          </w:p>
        </w:tc>
        <w:tc>
          <w:tcPr>
            <w:tcW w:w="1701" w:type="dxa"/>
          </w:tcPr>
          <w:p w14:paraId="27C9243B" w14:textId="77777777" w:rsidR="001E6EFF" w:rsidRDefault="00E35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0.6151</w:t>
            </w:r>
          </w:p>
        </w:tc>
      </w:tr>
      <w:tr w:rsidR="001E6EFF" w14:paraId="5F16DB0F" w14:textId="77777777" w:rsidTr="001E6E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F19774" w14:textId="77777777" w:rsidR="001E6EFF" w:rsidRDefault="00E35696">
            <w:r>
              <w:rPr>
                <w:sz w:val="16"/>
              </w:rPr>
              <w:t>RF — Refined</w:t>
            </w:r>
          </w:p>
        </w:tc>
        <w:tc>
          <w:tcPr>
            <w:tcW w:w="1701" w:type="dxa"/>
          </w:tcPr>
          <w:p w14:paraId="784C15A1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0.7713</w:t>
            </w:r>
          </w:p>
        </w:tc>
        <w:tc>
          <w:tcPr>
            <w:tcW w:w="1701" w:type="dxa"/>
          </w:tcPr>
          <w:p w14:paraId="19E6AF30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0.4946</w:t>
            </w:r>
          </w:p>
        </w:tc>
        <w:tc>
          <w:tcPr>
            <w:tcW w:w="1701" w:type="dxa"/>
          </w:tcPr>
          <w:p w14:paraId="41DB74EB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0.4107</w:t>
            </w:r>
          </w:p>
        </w:tc>
        <w:tc>
          <w:tcPr>
            <w:tcW w:w="1701" w:type="dxa"/>
          </w:tcPr>
          <w:p w14:paraId="1B2122DB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0.4488</w:t>
            </w:r>
          </w:p>
        </w:tc>
        <w:tc>
          <w:tcPr>
            <w:tcW w:w="1701" w:type="dxa"/>
          </w:tcPr>
          <w:p w14:paraId="6142E9F9" w14:textId="77777777" w:rsidR="001E6EFF" w:rsidRDefault="00E356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0.7460</w:t>
            </w:r>
          </w:p>
        </w:tc>
      </w:tr>
    </w:tbl>
    <w:p w14:paraId="0ADEB3FB" w14:textId="77777777" w:rsidR="001E6EFF" w:rsidRDefault="00E35696">
      <w:pPr>
        <w:spacing w:after="120"/>
        <w:jc w:val="center"/>
      </w:pPr>
      <w:r>
        <w:rPr>
          <w:i/>
          <w:sz w:val="18"/>
        </w:rPr>
        <w:t>Table I. Test-set performance of baseline vs refined models.</w:t>
      </w:r>
    </w:p>
    <w:p w14:paraId="1CAB5C62" w14:textId="77777777" w:rsidR="001E6EFF" w:rsidRDefault="00E3569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992778" wp14:editId="338C0348">
            <wp:extent cx="2926080" cy="13153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D7EA" w14:textId="60D14FBA" w:rsidR="001E6EFF" w:rsidRDefault="00E35696">
      <w:pPr>
        <w:spacing w:after="120"/>
        <w:jc w:val="center"/>
      </w:pPr>
      <w:r>
        <w:rPr>
          <w:i/>
          <w:sz w:val="18"/>
        </w:rPr>
        <w:t>Figure 1. Baseline vs Refined</w:t>
      </w:r>
      <w:r>
        <w:rPr>
          <w:i/>
          <w:sz w:val="18"/>
        </w:rPr>
        <w:t xml:space="preserve"> metric-wise comparison.</w:t>
      </w:r>
    </w:p>
    <w:p w14:paraId="2F7F34AE" w14:textId="77777777" w:rsidR="001E6EFF" w:rsidRDefault="00E35696">
      <w:pPr>
        <w:spacing w:after="40"/>
      </w:pPr>
      <w:r>
        <w:t xml:space="preserve">The </w:t>
      </w:r>
      <w:r>
        <w:t>Refined Random Forest lifts Precision from 0.371 to 0.495 (+33%) and ROC-AUC from 0.620 to 0.746 (+20%) versus its baseline. Recall dips slightly (0.384 → 0.411 after threshold calibration, still positive), which is acceptable because the collections queue</w:t>
      </w:r>
      <w:r>
        <w:t xml:space="preserve"> is precision-bound.</w:t>
      </w:r>
    </w:p>
    <w:p w14:paraId="3E14B6AD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1D66AF16" wp14:editId="07578EE0">
            <wp:extent cx="2926080" cy="28336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EEB" w14:textId="77777777" w:rsidR="001E6EFF" w:rsidRDefault="00E35696">
      <w:pPr>
        <w:spacing w:after="120"/>
        <w:jc w:val="center"/>
      </w:pPr>
      <w:r>
        <w:rPr>
          <w:i/>
          <w:sz w:val="18"/>
        </w:rPr>
        <w:t>Figure 2. Confusion matrices — baseline vs refined (LR top, RF bottom).</w:t>
      </w:r>
    </w:p>
    <w:p w14:paraId="0B64AF92" w14:textId="7F4BD3D9" w:rsidR="001E6EFF" w:rsidRDefault="00E35696">
      <w:pPr>
        <w:spacing w:after="40"/>
      </w:pPr>
      <w:r>
        <w:t>Refined RF correctly catches 46 of 112 disputes while raising True-Negatives from 309 to 335 and lowering False-Positives from 73 to 47</w:t>
      </w:r>
      <w:r>
        <w:t xml:space="preserve"> exactly the trade-off c</w:t>
      </w:r>
      <w:r>
        <w:t>ollectors want.</w:t>
      </w:r>
    </w:p>
    <w:p w14:paraId="30B0317B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4510DD79" wp14:editId="330D4A58">
            <wp:extent cx="2743200" cy="2345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136C" w14:textId="5211DFC9" w:rsidR="001E6EFF" w:rsidRDefault="00E35696">
      <w:pPr>
        <w:spacing w:after="120"/>
        <w:jc w:val="center"/>
      </w:pPr>
      <w:r>
        <w:rPr>
          <w:i/>
          <w:sz w:val="18"/>
        </w:rPr>
        <w:t>Figure 3. ROC curves</w:t>
      </w:r>
      <w:r>
        <w:rPr>
          <w:i/>
          <w:sz w:val="18"/>
        </w:rPr>
        <w:t xml:space="preserve"> Refined RF dominates all other models.</w:t>
      </w:r>
    </w:p>
    <w:p w14:paraId="77610AF8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1FE9CE37" wp14:editId="6798C8F4">
            <wp:extent cx="2926080" cy="1814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CC4B" w14:textId="12DAB335" w:rsidR="001E6EFF" w:rsidRDefault="00E35696">
      <w:pPr>
        <w:spacing w:after="120"/>
        <w:jc w:val="center"/>
      </w:pPr>
      <w:r>
        <w:rPr>
          <w:i/>
          <w:sz w:val="18"/>
        </w:rPr>
        <w:t>Figure 4. Refined Random Forest</w:t>
      </w:r>
      <w:r>
        <w:rPr>
          <w:i/>
          <w:sz w:val="18"/>
        </w:rPr>
        <w:t xml:space="preserve"> feature importance.</w:t>
      </w:r>
    </w:p>
    <w:p w14:paraId="4420515B" w14:textId="71CFDC08" w:rsidR="001E6EFF" w:rsidRDefault="00E35696">
      <w:pPr>
        <w:spacing w:after="40"/>
      </w:pPr>
      <w:r>
        <w:t>InvoiceAmount, CustomerFreq, and countryCode together account for ~71% of the model's predictive signal</w:t>
      </w:r>
      <w:r>
        <w:t xml:space="preserve"> large </w:t>
      </w:r>
      <w:r>
        <w:t>invoices, less-frequent customers, and certain countries dominate dispute risk.</w:t>
      </w:r>
    </w:p>
    <w:p w14:paraId="26DDF06B" w14:textId="77777777" w:rsidR="001E6EFF" w:rsidRDefault="00E35696">
      <w:pPr>
        <w:spacing w:before="80" w:after="40"/>
        <w:jc w:val="center"/>
      </w:pPr>
      <w:r>
        <w:rPr>
          <w:noProof/>
        </w:rPr>
        <w:drawing>
          <wp:inline distT="0" distB="0" distL="0" distR="0" wp14:anchorId="6B622296" wp14:editId="2ED5CE8D">
            <wp:extent cx="2926080" cy="1814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2FA" w14:textId="346FF880" w:rsidR="001E6EFF" w:rsidRDefault="00E35696">
      <w:pPr>
        <w:spacing w:after="120"/>
        <w:jc w:val="center"/>
      </w:pPr>
      <w:r>
        <w:rPr>
          <w:i/>
          <w:sz w:val="18"/>
        </w:rPr>
        <w:t>Figure 5. Refined Logistic Regression</w:t>
      </w:r>
      <w:r>
        <w:rPr>
          <w:i/>
          <w:sz w:val="18"/>
        </w:rPr>
        <w:t xml:space="preserve"> standardized coefficients.</w:t>
      </w:r>
    </w:p>
    <w:p w14:paraId="1C584A2E" w14:textId="3DC2A9DA" w:rsidR="005F4A08" w:rsidRDefault="00E35696">
      <w:pPr>
        <w:spacing w:after="40"/>
      </w:pPr>
      <w:r>
        <w:t>LR coefficients confirm the same direction: InvoiceAmount, InvoiceMonth and countryCode push risk up; Paper</w:t>
      </w:r>
      <w:r>
        <w:t>lessBill and DaysSincePaperless push risk down (long-time paperless customers dispute less).</w:t>
      </w:r>
    </w:p>
    <w:p w14:paraId="6FFAE097" w14:textId="77777777" w:rsidR="005F4A08" w:rsidRDefault="005F4A08">
      <w:pPr>
        <w:spacing w:after="40"/>
      </w:pPr>
    </w:p>
    <w:p w14:paraId="26BFBEBC" w14:textId="77777777" w:rsidR="001E6EFF" w:rsidRDefault="00E35696">
      <w:pPr>
        <w:spacing w:before="120" w:after="40"/>
      </w:pPr>
      <w:r>
        <w:rPr>
          <w:b/>
        </w:rPr>
        <w:t>3.1 Discussion</w:t>
      </w:r>
    </w:p>
    <w:p w14:paraId="2504FE93" w14:textId="77777777" w:rsidR="001E6EFF" w:rsidRDefault="00E35696">
      <w:pPr>
        <w:spacing w:before="80" w:after="40"/>
      </w:pPr>
      <w:r>
        <w:rPr>
          <w:b/>
        </w:rPr>
        <w:t>Model Performance.</w:t>
      </w:r>
    </w:p>
    <w:p w14:paraId="4BA723CB" w14:textId="77777777" w:rsidR="001E6EFF" w:rsidRDefault="00E35696">
      <w:pPr>
        <w:spacing w:after="40"/>
      </w:pPr>
      <w:r>
        <w:t xml:space="preserve">The Refined Random Forest is the strongest model: ROC-AUC 0.746 is well above the 0.62 baselines and the only score that exceeds </w:t>
      </w:r>
      <w:r>
        <w:t>the 0.70 'usable for production ranking' threshold. Precision rose from 0.371 to 0.495 because GridSearchCV optimized for precision and threshold calibration trimmed the low-confidence region of the score distribution.</w:t>
      </w:r>
    </w:p>
    <w:p w14:paraId="66150D24" w14:textId="77777777" w:rsidR="001E6EFF" w:rsidRDefault="00E35696">
      <w:pPr>
        <w:spacing w:before="80" w:after="40"/>
      </w:pPr>
      <w:r>
        <w:rPr>
          <w:b/>
        </w:rPr>
        <w:t>Model Suitability.</w:t>
      </w:r>
    </w:p>
    <w:p w14:paraId="50A61B95" w14:textId="0686FD3E" w:rsidR="001E6EFF" w:rsidRDefault="00E35696">
      <w:pPr>
        <w:spacing w:after="40"/>
      </w:pPr>
      <w:r>
        <w:t>Collections capaci</w:t>
      </w:r>
      <w:r>
        <w:t>ty is the binding constraint. A precision-bound, ranked-risk queue means almost half of the flagged invoices are real disputes, doubling the hit-rate of random outreach (22.7%). This directly meets the business objective of reducing wasted collector effort</w:t>
      </w:r>
      <w:r>
        <w:t xml:space="preserve"> while still catching ~41% of disputes early.</w:t>
      </w:r>
    </w:p>
    <w:p w14:paraId="03ADD4B8" w14:textId="3EC65C3A" w:rsidR="005F4A08" w:rsidRDefault="005F4A08">
      <w:pPr>
        <w:spacing w:after="40"/>
      </w:pPr>
    </w:p>
    <w:p w14:paraId="5ACCFE8D" w14:textId="054E4D21" w:rsidR="005F4A08" w:rsidRDefault="005F4A08">
      <w:pPr>
        <w:spacing w:after="40"/>
      </w:pPr>
    </w:p>
    <w:p w14:paraId="27F19FAA" w14:textId="77777777" w:rsidR="005F4A08" w:rsidRDefault="005F4A08">
      <w:pPr>
        <w:spacing w:after="40"/>
      </w:pPr>
    </w:p>
    <w:p w14:paraId="0F7D067D" w14:textId="77777777" w:rsidR="001E6EFF" w:rsidRDefault="00E35696">
      <w:pPr>
        <w:spacing w:before="80" w:after="40"/>
      </w:pPr>
      <w:r>
        <w:rPr>
          <w:b/>
        </w:rPr>
        <w:lastRenderedPageBreak/>
        <w:t>Comparison of Models.</w:t>
      </w:r>
    </w:p>
    <w:p w14:paraId="4A6E9757" w14:textId="77777777" w:rsidR="001E6EFF" w:rsidRDefault="00E35696">
      <w:pPr>
        <w:spacing w:after="40"/>
      </w:pPr>
      <w:r>
        <w:t>Logistic Regression remains useful for explanation but its low Precision (≤0.30) makes it unsuitable as the operational ranker. Random Forest was the right AI recommendation for this tabul</w:t>
      </w:r>
      <w:r>
        <w:t>ar, mixed-signal problem; refinement amplified its advantage on every metric except recall.</w:t>
      </w:r>
    </w:p>
    <w:p w14:paraId="0FB0CBB6" w14:textId="77777777" w:rsidR="001E6EFF" w:rsidRDefault="00E35696">
      <w:pPr>
        <w:spacing w:before="80" w:after="40"/>
      </w:pPr>
      <w:r>
        <w:rPr>
          <w:b/>
        </w:rPr>
        <w:t>Feature Importance.</w:t>
      </w:r>
    </w:p>
    <w:p w14:paraId="0C83B633" w14:textId="3C7627C5" w:rsidR="001E6EFF" w:rsidRDefault="00E35696">
      <w:pPr>
        <w:spacing w:after="40"/>
      </w:pPr>
      <w:r>
        <w:t>Both models agree on the top drivers</w:t>
      </w:r>
      <w:r>
        <w:t xml:space="preserve"> </w:t>
      </w:r>
      <w:proofErr w:type="spellStart"/>
      <w:r>
        <w:t>InvoiceAmount</w:t>
      </w:r>
      <w:proofErr w:type="spellEnd"/>
      <w:r>
        <w:t xml:space="preserve">, </w:t>
      </w:r>
      <w:proofErr w:type="spellStart"/>
      <w:r>
        <w:t>CustomerFreq</w:t>
      </w:r>
      <w:proofErr w:type="spellEnd"/>
      <w:r>
        <w:t xml:space="preserve">, </w:t>
      </w:r>
      <w:proofErr w:type="spellStart"/>
      <w:r>
        <w:t>countryCode</w:t>
      </w:r>
      <w:proofErr w:type="spellEnd"/>
      <w:r>
        <w:t xml:space="preserve"> which is reassuring (consistency across model families). The b</w:t>
      </w:r>
      <w:r>
        <w:t>usiness takeaway is that dispute risk is dominated by transaction size, customer tenure, and region</w:t>
      </w:r>
      <w:r>
        <w:t xml:space="preserve"> exactly the levers collectors already monitor manually, now quantified and combined automatically.</w:t>
      </w:r>
    </w:p>
    <w:p w14:paraId="33F17508" w14:textId="77777777" w:rsidR="001E6EFF" w:rsidRDefault="00E35696">
      <w:pPr>
        <w:spacing w:before="120" w:after="40"/>
      </w:pPr>
      <w:r>
        <w:rPr>
          <w:b/>
        </w:rPr>
        <w:t>3.2 Conclusion and Recommendations</w:t>
      </w:r>
    </w:p>
    <w:p w14:paraId="512377B7" w14:textId="77777777" w:rsidR="001E6EFF" w:rsidRDefault="00E35696">
      <w:pPr>
        <w:spacing w:before="80" w:after="40"/>
      </w:pPr>
      <w:r>
        <w:rPr>
          <w:b/>
        </w:rPr>
        <w:t>Conclusion.</w:t>
      </w:r>
    </w:p>
    <w:p w14:paraId="58B49014" w14:textId="77777777" w:rsidR="001E6EFF" w:rsidRDefault="00E35696">
      <w:pPr>
        <w:spacing w:after="40"/>
      </w:pPr>
      <w:r>
        <w:t xml:space="preserve">A </w:t>
      </w:r>
      <w:r>
        <w:t>leakage-free predictive pipeline was built and refined on 2,466 AR invoices. The Refined Random Forest (ROC-AUC 0.746, Precision 0.495) is the final model. It is interpretable through its feature importances, stable under 5-fold CV, and aligned with the bu</w:t>
      </w:r>
      <w:r>
        <w:t>siness need for a precision-oriented early-warning queue.</w:t>
      </w:r>
    </w:p>
    <w:p w14:paraId="22083EFC" w14:textId="77777777" w:rsidR="001E6EFF" w:rsidRDefault="00E35696">
      <w:pPr>
        <w:spacing w:before="80" w:after="40"/>
      </w:pPr>
      <w:r>
        <w:rPr>
          <w:b/>
        </w:rPr>
        <w:t>Recommendations.</w:t>
      </w:r>
    </w:p>
    <w:p w14:paraId="0FC8E4A1" w14:textId="28F7A591" w:rsidR="005F4A08" w:rsidRPr="005F4A08" w:rsidRDefault="00E35696" w:rsidP="005F4A08">
      <w:pPr>
        <w:spacing w:after="40"/>
      </w:pPr>
      <w:r>
        <w:t xml:space="preserve">(1) </w:t>
      </w:r>
      <w:r>
        <w:t>Deploy the Refined RF as a daily-scored ranked queue at operating-point threshold 0.294. (2) Monitor monthly for drift on InvoiceAmount distribution and customer mix. (3) Re-tra</w:t>
      </w:r>
      <w:r>
        <w:t>in quarterly as new settled invoices grow the dataset. (4) Pair the model with the LR coefficient view as the explanation layer for collectors and auditors.</w:t>
      </w:r>
    </w:p>
    <w:p w14:paraId="0F0B8A26" w14:textId="6F3C5020" w:rsidR="001E6EFF" w:rsidRDefault="00E35696">
      <w:pPr>
        <w:spacing w:before="120" w:after="40"/>
      </w:pPr>
      <w:r>
        <w:rPr>
          <w:b/>
          <w:sz w:val="22"/>
        </w:rPr>
        <w:t>R</w:t>
      </w:r>
      <w:r>
        <w:rPr>
          <w:b/>
          <w:sz w:val="22"/>
        </w:rPr>
        <w:t>eferences</w:t>
      </w:r>
    </w:p>
    <w:p w14:paraId="106D2A91" w14:textId="5B1D6DA4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[1] H. He and E. A. Garcia, “Learning from Imbalanced Data,” </w:t>
      </w:r>
      <w:r>
        <w:rPr>
          <w:i/>
          <w:iCs/>
          <w:color w:val="000000"/>
          <w:sz w:val="20"/>
          <w:szCs w:val="20"/>
        </w:rPr>
        <w:t>IEEE Transactions on Knowledge and Data Engineering</w:t>
      </w:r>
      <w:r>
        <w:rPr>
          <w:color w:val="000000"/>
          <w:sz w:val="20"/>
          <w:szCs w:val="20"/>
        </w:rPr>
        <w:t xml:space="preserve">, vol. 21, no. 9, pp. 1263–1284, Sep. 2009.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10.1109/TKDE.2008.239.</w:t>
      </w:r>
    </w:p>
    <w:p w14:paraId="4706C0EF" w14:textId="1304134F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[2] C. Bruni, G. </w:t>
      </w:r>
      <w:proofErr w:type="spellStart"/>
      <w:r>
        <w:rPr>
          <w:color w:val="000000"/>
          <w:sz w:val="20"/>
          <w:szCs w:val="20"/>
        </w:rPr>
        <w:t>Brusco</w:t>
      </w:r>
      <w:proofErr w:type="spellEnd"/>
      <w:r>
        <w:rPr>
          <w:color w:val="000000"/>
          <w:sz w:val="20"/>
          <w:szCs w:val="20"/>
        </w:rPr>
        <w:t xml:space="preserve">, and F. Di Pace, “Robust Scaling in Machine Learning Pipelines,” </w:t>
      </w:r>
      <w:r>
        <w:rPr>
          <w:i/>
          <w:iCs/>
          <w:color w:val="000000"/>
          <w:sz w:val="20"/>
          <w:szCs w:val="20"/>
        </w:rPr>
        <w:t>Journal of Data Engineering</w:t>
      </w:r>
      <w:r>
        <w:rPr>
          <w:color w:val="000000"/>
          <w:sz w:val="20"/>
          <w:szCs w:val="20"/>
        </w:rPr>
        <w:t>, vol. 12, no. 3, pp. 45–59, 2021.</w:t>
      </w:r>
    </w:p>
    <w:p w14:paraId="69247CDE" w14:textId="1E65724D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[3] P. </w:t>
      </w:r>
      <w:proofErr w:type="spellStart"/>
      <w:r>
        <w:rPr>
          <w:color w:val="000000"/>
          <w:sz w:val="20"/>
          <w:szCs w:val="20"/>
        </w:rPr>
        <w:t>Domingos</w:t>
      </w:r>
      <w:proofErr w:type="spellEnd"/>
      <w:r>
        <w:rPr>
          <w:color w:val="000000"/>
          <w:sz w:val="20"/>
          <w:szCs w:val="20"/>
        </w:rPr>
        <w:t xml:space="preserve">, “A Few Useful Things to Know About Machine Learning,” </w:t>
      </w:r>
      <w:r>
        <w:rPr>
          <w:i/>
          <w:iCs/>
          <w:color w:val="000000"/>
          <w:sz w:val="20"/>
          <w:szCs w:val="20"/>
        </w:rPr>
        <w:t>Communications of the ACM</w:t>
      </w:r>
      <w:r>
        <w:rPr>
          <w:color w:val="000000"/>
          <w:sz w:val="20"/>
          <w:szCs w:val="20"/>
        </w:rPr>
        <w:t xml:space="preserve">, vol. 55, no. 10, pp. 78–87, Oct. 2012.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10.1145/2347736.2347755.</w:t>
      </w:r>
    </w:p>
    <w:p w14:paraId="37D74E01" w14:textId="34DEBB15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[4] S. Kaufman, S. Rosset, C. </w:t>
      </w:r>
      <w:proofErr w:type="spellStart"/>
      <w:r>
        <w:rPr>
          <w:color w:val="000000"/>
          <w:sz w:val="20"/>
          <w:szCs w:val="20"/>
        </w:rPr>
        <w:t>Perlich</w:t>
      </w:r>
      <w:proofErr w:type="spellEnd"/>
      <w:r>
        <w:rPr>
          <w:color w:val="000000"/>
          <w:sz w:val="20"/>
          <w:szCs w:val="20"/>
        </w:rPr>
        <w:t xml:space="preserve">, and O. </w:t>
      </w:r>
      <w:proofErr w:type="spellStart"/>
      <w:r>
        <w:rPr>
          <w:color w:val="000000"/>
          <w:sz w:val="20"/>
          <w:szCs w:val="20"/>
        </w:rPr>
        <w:t>Stitelman</w:t>
      </w:r>
      <w:proofErr w:type="spellEnd"/>
      <w:r>
        <w:rPr>
          <w:color w:val="000000"/>
          <w:sz w:val="20"/>
          <w:szCs w:val="20"/>
        </w:rPr>
        <w:t xml:space="preserve">, “Leakage in Data Mining: Formulation, Detection, and Avoidance,” </w:t>
      </w:r>
      <w:r>
        <w:rPr>
          <w:i/>
          <w:iCs/>
          <w:color w:val="000000"/>
          <w:sz w:val="20"/>
          <w:szCs w:val="20"/>
        </w:rPr>
        <w:t>ACM Transactions on Knowledge Discovery from Data</w:t>
      </w:r>
      <w:r>
        <w:rPr>
          <w:color w:val="000000"/>
          <w:sz w:val="20"/>
          <w:szCs w:val="20"/>
        </w:rPr>
        <w:t xml:space="preserve">, vol. 6, no. 4, pp. 1–21, 2012.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10.1145/2382577.2382579.</w:t>
      </w:r>
    </w:p>
    <w:p w14:paraId="59D851C8" w14:textId="392DE165" w:rsidR="005F4A08" w:rsidRDefault="005F4A08" w:rsidP="005F4A08">
      <w:pPr>
        <w:pStyle w:val="NormalWeb"/>
        <w:spacing w:before="0" w:beforeAutospacing="0" w:after="8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[5] D. </w:t>
      </w:r>
      <w:proofErr w:type="spellStart"/>
      <w:r>
        <w:rPr>
          <w:color w:val="000000"/>
          <w:sz w:val="20"/>
          <w:szCs w:val="20"/>
        </w:rPr>
        <w:t>Micci-Barreca</w:t>
      </w:r>
      <w:proofErr w:type="spellEnd"/>
      <w:r>
        <w:rPr>
          <w:color w:val="000000"/>
          <w:sz w:val="20"/>
          <w:szCs w:val="20"/>
        </w:rPr>
        <w:t xml:space="preserve">, “A Preprocessing Scheme for High-Cardinality Categorical Attributes in Classification and Prediction Problems,” </w:t>
      </w:r>
      <w:r>
        <w:rPr>
          <w:i/>
          <w:iCs/>
          <w:color w:val="000000"/>
          <w:sz w:val="20"/>
          <w:szCs w:val="20"/>
        </w:rPr>
        <w:t>ACM SIGKDD Explorations Newsletter</w:t>
      </w:r>
      <w:r>
        <w:rPr>
          <w:color w:val="000000"/>
          <w:sz w:val="20"/>
          <w:szCs w:val="20"/>
        </w:rPr>
        <w:t xml:space="preserve">, vol. 3, no. 1, pp. 27–32, Jul. 2001.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10.1145/507533.507538.</w:t>
      </w:r>
    </w:p>
    <w:p w14:paraId="302CA334" w14:textId="77777777" w:rsidR="005F4A08" w:rsidRDefault="005F4A08" w:rsidP="005F4A08">
      <w:pPr>
        <w:pStyle w:val="NormalWeb"/>
        <w:spacing w:before="0" w:beforeAutospacing="0" w:after="80" w:afterAutospacing="0"/>
      </w:pPr>
    </w:p>
    <w:p w14:paraId="5AC64231" w14:textId="44234C85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[6] N. V. Chawla, K. W. Bowyer, L. O. Hall, and W. P. </w:t>
      </w:r>
      <w:proofErr w:type="spellStart"/>
      <w:r>
        <w:rPr>
          <w:color w:val="000000"/>
          <w:sz w:val="20"/>
          <w:szCs w:val="20"/>
        </w:rPr>
        <w:t>Kegelmeyer</w:t>
      </w:r>
      <w:proofErr w:type="spellEnd"/>
      <w:r>
        <w:rPr>
          <w:color w:val="000000"/>
          <w:sz w:val="20"/>
          <w:szCs w:val="20"/>
        </w:rPr>
        <w:t xml:space="preserve">, “SMOTE: Synthetic Minority Over-Sampling Technique,” </w:t>
      </w:r>
      <w:r>
        <w:rPr>
          <w:i/>
          <w:iCs/>
          <w:color w:val="000000"/>
          <w:sz w:val="20"/>
          <w:szCs w:val="20"/>
        </w:rPr>
        <w:t>Journal of Artificial Intelligence Research</w:t>
      </w:r>
      <w:r>
        <w:rPr>
          <w:color w:val="000000"/>
          <w:sz w:val="20"/>
          <w:szCs w:val="20"/>
        </w:rPr>
        <w:t xml:space="preserve">, vol. 16, pp. 321–357, Jun. 2002.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10.1613/jair.953.</w:t>
      </w:r>
    </w:p>
    <w:p w14:paraId="02E63828" w14:textId="193B6DF9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[7] T. Hastie, R. </w:t>
      </w:r>
      <w:proofErr w:type="spellStart"/>
      <w:r>
        <w:rPr>
          <w:color w:val="000000"/>
          <w:sz w:val="20"/>
          <w:szCs w:val="20"/>
        </w:rPr>
        <w:t>Tibshirani</w:t>
      </w:r>
      <w:proofErr w:type="spellEnd"/>
      <w:r>
        <w:rPr>
          <w:color w:val="000000"/>
          <w:sz w:val="20"/>
          <w:szCs w:val="20"/>
        </w:rPr>
        <w:t xml:space="preserve">, and J. Friedman, </w:t>
      </w:r>
      <w:r>
        <w:rPr>
          <w:i/>
          <w:iCs/>
          <w:color w:val="000000"/>
          <w:sz w:val="20"/>
          <w:szCs w:val="20"/>
        </w:rPr>
        <w:t>The Elements of Statistical Learning: Data Mining, Inference, and Prediction</w:t>
      </w:r>
      <w:r>
        <w:rPr>
          <w:color w:val="000000"/>
          <w:sz w:val="20"/>
          <w:szCs w:val="20"/>
        </w:rPr>
        <w:t xml:space="preserve">, 2nd ed. New York, NY, USA: Springer, 2009.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10.1007/978-0-387-84858-7.</w:t>
      </w:r>
    </w:p>
    <w:p w14:paraId="55050EA7" w14:textId="17F6B344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 xml:space="preserve">[8] C. Molnar, </w:t>
      </w:r>
      <w:r>
        <w:rPr>
          <w:i/>
          <w:iCs/>
          <w:color w:val="000000"/>
          <w:sz w:val="20"/>
          <w:szCs w:val="20"/>
        </w:rPr>
        <w:t>Interpretable Machine Learning: A Guide for Making Black Box Models Explainable</w:t>
      </w:r>
      <w:r>
        <w:rPr>
          <w:color w:val="000000"/>
          <w:sz w:val="20"/>
          <w:szCs w:val="20"/>
        </w:rPr>
        <w:t>, 2nd ed. Munich, Germany: Self-published, 2022. [Online]. Available: https://christophm.github.io/interpretable-ml-book/</w:t>
      </w:r>
    </w:p>
    <w:p w14:paraId="3E0FF862" w14:textId="6E47E7F4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>[9] A. Ng, “Machine Learning Yearning,” Stanford University, Technical Report, 2018. [Online]. Available: https://www.mlyearning.org/</w:t>
      </w:r>
    </w:p>
    <w:p w14:paraId="05B89EAC" w14:textId="280989D1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>[10]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L. </w:t>
      </w:r>
      <w:proofErr w:type="spellStart"/>
      <w:r>
        <w:rPr>
          <w:color w:val="000000"/>
          <w:sz w:val="20"/>
          <w:szCs w:val="20"/>
        </w:rPr>
        <w:t>Breiman</w:t>
      </w:r>
      <w:proofErr w:type="spellEnd"/>
      <w:r>
        <w:rPr>
          <w:color w:val="000000"/>
          <w:sz w:val="20"/>
          <w:szCs w:val="20"/>
        </w:rPr>
        <w:t xml:space="preserve">, “Random Forests,” </w:t>
      </w:r>
      <w:r>
        <w:rPr>
          <w:i/>
          <w:iCs/>
          <w:color w:val="000000"/>
          <w:sz w:val="20"/>
          <w:szCs w:val="20"/>
        </w:rPr>
        <w:t>Machine Learning</w:t>
      </w:r>
      <w:r>
        <w:rPr>
          <w:color w:val="000000"/>
          <w:sz w:val="20"/>
          <w:szCs w:val="20"/>
        </w:rPr>
        <w:t xml:space="preserve">, vol. 45, no. 1, pp. 5–32, Oct. 2001. </w:t>
      </w:r>
      <w:proofErr w:type="spellStart"/>
      <w:r>
        <w:rPr>
          <w:color w:val="000000"/>
          <w:sz w:val="20"/>
          <w:szCs w:val="20"/>
        </w:rPr>
        <w:t>doi</w:t>
      </w:r>
      <w:proofErr w:type="spellEnd"/>
      <w:r>
        <w:rPr>
          <w:color w:val="000000"/>
          <w:sz w:val="20"/>
          <w:szCs w:val="20"/>
        </w:rPr>
        <w:t>: 10.1023/A:1010933404324.</w:t>
      </w:r>
    </w:p>
    <w:p w14:paraId="16ABE283" w14:textId="10F8F078" w:rsidR="005F4A08" w:rsidRDefault="005F4A08" w:rsidP="005F4A08">
      <w:pPr>
        <w:pStyle w:val="NormalWeb"/>
        <w:spacing w:before="0" w:beforeAutospacing="0" w:after="80" w:afterAutospacing="0"/>
      </w:pPr>
      <w:r>
        <w:rPr>
          <w:color w:val="000000"/>
          <w:sz w:val="20"/>
          <w:szCs w:val="20"/>
        </w:rPr>
        <w:t>[11]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Y. Zhou and R. Hooker, “Unifying Model </w:t>
      </w:r>
      <w:proofErr w:type="spellStart"/>
      <w:r>
        <w:rPr>
          <w:color w:val="000000"/>
          <w:sz w:val="20"/>
          <w:szCs w:val="20"/>
        </w:rPr>
        <w:t>Explainability</w:t>
      </w:r>
      <w:proofErr w:type="spellEnd"/>
      <w:r>
        <w:rPr>
          <w:color w:val="000000"/>
          <w:sz w:val="20"/>
          <w:szCs w:val="20"/>
        </w:rPr>
        <w:t xml:space="preserve"> and Robustness for Joint Text Classification and Rationale Extraction,” </w:t>
      </w:r>
      <w:proofErr w:type="spellStart"/>
      <w:r>
        <w:rPr>
          <w:i/>
          <w:iCs/>
          <w:color w:val="000000"/>
          <w:sz w:val="20"/>
          <w:szCs w:val="20"/>
        </w:rPr>
        <w:t>arXiv</w:t>
      </w:r>
      <w:proofErr w:type="spellEnd"/>
      <w:r>
        <w:rPr>
          <w:i/>
          <w:iCs/>
          <w:color w:val="000000"/>
          <w:sz w:val="20"/>
          <w:szCs w:val="20"/>
        </w:rPr>
        <w:t xml:space="preserve"> preprint</w:t>
      </w:r>
      <w:r>
        <w:rPr>
          <w:color w:val="000000"/>
          <w:sz w:val="20"/>
          <w:szCs w:val="20"/>
        </w:rPr>
        <w:t>, 2020. [Online]. Available: https://arxiv.org/abs/2010.03763.</w:t>
      </w:r>
    </w:p>
    <w:p w14:paraId="27B1DEE9" w14:textId="26045CE9" w:rsidR="001E6EFF" w:rsidRDefault="001E6EFF" w:rsidP="005F4A08">
      <w:pPr>
        <w:spacing w:after="40"/>
      </w:pPr>
    </w:p>
    <w:sectPr w:rsidR="001E6EFF" w:rsidSect="00034616">
      <w:type w:val="continuous"/>
      <w:pgSz w:w="11906" w:h="16838"/>
      <w:pgMar w:top="1077" w:right="850" w:bottom="1077" w:left="850" w:header="720" w:footer="720" w:gutter="0"/>
      <w:cols w:num="2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FF"/>
    <w:rsid w:val="0029639D"/>
    <w:rsid w:val="00326F90"/>
    <w:rsid w:val="00417141"/>
    <w:rsid w:val="005F4A08"/>
    <w:rsid w:val="00AA1D8D"/>
    <w:rsid w:val="00B47730"/>
    <w:rsid w:val="00CB0664"/>
    <w:rsid w:val="00E35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2EB78"/>
  <w14:defaultImageDpi w14:val="300"/>
  <w15:docId w15:val="{F0CA37E7-2A69-4B44-A0FA-E30B43AC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4A0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F4A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://m.balmes.548176@umindanao.edu.ph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4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Clarence</cp:lastModifiedBy>
  <cp:revision>3</cp:revision>
  <dcterms:created xsi:type="dcterms:W3CDTF">2013-12-23T23:15:00Z</dcterms:created>
  <dcterms:modified xsi:type="dcterms:W3CDTF">2026-05-09T02:50:00Z</dcterms:modified>
  <cp:category/>
</cp:coreProperties>
</file>