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120"/>
        <w:jc w:val="center"/>
      </w:pPr>
      <w:r>
        <w:rPr>
          <w:rFonts w:ascii="Times New Roman" w:hAnsi="Times New Roman"/>
          <w:b/>
          <w:i w:val="0"/>
          <w:sz w:val="36"/>
        </w:rPr>
        <w:t>Predictive Analytics for Early Identification of Disputed Accounts Receivable Invoices</w:t>
      </w:r>
    </w:p>
    <w:p>
      <w:pPr>
        <w:spacing w:after="40" w:before="0"/>
        <w:jc w:val="center"/>
      </w:pPr>
      <w:r>
        <w:rPr>
          <w:rFonts w:ascii="Times New Roman" w:hAnsi="Times New Roman"/>
          <w:b w:val="0"/>
          <w:i w:val="0"/>
          <w:sz w:val="22"/>
        </w:rPr>
        <w:t>Mark Clarence P. Balmes</w:t>
      </w:r>
    </w:p>
    <w:p>
      <w:pPr>
        <w:spacing w:after="40" w:before="0"/>
        <w:jc w:val="center"/>
      </w:pPr>
      <w:r>
        <w:rPr>
          <w:rFonts w:ascii="Times New Roman" w:hAnsi="Times New Roman"/>
          <w:b w:val="0"/>
          <w:i w:val="0"/>
          <w:sz w:val="20"/>
        </w:rPr>
        <w:t>College of Computing Education, University of Mindanao</w:t>
      </w:r>
    </w:p>
    <w:p>
      <w:pPr>
        <w:spacing w:after="40" w:before="0"/>
        <w:jc w:val="center"/>
      </w:pPr>
      <w:r>
        <w:rPr>
          <w:rFonts w:ascii="Times New Roman" w:hAnsi="Times New Roman"/>
          <w:b w:val="0"/>
          <w:i/>
          <w:sz w:val="20"/>
        </w:rPr>
        <w:t>Matina, Davao City, Philippines</w:t>
      </w:r>
    </w:p>
    <w:p>
      <w:pPr>
        <w:spacing w:after="200" w:before="0"/>
        <w:jc w:val="center"/>
      </w:pPr>
      <w:r>
        <w:rPr>
          <w:rFonts w:ascii="Times New Roman" w:hAnsi="Times New Roman"/>
          <w:b w:val="0"/>
          <w:i w:val="0"/>
          <w:sz w:val="20"/>
        </w:rPr>
        <w:t>mbalmes@umindanao.edu.ph</w:t>
      </w:r>
    </w:p>
    <w:p>
      <w:pPr>
        <w:spacing w:after="120"/>
      </w:pPr>
      <w:r>
        <w:rPr>
          <w:rFonts w:ascii="Times New Roman" w:hAnsi="Times New Roman"/>
          <w:b/>
          <w:i/>
          <w:sz w:val="20"/>
        </w:rPr>
        <w:t xml:space="preserve">Abstract ??? </w:t>
      </w:r>
      <w:r>
        <w:rPr>
          <w:rFonts w:ascii="Times New Roman" w:hAnsi="Times New Roman"/>
          <w:i/>
          <w:sz w:val="20"/>
        </w:rPr>
        <w:t>Disputed customer invoices delay cash collection and inflate operating cost in finance shared-service centers. This study applies predictive analytics on the IBM Accounts Receivable dataset (2,466 invoices, 22.7% disputed) to flag at-risk invoices at issuance time. Two leakage-free classifiers ??? Logistic Regression (interpretable baseline) and Random Forest (ensemble) ??? were trained on six engineered features and refined through SelectKBest feature selection, GridSearchCV hyper-parameter tuning, and probability-threshold calibration on the precision???recall curve. The refined Random Forest delivered the best results (Accuracy 0.7713, Precision 0.4946, Recall 0.4107, F1 0.4488, ROC-AUC 0.7460), a +33% gain in precision and +20% in ROC-AUC over its baseline, while keeping a workable recall for early-warning use. The model is recommended for production as a ranked-risk queue for the collections team.</w:t>
      </w:r>
    </w:p>
    <w:p>
      <w:pPr>
        <w:spacing w:after="160"/>
      </w:pPr>
      <w:r>
        <w:rPr>
          <w:rFonts w:ascii="Times New Roman" w:hAnsi="Times New Roman"/>
          <w:b/>
          <w:i/>
          <w:sz w:val="20"/>
        </w:rPr>
        <w:t xml:space="preserve">Keywords ??? </w:t>
      </w:r>
      <w:r>
        <w:rPr>
          <w:rFonts w:ascii="Times New Roman" w:hAnsi="Times New Roman"/>
          <w:i/>
          <w:sz w:val="20"/>
        </w:rPr>
        <w:t>predictive analytics, accounts receivable, dispute prediction, logistic regression, random forest, hyperparameter tuning, threshold calibration</w:t>
      </w:r>
    </w:p>
    <w:p>
      <w:pPr>
        <w:sectPr>
          <w:pgSz w:w="11906" w:h="16838"/>
          <w:pgMar w:top="1077" w:right="850" w:bottom="1077" w:left="850" w:header="720" w:footer="720" w:gutter="0"/>
          <w:cols w:space="720"/>
          <w:docGrid w:linePitch="360"/>
        </w:sectPr>
      </w:pPr>
    </w:p>
    <w:p>
      <w:pPr>
        <w:spacing w:after="40" w:before="120"/>
      </w:pPr>
      <w:r>
        <w:rPr>
          <w:rFonts w:ascii="Times New Roman" w:hAnsi="Times New Roman"/>
          <w:b/>
          <w:i w:val="0"/>
          <w:sz w:val="22"/>
        </w:rPr>
        <w:t>1. Introduction</w:t>
      </w:r>
    </w:p>
    <w:p>
      <w:pPr>
        <w:spacing w:after="40" w:before="120"/>
      </w:pPr>
      <w:r>
        <w:rPr>
          <w:rFonts w:ascii="Times New Roman" w:hAnsi="Times New Roman"/>
          <w:b/>
          <w:i w:val="0"/>
          <w:sz w:val="20"/>
        </w:rPr>
        <w:t>1.1 Business Problem Description</w:t>
      </w:r>
    </w:p>
    <w:p>
      <w:pPr>
        <w:spacing w:after="40" w:before="0"/>
      </w:pPr>
      <w:r>
        <w:rPr>
          <w:rFonts w:ascii="Times New Roman" w:hAnsi="Times New Roman"/>
          <w:b w:val="0"/>
          <w:i w:val="0"/>
          <w:sz w:val="20"/>
        </w:rPr>
        <w:t>Trade-credit invoices are a working-capital lever for B2B firms, but disputed invoices stall cash collection, raise Days Sales Outstanding, and consume collector time. The shared-service center wants to know ??? at the moment an invoice is issued ??? which customers are likely to dispute, so collectors can intervene proactively instead of reactively chasing aged receivables. Manual rules (country, amount thresholds) miss the joint patterns between customer behavior, invoice timing, and channel choice, which is why a predictive model is needed.</w:t>
      </w:r>
    </w:p>
    <w:p>
      <w:pPr>
        <w:spacing w:after="40" w:before="120"/>
      </w:pPr>
      <w:r>
        <w:rPr>
          <w:rFonts w:ascii="Times New Roman" w:hAnsi="Times New Roman"/>
          <w:b/>
          <w:i w:val="0"/>
          <w:sz w:val="20"/>
        </w:rPr>
        <w:t>1.2 Objectives</w:t>
      </w:r>
    </w:p>
    <w:p>
      <w:pPr>
        <w:spacing w:after="40" w:before="0"/>
      </w:pPr>
      <w:r>
        <w:rPr>
          <w:rFonts w:ascii="Times New Roman" w:hAnsi="Times New Roman"/>
          <w:b w:val="0"/>
          <w:i w:val="0"/>
          <w:sz w:val="20"/>
        </w:rPr>
        <w:t>1.2.1 To define the dispute-prediction problem and its significance to the AR collections workflow.</w:t>
      </w:r>
    </w:p>
    <w:p>
      <w:pPr>
        <w:spacing w:after="40" w:before="0"/>
      </w:pPr>
      <w:r>
        <w:rPr>
          <w:rFonts w:ascii="Times New Roman" w:hAnsi="Times New Roman"/>
          <w:b w:val="0"/>
          <w:i w:val="0"/>
          <w:sz w:val="20"/>
        </w:rPr>
        <w:t>1.2.2 To analyze the IBM Accounts Receivable dataset and engineer leakage-free features available at invoice issuance.</w:t>
      </w:r>
    </w:p>
    <w:p>
      <w:pPr>
        <w:spacing w:after="40" w:before="0"/>
      </w:pPr>
      <w:r>
        <w:rPr>
          <w:rFonts w:ascii="Times New Roman" w:hAnsi="Times New Roman"/>
          <w:b w:val="0"/>
          <w:i w:val="0"/>
          <w:sz w:val="20"/>
        </w:rPr>
        <w:t>1.2.3 To frame the task as binary classification and justify the metric choice (precision-oriented for a ranked-risk queue).</w:t>
      </w:r>
    </w:p>
    <w:p>
      <w:pPr>
        <w:spacing w:after="40" w:before="0"/>
      </w:pPr>
      <w:r>
        <w:rPr>
          <w:rFonts w:ascii="Times New Roman" w:hAnsi="Times New Roman"/>
          <w:b w:val="0"/>
          <w:i w:val="0"/>
          <w:sz w:val="20"/>
        </w:rPr>
        <w:t>1.2.4 To compare a human-implemented Logistic Regression with an AI-recommended Random Forest, then refine and select the final model on performance, stability, and business fit.</w:t>
      </w:r>
    </w:p>
    <w:p>
      <w:pPr>
        <w:spacing w:after="40" w:before="120"/>
      </w:pPr>
      <w:r>
        <w:rPr>
          <w:rFonts w:ascii="Times New Roman" w:hAnsi="Times New Roman"/>
          <w:b/>
          <w:i w:val="0"/>
          <w:sz w:val="22"/>
        </w:rPr>
        <w:t>2. Methodology</w:t>
      </w:r>
    </w:p>
    <w:p>
      <w:pPr>
        <w:spacing w:after="40" w:before="120"/>
      </w:pPr>
      <w:r>
        <w:rPr>
          <w:rFonts w:ascii="Times New Roman" w:hAnsi="Times New Roman"/>
          <w:b/>
          <w:i w:val="0"/>
          <w:sz w:val="20"/>
        </w:rPr>
        <w:t>2.1 Dataset Overview</w:t>
      </w:r>
    </w:p>
    <w:p>
      <w:pPr>
        <w:spacing w:after="40" w:before="0"/>
      </w:pPr>
      <w:r>
        <w:rPr>
          <w:rFonts w:ascii="Times New Roman" w:hAnsi="Times New Roman"/>
          <w:b w:val="0"/>
          <w:i w:val="0"/>
          <w:sz w:val="20"/>
        </w:rPr>
        <w:t>Source: IBM Sample ??? WA_Fn-UseC_-Accounts-Receivable.csv. Size: 2,466 invoices ?? 12 attributes. Target: Disputed (Yes/No), 22.7% positive class ??? moderately imbalanced. Key fields: countryCode, customerID, PaperlessDate, InvoiceNumber, InvoiceDate, DueDate, InvoiceAmount, Disputed, PaperlessBill, DaysToSettle, DaysLate, SettledDate.</w:t>
      </w:r>
    </w:p>
    <w:p>
      <w:pPr>
        <w:spacing w:after="40" w:before="120"/>
      </w:pPr>
      <w:r>
        <w:rPr>
          <w:rFonts w:ascii="Times New Roman" w:hAnsi="Times New Roman"/>
          <w:b/>
          <w:i w:val="0"/>
          <w:sz w:val="20"/>
        </w:rPr>
        <w:t>2.2 Data Analysis</w:t>
      </w:r>
    </w:p>
    <w:p>
      <w:pPr>
        <w:spacing w:after="40" w:before="0"/>
      </w:pPr>
      <w:r>
        <w:rPr>
          <w:rFonts w:ascii="Times New Roman" w:hAnsi="Times New Roman"/>
          <w:b w:val="0"/>
          <w:i w:val="0"/>
          <w:sz w:val="20"/>
        </w:rPr>
        <w:t>The raw file has zero missing values and no duplicates. Class distribution: 1,907 No / 559 Yes (22.7% disputed). InvoiceAmount is right-skewed; CreditTermDays (DueDate ??? InvoiceDate) is discrete and clusters at 30/45/60. Settlement-time fields (DaysToSettle, DaysLate, SettledDate) leak the future and were excluded from training.</w:t>
      </w:r>
    </w:p>
    <w:p>
      <w:pPr>
        <w:spacing w:before="80" w:after="40"/>
        <w:jc w:val="center"/>
      </w:pPr>
      <w:r>
        <w:drawing>
          <wp:inline xmlns:a="http://schemas.openxmlformats.org/drawingml/2006/main" xmlns:pic="http://schemas.openxmlformats.org/drawingml/2006/picture">
            <wp:extent cx="2926080" cy="1040384"/>
            <wp:docPr id="1" name="Picture 1"/>
            <wp:cNvGraphicFramePr>
              <a:graphicFrameLocks noChangeAspect="1"/>
            </wp:cNvGraphicFramePr>
            <a:graphic>
              <a:graphicData uri="http://schemas.openxmlformats.org/drawingml/2006/picture">
                <pic:pic>
                  <pic:nvPicPr>
                    <pic:cNvPr id="0" name="eda_class_missing.png"/>
                    <pic:cNvPicPr/>
                  </pic:nvPicPr>
                  <pic:blipFill>
                    <a:blip r:embed="rId9"/>
                    <a:stretch>
                      <a:fillRect/>
                    </a:stretch>
                  </pic:blipFill>
                  <pic:spPr>
                    <a:xfrm>
                      <a:off x="0" y="0"/>
                      <a:ext cx="2926080" cy="1040384"/>
                    </a:xfrm>
                    <a:prstGeom prst="rect"/>
                  </pic:spPr>
                </pic:pic>
              </a:graphicData>
            </a:graphic>
          </wp:inline>
        </w:drawing>
      </w:r>
    </w:p>
    <w:p>
      <w:pPr>
        <w:spacing w:after="120"/>
        <w:jc w:val="center"/>
      </w:pPr>
      <w:r>
        <w:rPr>
          <w:rFonts w:ascii="Times New Roman" w:hAnsi="Times New Roman"/>
          <w:i/>
          <w:sz w:val="18"/>
        </w:rPr>
        <w:t>Figure A. Target class distribution and missing-value audit (0 missing across all columns).</w:t>
      </w:r>
    </w:p>
    <w:p>
      <w:pPr>
        <w:spacing w:after="40" w:before="0"/>
      </w:pPr>
      <w:r>
        <w:rPr>
          <w:rFonts w:ascii="Times New Roman" w:hAnsi="Times New Roman"/>
          <w:b w:val="0"/>
          <w:i w:val="0"/>
          <w:sz w:val="20"/>
        </w:rPr>
        <w:t>Proof: 22.7% positive class confirms moderate imbalance and justifies class_weight='balanced' and precision-oriented evaluation. The right panel verifies a clean dataset ??? no imputation required at the raw stage.</w:t>
      </w:r>
    </w:p>
    <w:p>
      <w:pPr>
        <w:spacing w:before="80" w:after="40"/>
        <w:jc w:val="center"/>
      </w:pPr>
      <w:r>
        <w:drawing>
          <wp:inline xmlns:a="http://schemas.openxmlformats.org/drawingml/2006/main" xmlns:pic="http://schemas.openxmlformats.org/drawingml/2006/picture">
            <wp:extent cx="2926080" cy="1039587"/>
            <wp:docPr id="2" name="Picture 2"/>
            <wp:cNvGraphicFramePr>
              <a:graphicFrameLocks noChangeAspect="1"/>
            </wp:cNvGraphicFramePr>
            <a:graphic>
              <a:graphicData uri="http://schemas.openxmlformats.org/drawingml/2006/picture">
                <pic:pic>
                  <pic:nvPicPr>
                    <pic:cNvPr id="0" name="eda_invoice_amount.png"/>
                    <pic:cNvPicPr/>
                  </pic:nvPicPr>
                  <pic:blipFill>
                    <a:blip r:embed="rId10"/>
                    <a:stretch>
                      <a:fillRect/>
                    </a:stretch>
                  </pic:blipFill>
                  <pic:spPr>
                    <a:xfrm>
                      <a:off x="0" y="0"/>
                      <a:ext cx="2926080" cy="1039587"/>
                    </a:xfrm>
                    <a:prstGeom prst="rect"/>
                  </pic:spPr>
                </pic:pic>
              </a:graphicData>
            </a:graphic>
          </wp:inline>
        </w:drawing>
      </w:r>
    </w:p>
    <w:p>
      <w:pPr>
        <w:spacing w:after="120"/>
        <w:jc w:val="center"/>
      </w:pPr>
      <w:r>
        <w:rPr>
          <w:rFonts w:ascii="Times New Roman" w:hAnsi="Times New Roman"/>
          <w:i/>
          <w:sz w:val="18"/>
        </w:rPr>
        <w:t>Figure B. InvoiceAmount distribution and dispute split.</w:t>
      </w:r>
    </w:p>
    <w:p>
      <w:pPr>
        <w:spacing w:after="40" w:before="0"/>
      </w:pPr>
      <w:r>
        <w:rPr>
          <w:rFonts w:ascii="Times New Roman" w:hAnsi="Times New Roman"/>
          <w:b w:val="0"/>
          <w:i w:val="0"/>
          <w:sz w:val="20"/>
        </w:rPr>
        <w:t>Proof: InvoiceAmount is right-skewed and disputed invoices skew toward larger amounts ??? strong signal for the model and motivation to keep this feature.</w:t>
      </w:r>
    </w:p>
    <w:p>
      <w:pPr>
        <w:spacing w:before="80" w:after="40"/>
        <w:jc w:val="center"/>
      </w:pPr>
      <w:r>
        <w:drawing>
          <wp:inline xmlns:a="http://schemas.openxmlformats.org/drawingml/2006/main" xmlns:pic="http://schemas.openxmlformats.org/drawingml/2006/picture">
            <wp:extent cx="2743200" cy="2440244"/>
            <wp:docPr id="3" name="Picture 3"/>
            <wp:cNvGraphicFramePr>
              <a:graphicFrameLocks noChangeAspect="1"/>
            </wp:cNvGraphicFramePr>
            <a:graphic>
              <a:graphicData uri="http://schemas.openxmlformats.org/drawingml/2006/picture">
                <pic:pic>
                  <pic:nvPicPr>
                    <pic:cNvPr id="0" name="eda_corr.png"/>
                    <pic:cNvPicPr/>
                  </pic:nvPicPr>
                  <pic:blipFill>
                    <a:blip r:embed="rId11"/>
                    <a:stretch>
                      <a:fillRect/>
                    </a:stretch>
                  </pic:blipFill>
                  <pic:spPr>
                    <a:xfrm>
                      <a:off x="0" y="0"/>
                      <a:ext cx="2743200" cy="2440244"/>
                    </a:xfrm>
                    <a:prstGeom prst="rect"/>
                  </pic:spPr>
                </pic:pic>
              </a:graphicData>
            </a:graphic>
          </wp:inline>
        </w:drawing>
      </w:r>
    </w:p>
    <w:p>
      <w:pPr>
        <w:spacing w:after="120"/>
        <w:jc w:val="center"/>
      </w:pPr>
      <w:r>
        <w:rPr>
          <w:rFonts w:ascii="Times New Roman" w:hAnsi="Times New Roman"/>
          <w:i/>
          <w:sz w:val="18"/>
        </w:rPr>
        <w:t>Figure C. Correlation matrix on raw numeric fields.</w:t>
      </w:r>
    </w:p>
    <w:p>
      <w:pPr>
        <w:spacing w:after="40" w:before="0"/>
      </w:pPr>
      <w:r>
        <w:rPr>
          <w:rFonts w:ascii="Times New Roman" w:hAnsi="Times New Roman"/>
          <w:b w:val="0"/>
          <w:i w:val="0"/>
          <w:sz w:val="20"/>
        </w:rPr>
        <w:t>Proof: low pair-wise correlation between predictor candidates ??? no severe multicollinearity, so all candidate features can enter the model.</w:t>
      </w:r>
    </w:p>
    <w:p>
      <w:pPr>
        <w:spacing w:after="40" w:before="120"/>
      </w:pPr>
      <w:r>
        <w:rPr>
          <w:rFonts w:ascii="Times New Roman" w:hAnsi="Times New Roman"/>
          <w:b/>
          <w:i w:val="0"/>
          <w:sz w:val="20"/>
        </w:rPr>
        <w:t>2.3 Data Preparation and Feature Engineering</w:t>
      </w:r>
    </w:p>
    <w:p>
      <w:pPr>
        <w:spacing w:after="40" w:before="0"/>
      </w:pPr>
      <w:r>
        <w:rPr>
          <w:rFonts w:ascii="Times New Roman" w:hAnsi="Times New Roman"/>
          <w:b w:val="0"/>
          <w:i w:val="0"/>
          <w:sz w:val="20"/>
        </w:rPr>
        <w:t>Six leakage-free features were derived from issuance-time data: (1) CreditTermDays, (2) InvoiceMonth, (3) InvoiceDayOfWeek, (4) InvoiceQuarter, (5) DaysSincePaperless, (6) CustomerFreq (count of past invoices per customer). PaperlessBill was label-encoded. Numerical features were standardized for Logistic Regression only. The dataset was split 80/20 with stratification on Disputed.</w:t>
      </w:r>
    </w:p>
    <w:p>
      <w:pPr>
        <w:spacing w:before="80" w:after="40"/>
        <w:jc w:val="center"/>
      </w:pPr>
      <w:r>
        <w:drawing>
          <wp:inline xmlns:a="http://schemas.openxmlformats.org/drawingml/2006/main" xmlns:pic="http://schemas.openxmlformats.org/drawingml/2006/picture">
            <wp:extent cx="3017520" cy="840414"/>
            <wp:docPr id="4" name="Picture 4"/>
            <wp:cNvGraphicFramePr>
              <a:graphicFrameLocks noChangeAspect="1"/>
            </wp:cNvGraphicFramePr>
            <a:graphic>
              <a:graphicData uri="http://schemas.openxmlformats.org/drawingml/2006/picture">
                <pic:pic>
                  <pic:nvPicPr>
                    <pic:cNvPr id="0" name="fe_engineered_features.png"/>
                    <pic:cNvPicPr/>
                  </pic:nvPicPr>
                  <pic:blipFill>
                    <a:blip r:embed="rId12"/>
                    <a:stretch>
                      <a:fillRect/>
                    </a:stretch>
                  </pic:blipFill>
                  <pic:spPr>
                    <a:xfrm>
                      <a:off x="0" y="0"/>
                      <a:ext cx="3017520" cy="840414"/>
                    </a:xfrm>
                    <a:prstGeom prst="rect"/>
                  </pic:spPr>
                </pic:pic>
              </a:graphicData>
            </a:graphic>
          </wp:inline>
        </w:drawing>
      </w:r>
    </w:p>
    <w:p>
      <w:pPr>
        <w:spacing w:after="120"/>
        <w:jc w:val="center"/>
      </w:pPr>
      <w:r>
        <w:rPr>
          <w:rFonts w:ascii="Times New Roman" w:hAnsi="Times New Roman"/>
          <w:i/>
          <w:sz w:val="18"/>
        </w:rPr>
        <w:t>Figure D. Distributions of engineered features ??? CreditTermDays, DaysSincePaperless, CustomerFreq.</w:t>
      </w:r>
    </w:p>
    <w:p>
      <w:pPr>
        <w:spacing w:after="40" w:before="0"/>
      </w:pPr>
      <w:r>
        <w:rPr>
          <w:rFonts w:ascii="Times New Roman" w:hAnsi="Times New Roman"/>
          <w:b w:val="0"/>
          <w:i w:val="0"/>
          <w:sz w:val="20"/>
        </w:rPr>
        <w:t>Proof of feature creation: CreditTermDays clusters at the expected 30/45/60-day terms; DaysSincePaperless and CustomerFreq show meaningful spread across customers ??? the engineered fields are well-defined and non-degenerate.</w:t>
      </w:r>
    </w:p>
    <w:p>
      <w:pPr>
        <w:spacing w:before="80" w:after="40"/>
        <w:jc w:val="center"/>
      </w:pPr>
      <w:r>
        <w:drawing>
          <wp:inline xmlns:a="http://schemas.openxmlformats.org/drawingml/2006/main" xmlns:pic="http://schemas.openxmlformats.org/drawingml/2006/picture">
            <wp:extent cx="3017520" cy="840414"/>
            <wp:docPr id="5" name="Picture 5"/>
            <wp:cNvGraphicFramePr>
              <a:graphicFrameLocks noChangeAspect="1"/>
            </wp:cNvGraphicFramePr>
            <a:graphic>
              <a:graphicData uri="http://schemas.openxmlformats.org/drawingml/2006/picture">
                <pic:pic>
                  <pic:nvPicPr>
                    <pic:cNvPr id="0" name="fe_target_relation.png"/>
                    <pic:cNvPicPr/>
                  </pic:nvPicPr>
                  <pic:blipFill>
                    <a:blip r:embed="rId13"/>
                    <a:stretch>
                      <a:fillRect/>
                    </a:stretch>
                  </pic:blipFill>
                  <pic:spPr>
                    <a:xfrm>
                      <a:off x="0" y="0"/>
                      <a:ext cx="3017520" cy="840414"/>
                    </a:xfrm>
                    <a:prstGeom prst="rect"/>
                  </pic:spPr>
                </pic:pic>
              </a:graphicData>
            </a:graphic>
          </wp:inline>
        </w:drawing>
      </w:r>
    </w:p>
    <w:p>
      <w:pPr>
        <w:spacing w:after="120"/>
        <w:jc w:val="center"/>
      </w:pPr>
      <w:r>
        <w:rPr>
          <w:rFonts w:ascii="Times New Roman" w:hAnsi="Times New Roman"/>
          <w:i/>
          <w:sz w:val="18"/>
        </w:rPr>
        <w:t>Figure E. Engineered features versus dispute outcome.</w:t>
      </w:r>
    </w:p>
    <w:p>
      <w:pPr>
        <w:spacing w:after="40" w:before="0"/>
      </w:pPr>
      <w:r>
        <w:rPr>
          <w:rFonts w:ascii="Times New Roman" w:hAnsi="Times New Roman"/>
          <w:b w:val="0"/>
          <w:i w:val="0"/>
          <w:sz w:val="20"/>
        </w:rPr>
        <w:t>Proof of discriminative power: disputed invoices have visibly different CreditTermDays and CustomerFreq profiles, and the monthly dispute rate varies by ~10 pp ??? the new features carry real signal, not just noise.</w:t>
      </w:r>
    </w:p>
    <w:p>
      <w:pPr>
        <w:spacing w:before="80" w:after="40"/>
        <w:jc w:val="center"/>
      </w:pPr>
      <w:r>
        <w:drawing>
          <wp:inline xmlns:a="http://schemas.openxmlformats.org/drawingml/2006/main" xmlns:pic="http://schemas.openxmlformats.org/drawingml/2006/picture">
            <wp:extent cx="2926080" cy="2598918"/>
            <wp:docPr id="6" name="Picture 6"/>
            <wp:cNvGraphicFramePr>
              <a:graphicFrameLocks noChangeAspect="1"/>
            </wp:cNvGraphicFramePr>
            <a:graphic>
              <a:graphicData uri="http://schemas.openxmlformats.org/drawingml/2006/picture">
                <pic:pic>
                  <pic:nvPicPr>
                    <pic:cNvPr id="0" name="fe_corr_refined.png"/>
                    <pic:cNvPicPr/>
                  </pic:nvPicPr>
                  <pic:blipFill>
                    <a:blip r:embed="rId14"/>
                    <a:stretch>
                      <a:fillRect/>
                    </a:stretch>
                  </pic:blipFill>
                  <pic:spPr>
                    <a:xfrm>
                      <a:off x="0" y="0"/>
                      <a:ext cx="2926080" cy="2598918"/>
                    </a:xfrm>
                    <a:prstGeom prst="rect"/>
                  </pic:spPr>
                </pic:pic>
              </a:graphicData>
            </a:graphic>
          </wp:inline>
        </w:drawing>
      </w:r>
    </w:p>
    <w:p>
      <w:pPr>
        <w:spacing w:after="120"/>
        <w:jc w:val="center"/>
      </w:pPr>
      <w:r>
        <w:rPr>
          <w:rFonts w:ascii="Times New Roman" w:hAnsi="Times New Roman"/>
          <w:i/>
          <w:sz w:val="18"/>
        </w:rPr>
        <w:t>Figure F. Correlation heat-map of the full refined feature matrix (with target).</w:t>
      </w:r>
    </w:p>
    <w:p>
      <w:pPr>
        <w:spacing w:after="40" w:before="0"/>
      </w:pPr>
      <w:r>
        <w:rPr>
          <w:rFonts w:ascii="Times New Roman" w:hAnsi="Times New Roman"/>
          <w:b w:val="0"/>
          <w:i w:val="0"/>
          <w:sz w:val="20"/>
        </w:rPr>
        <w:t>Proof: refined features remain weakly correlated with each other while several show non-trivial correlation with Disputed ??? supporting their inclusion and the use of SelectKBest to keep the most informative subset.</w:t>
      </w:r>
    </w:p>
    <w:p>
      <w:pPr>
        <w:spacing w:after="40" w:before="120"/>
      </w:pPr>
      <w:r>
        <w:rPr>
          <w:rFonts w:ascii="Times New Roman" w:hAnsi="Times New Roman"/>
          <w:b/>
          <w:i w:val="0"/>
          <w:sz w:val="20"/>
        </w:rPr>
        <w:t>2.7 Final Model Selection</w:t>
      </w:r>
    </w:p>
    <w:p>
      <w:pPr>
        <w:spacing w:after="40" w:before="0"/>
      </w:pPr>
      <w:r>
        <w:rPr>
          <w:rFonts w:ascii="Times New Roman" w:hAnsi="Times New Roman"/>
          <w:b w:val="0"/>
          <w:i w:val="0"/>
          <w:sz w:val="20"/>
        </w:rPr>
        <w:t>The Refined Random Forest is selected as the final production model based on three criteria required by the business case:</w:t>
      </w:r>
    </w:p>
    <w:p>
      <w:pPr>
        <w:spacing w:after="40" w:before="0"/>
      </w:pPr>
      <w:r>
        <w:rPr>
          <w:rFonts w:ascii="Times New Roman" w:hAnsi="Times New Roman"/>
          <w:b w:val="0"/>
          <w:i w:val="0"/>
          <w:sz w:val="20"/>
        </w:rPr>
        <w:t>(1) Performance ??? it achieves the highest score on every key metric: Accuracy 0.7713, Precision 0.4946, F1 0.4488, and ROC-AUC 0.7460. It is the only model that crosses the ROC-AUC 0.70 threshold considered usable for production ranking.</w:t>
      </w:r>
    </w:p>
    <w:p>
      <w:pPr>
        <w:spacing w:after="40" w:before="0"/>
      </w:pPr>
      <w:r>
        <w:rPr>
          <w:rFonts w:ascii="Times New Roman" w:hAnsi="Times New Roman"/>
          <w:b w:val="0"/>
          <w:i w:val="0"/>
          <w:sz w:val="20"/>
        </w:rPr>
        <w:t>(2) Stability ??? hyperparameters were selected under 5-fold StratifiedKFold cross-validation; the CV precision (optimized scoring) was consistent before the held-out test evaluation, confirming the model generalizes rather than overfitting.</w:t>
      </w:r>
    </w:p>
    <w:p>
      <w:pPr>
        <w:spacing w:after="40" w:before="0"/>
      </w:pPr>
      <w:r>
        <w:rPr>
          <w:rFonts w:ascii="Times New Roman" w:hAnsi="Times New Roman"/>
          <w:b w:val="0"/>
          <w:i w:val="0"/>
          <w:sz w:val="20"/>
        </w:rPr>
        <w:t>(3) Business alignment ??? the precision???recall operating point (threshold 0.294) is calibrated so that ~50% of flagged invoices are genuine disputes, doubling the hit-rate of random outreach. The Logistic Regression is retained as an explanation layer (signed coefficients) but is not the operational ranker because its precision (0.299) implies 2 wasted collector calls for every real dispute found.</w:t>
      </w:r>
    </w:p>
    <w:p>
      <w:pPr>
        <w:spacing w:after="40" w:before="120"/>
      </w:pPr>
      <w:r>
        <w:rPr>
          <w:rFonts w:ascii="Times New Roman" w:hAnsi="Times New Roman"/>
          <w:b/>
          <w:i w:val="0"/>
          <w:sz w:val="20"/>
        </w:rPr>
        <w:t>2.4 Predictive Modeling Approaches</w:t>
      </w:r>
    </w:p>
    <w:p>
      <w:pPr>
        <w:spacing w:after="40" w:before="120"/>
      </w:pPr>
      <w:r>
        <w:rPr>
          <w:rFonts w:ascii="Times New Roman" w:hAnsi="Times New Roman"/>
          <w:b/>
          <w:i/>
          <w:sz w:val="20"/>
        </w:rPr>
        <w:t>2.4.1 Human-Implemented Model</w:t>
      </w:r>
    </w:p>
    <w:p>
      <w:pPr>
        <w:spacing w:after="40" w:before="0"/>
      </w:pPr>
      <w:r>
        <w:rPr>
          <w:rFonts w:ascii="Times New Roman" w:hAnsi="Times New Roman"/>
          <w:b w:val="0"/>
          <w:i w:val="0"/>
          <w:sz w:val="20"/>
        </w:rPr>
        <w:t>Logistic Regression was selected for interpretability ??? collectors need to know why an invoice was flagged. Its coefficients give a direct, signed contribution per feature and the model is robust on small, mixed-type tabular data.</w:t>
      </w:r>
    </w:p>
    <w:p>
      <w:pPr>
        <w:spacing w:after="40" w:before="120"/>
      </w:pPr>
      <w:r>
        <w:rPr>
          <w:rFonts w:ascii="Times New Roman" w:hAnsi="Times New Roman"/>
          <w:b/>
          <w:i/>
          <w:sz w:val="20"/>
        </w:rPr>
        <w:t>2.4.2 AI-Recommended Model</w:t>
      </w:r>
    </w:p>
    <w:p>
      <w:pPr>
        <w:spacing w:after="40" w:before="0"/>
      </w:pPr>
      <w:r>
        <w:rPr>
          <w:rFonts w:ascii="Times New Roman" w:hAnsi="Times New Roman"/>
          <w:b w:val="0"/>
          <w:i w:val="0"/>
          <w:sz w:val="20"/>
        </w:rPr>
        <w:t>Random Forest was recommended by the AI tool for its ability to capture non-linear interactions (e.g., Country ?? Amount ?? CustomerFreq) without manual feature crosses, and for built-in feature-importance reporting that supports business explanation.</w:t>
      </w:r>
    </w:p>
    <w:p>
      <w:pPr>
        <w:spacing w:after="40" w:before="120"/>
      </w:pPr>
      <w:r>
        <w:rPr>
          <w:rFonts w:ascii="Times New Roman" w:hAnsi="Times New Roman"/>
          <w:b/>
          <w:i w:val="0"/>
          <w:sz w:val="20"/>
        </w:rPr>
        <w:t>2.5 Model Comparison and Initial Evaluation</w:t>
      </w:r>
    </w:p>
    <w:p>
      <w:pPr>
        <w:spacing w:after="40" w:before="0"/>
      </w:pPr>
      <w:r>
        <w:rPr>
          <w:rFonts w:ascii="Times New Roman" w:hAnsi="Times New Roman"/>
          <w:b w:val="0"/>
          <w:i w:val="0"/>
          <w:sz w:val="20"/>
        </w:rPr>
        <w:t>Both models were trained on identical features. Evaluation metrics: Accuracy, Precision, Recall, F1, and ROC-AUC. Precision is the primary business metric ??? collectors have limited capacity, so flagged invoices must be truly disputable to avoid wasted outreach. ROC-AUC measures threshold-independent ranking quality.</w:t>
      </w:r>
    </w:p>
    <w:p>
      <w:pPr>
        <w:spacing w:after="40" w:before="120"/>
      </w:pPr>
      <w:r>
        <w:rPr>
          <w:rFonts w:ascii="Times New Roman" w:hAnsi="Times New Roman"/>
          <w:b/>
          <w:i w:val="0"/>
          <w:sz w:val="20"/>
        </w:rPr>
        <w:t>2.6 Model Refinement and Performance Improvement</w:t>
      </w:r>
    </w:p>
    <w:p>
      <w:pPr>
        <w:spacing w:after="40" w:before="0"/>
      </w:pPr>
      <w:r>
        <w:rPr>
          <w:rFonts w:ascii="Times New Roman" w:hAnsi="Times New Roman"/>
          <w:b w:val="0"/>
          <w:i w:val="0"/>
          <w:sz w:val="20"/>
        </w:rPr>
        <w:t>Three refinements were applied: (a) SelectKBest (ANOVA F-test) to drop weak features; (b) GridSearchCV with 5-fold StratifiedKFold to tune Logistic Regression (C, k) on F1 and Random Forest (n_estimators, max_depth, min_samples_split, k) on Precision; (c) probability-threshold calibration via the precision???recall curve, with the Random Forest threshold moved from 0.50 to 0.294 to hit a target precision of 0.50 while preserving recall. The refined Random Forest is the final model ??? it dominates every metric except recall (where LR is higher but with very low precision) and offers the best ranking quality (ROC-AUC 0.746).</w:t>
      </w:r>
    </w:p>
    <w:p>
      <w:pPr>
        <w:spacing w:after="40" w:before="120"/>
      </w:pPr>
      <w:r>
        <w:rPr>
          <w:rFonts w:ascii="Times New Roman" w:hAnsi="Times New Roman"/>
          <w:b/>
          <w:i w:val="0"/>
          <w:sz w:val="22"/>
        </w:rPr>
        <w:t>3. Results</w:t>
      </w:r>
    </w:p>
    <w:p>
      <w:pPr>
        <w:spacing w:after="40" w:before="0"/>
      </w:pPr>
      <w:r>
        <w:rPr>
          <w:rFonts w:ascii="Times New Roman" w:hAnsi="Times New Roman"/>
          <w:b w:val="0"/>
          <w:i w:val="0"/>
          <w:sz w:val="20"/>
        </w:rPr>
        <w:t>Table I summarizes the four models on the held-out test set (20% stratified). The refined Random Forest is the best-performing model on Accuracy, Precision, F1, and ROC-AUC.</w:t>
      </w:r>
    </w:p>
    <w:tbl>
      <w:tblPr>
        <w:tblStyle w:val="LightGrid-Accent1"/>
        <w:tblW w:type="auto" w:w="0"/>
        <w:tblLook w:firstColumn="1" w:firstRow="1" w:lastColumn="0" w:lastRow="0" w:noHBand="0" w:noVBand="1" w:val="04A0"/>
      </w:tblPr>
      <w:tblGrid>
        <w:gridCol w:w="1701"/>
        <w:gridCol w:w="1701"/>
        <w:gridCol w:w="1701"/>
        <w:gridCol w:w="1701"/>
        <w:gridCol w:w="1701"/>
        <w:gridCol w:w="1701"/>
      </w:tblGrid>
      <w:tr>
        <w:tc>
          <w:tcPr>
            <w:tcW w:type="dxa" w:w="1701"/>
          </w:tcPr>
          <w:p>
            <w:r>
              <w:rPr>
                <w:rFonts w:ascii="Times New Roman" w:hAnsi="Times New Roman"/>
                <w:sz w:val="16"/>
              </w:rPr>
              <w:t>Model</w:t>
            </w:r>
          </w:p>
        </w:tc>
        <w:tc>
          <w:tcPr>
            <w:tcW w:type="dxa" w:w="1701"/>
          </w:tcPr>
          <w:p>
            <w:r>
              <w:rPr>
                <w:rFonts w:ascii="Times New Roman" w:hAnsi="Times New Roman"/>
                <w:sz w:val="16"/>
              </w:rPr>
              <w:t>Accuracy</w:t>
            </w:r>
          </w:p>
        </w:tc>
        <w:tc>
          <w:tcPr>
            <w:tcW w:type="dxa" w:w="1701"/>
          </w:tcPr>
          <w:p>
            <w:r>
              <w:rPr>
                <w:rFonts w:ascii="Times New Roman" w:hAnsi="Times New Roman"/>
                <w:sz w:val="16"/>
              </w:rPr>
              <w:t>Precision</w:t>
            </w:r>
          </w:p>
        </w:tc>
        <w:tc>
          <w:tcPr>
            <w:tcW w:type="dxa" w:w="1701"/>
          </w:tcPr>
          <w:p>
            <w:r>
              <w:rPr>
                <w:rFonts w:ascii="Times New Roman" w:hAnsi="Times New Roman"/>
                <w:sz w:val="16"/>
              </w:rPr>
              <w:t>Recall</w:t>
            </w:r>
          </w:p>
        </w:tc>
        <w:tc>
          <w:tcPr>
            <w:tcW w:type="dxa" w:w="1701"/>
          </w:tcPr>
          <w:p>
            <w:r>
              <w:rPr>
                <w:rFonts w:ascii="Times New Roman" w:hAnsi="Times New Roman"/>
                <w:sz w:val="16"/>
              </w:rPr>
              <w:t>F1</w:t>
            </w:r>
          </w:p>
        </w:tc>
        <w:tc>
          <w:tcPr>
            <w:tcW w:type="dxa" w:w="1701"/>
          </w:tcPr>
          <w:p>
            <w:r>
              <w:rPr>
                <w:rFonts w:ascii="Times New Roman" w:hAnsi="Times New Roman"/>
                <w:sz w:val="16"/>
              </w:rPr>
              <w:t>ROC-AUC</w:t>
            </w:r>
          </w:p>
        </w:tc>
      </w:tr>
      <w:tr>
        <w:tc>
          <w:tcPr>
            <w:tcW w:type="dxa" w:w="1701"/>
          </w:tcPr>
          <w:p>
            <w:r>
              <w:rPr>
                <w:rFonts w:ascii="Times New Roman" w:hAnsi="Times New Roman"/>
                <w:sz w:val="16"/>
              </w:rPr>
              <w:t>LR ??? Baseline</w:t>
            </w:r>
          </w:p>
        </w:tc>
        <w:tc>
          <w:tcPr>
            <w:tcW w:type="dxa" w:w="1701"/>
          </w:tcPr>
          <w:p>
            <w:r>
              <w:rPr>
                <w:rFonts w:ascii="Times New Roman" w:hAnsi="Times New Roman"/>
                <w:sz w:val="16"/>
              </w:rPr>
              <w:t>0.5870</w:t>
            </w:r>
          </w:p>
        </w:tc>
        <w:tc>
          <w:tcPr>
            <w:tcW w:type="dxa" w:w="1701"/>
          </w:tcPr>
          <w:p>
            <w:r>
              <w:rPr>
                <w:rFonts w:ascii="Times New Roman" w:hAnsi="Times New Roman"/>
                <w:sz w:val="16"/>
              </w:rPr>
              <w:t>0.2946</w:t>
            </w:r>
          </w:p>
        </w:tc>
        <w:tc>
          <w:tcPr>
            <w:tcW w:type="dxa" w:w="1701"/>
          </w:tcPr>
          <w:p>
            <w:r>
              <w:rPr>
                <w:rFonts w:ascii="Times New Roman" w:hAnsi="Times New Roman"/>
                <w:sz w:val="16"/>
              </w:rPr>
              <w:t>0.5893</w:t>
            </w:r>
          </w:p>
        </w:tc>
        <w:tc>
          <w:tcPr>
            <w:tcW w:type="dxa" w:w="1701"/>
          </w:tcPr>
          <w:p>
            <w:r>
              <w:rPr>
                <w:rFonts w:ascii="Times New Roman" w:hAnsi="Times New Roman"/>
                <w:sz w:val="16"/>
              </w:rPr>
              <w:t>0.3929</w:t>
            </w:r>
          </w:p>
        </w:tc>
        <w:tc>
          <w:tcPr>
            <w:tcW w:type="dxa" w:w="1701"/>
          </w:tcPr>
          <w:p>
            <w:r>
              <w:rPr>
                <w:rFonts w:ascii="Times New Roman" w:hAnsi="Times New Roman"/>
                <w:sz w:val="16"/>
              </w:rPr>
              <w:t>0.6192</w:t>
            </w:r>
          </w:p>
        </w:tc>
      </w:tr>
      <w:tr>
        <w:tc>
          <w:tcPr>
            <w:tcW w:type="dxa" w:w="1701"/>
          </w:tcPr>
          <w:p>
            <w:r>
              <w:rPr>
                <w:rFonts w:ascii="Times New Roman" w:hAnsi="Times New Roman"/>
                <w:sz w:val="16"/>
              </w:rPr>
              <w:t>RF ??? Baseline</w:t>
            </w:r>
          </w:p>
        </w:tc>
        <w:tc>
          <w:tcPr>
            <w:tcW w:type="dxa" w:w="1701"/>
          </w:tcPr>
          <w:p>
            <w:r>
              <w:rPr>
                <w:rFonts w:ascii="Times New Roman" w:hAnsi="Times New Roman"/>
                <w:sz w:val="16"/>
              </w:rPr>
              <w:t>0.7126</w:t>
            </w:r>
          </w:p>
        </w:tc>
        <w:tc>
          <w:tcPr>
            <w:tcW w:type="dxa" w:w="1701"/>
          </w:tcPr>
          <w:p>
            <w:r>
              <w:rPr>
                <w:rFonts w:ascii="Times New Roman" w:hAnsi="Times New Roman"/>
                <w:sz w:val="16"/>
              </w:rPr>
              <w:t>0.3707</w:t>
            </w:r>
          </w:p>
        </w:tc>
        <w:tc>
          <w:tcPr>
            <w:tcW w:type="dxa" w:w="1701"/>
          </w:tcPr>
          <w:p>
            <w:r>
              <w:rPr>
                <w:rFonts w:ascii="Times New Roman" w:hAnsi="Times New Roman"/>
                <w:sz w:val="16"/>
              </w:rPr>
              <w:t>0.3839</w:t>
            </w:r>
          </w:p>
        </w:tc>
        <w:tc>
          <w:tcPr>
            <w:tcW w:type="dxa" w:w="1701"/>
          </w:tcPr>
          <w:p>
            <w:r>
              <w:rPr>
                <w:rFonts w:ascii="Times New Roman" w:hAnsi="Times New Roman"/>
                <w:sz w:val="16"/>
              </w:rPr>
              <w:t>0.3772</w:t>
            </w:r>
          </w:p>
        </w:tc>
        <w:tc>
          <w:tcPr>
            <w:tcW w:type="dxa" w:w="1701"/>
          </w:tcPr>
          <w:p>
            <w:r>
              <w:rPr>
                <w:rFonts w:ascii="Times New Roman" w:hAnsi="Times New Roman"/>
                <w:sz w:val="16"/>
              </w:rPr>
              <w:t>0.6200</w:t>
            </w:r>
          </w:p>
        </w:tc>
      </w:tr>
      <w:tr>
        <w:tc>
          <w:tcPr>
            <w:tcW w:type="dxa" w:w="1701"/>
          </w:tcPr>
          <w:p>
            <w:r>
              <w:rPr>
                <w:rFonts w:ascii="Times New Roman" w:hAnsi="Times New Roman"/>
                <w:sz w:val="16"/>
              </w:rPr>
              <w:t>LR ??? Refined</w:t>
            </w:r>
          </w:p>
        </w:tc>
        <w:tc>
          <w:tcPr>
            <w:tcW w:type="dxa" w:w="1701"/>
          </w:tcPr>
          <w:p>
            <w:r>
              <w:rPr>
                <w:rFonts w:ascii="Times New Roman" w:hAnsi="Times New Roman"/>
                <w:sz w:val="16"/>
              </w:rPr>
              <w:t>0.5931</w:t>
            </w:r>
          </w:p>
        </w:tc>
        <w:tc>
          <w:tcPr>
            <w:tcW w:type="dxa" w:w="1701"/>
          </w:tcPr>
          <w:p>
            <w:r>
              <w:rPr>
                <w:rFonts w:ascii="Times New Roman" w:hAnsi="Times New Roman"/>
                <w:sz w:val="16"/>
              </w:rPr>
              <w:t>0.2986</w:t>
            </w:r>
          </w:p>
        </w:tc>
        <w:tc>
          <w:tcPr>
            <w:tcW w:type="dxa" w:w="1701"/>
          </w:tcPr>
          <w:p>
            <w:r>
              <w:rPr>
                <w:rFonts w:ascii="Times New Roman" w:hAnsi="Times New Roman"/>
                <w:sz w:val="16"/>
              </w:rPr>
              <w:t>0.5893</w:t>
            </w:r>
          </w:p>
        </w:tc>
        <w:tc>
          <w:tcPr>
            <w:tcW w:type="dxa" w:w="1701"/>
          </w:tcPr>
          <w:p>
            <w:r>
              <w:rPr>
                <w:rFonts w:ascii="Times New Roman" w:hAnsi="Times New Roman"/>
                <w:sz w:val="16"/>
              </w:rPr>
              <w:t>0.3964</w:t>
            </w:r>
          </w:p>
        </w:tc>
        <w:tc>
          <w:tcPr>
            <w:tcW w:type="dxa" w:w="1701"/>
          </w:tcPr>
          <w:p>
            <w:r>
              <w:rPr>
                <w:rFonts w:ascii="Times New Roman" w:hAnsi="Times New Roman"/>
                <w:sz w:val="16"/>
              </w:rPr>
              <w:t>0.6151</w:t>
            </w:r>
          </w:p>
        </w:tc>
      </w:tr>
      <w:tr>
        <w:tc>
          <w:tcPr>
            <w:tcW w:type="dxa" w:w="1701"/>
          </w:tcPr>
          <w:p>
            <w:r>
              <w:rPr>
                <w:rFonts w:ascii="Times New Roman" w:hAnsi="Times New Roman"/>
                <w:sz w:val="16"/>
              </w:rPr>
              <w:t>RF ??? Refined</w:t>
            </w:r>
          </w:p>
        </w:tc>
        <w:tc>
          <w:tcPr>
            <w:tcW w:type="dxa" w:w="1701"/>
          </w:tcPr>
          <w:p>
            <w:r>
              <w:rPr>
                <w:rFonts w:ascii="Times New Roman" w:hAnsi="Times New Roman"/>
                <w:sz w:val="16"/>
              </w:rPr>
              <w:t>0.7713</w:t>
            </w:r>
          </w:p>
        </w:tc>
        <w:tc>
          <w:tcPr>
            <w:tcW w:type="dxa" w:w="1701"/>
          </w:tcPr>
          <w:p>
            <w:r>
              <w:rPr>
                <w:rFonts w:ascii="Times New Roman" w:hAnsi="Times New Roman"/>
                <w:sz w:val="16"/>
              </w:rPr>
              <w:t>0.4946</w:t>
            </w:r>
          </w:p>
        </w:tc>
        <w:tc>
          <w:tcPr>
            <w:tcW w:type="dxa" w:w="1701"/>
          </w:tcPr>
          <w:p>
            <w:r>
              <w:rPr>
                <w:rFonts w:ascii="Times New Roman" w:hAnsi="Times New Roman"/>
                <w:sz w:val="16"/>
              </w:rPr>
              <w:t>0.4107</w:t>
            </w:r>
          </w:p>
        </w:tc>
        <w:tc>
          <w:tcPr>
            <w:tcW w:type="dxa" w:w="1701"/>
          </w:tcPr>
          <w:p>
            <w:r>
              <w:rPr>
                <w:rFonts w:ascii="Times New Roman" w:hAnsi="Times New Roman"/>
                <w:sz w:val="16"/>
              </w:rPr>
              <w:t>0.4488</w:t>
            </w:r>
          </w:p>
        </w:tc>
        <w:tc>
          <w:tcPr>
            <w:tcW w:type="dxa" w:w="1701"/>
          </w:tcPr>
          <w:p>
            <w:r>
              <w:rPr>
                <w:rFonts w:ascii="Times New Roman" w:hAnsi="Times New Roman"/>
                <w:sz w:val="16"/>
              </w:rPr>
              <w:t>0.7460</w:t>
            </w:r>
          </w:p>
        </w:tc>
      </w:tr>
    </w:tbl>
    <w:p>
      <w:pPr>
        <w:spacing w:after="120"/>
        <w:jc w:val="center"/>
      </w:pPr>
      <w:r>
        <w:rPr>
          <w:rFonts w:ascii="Times New Roman" w:hAnsi="Times New Roman"/>
          <w:i/>
          <w:sz w:val="18"/>
        </w:rPr>
        <w:t>Table I. Test-set performance of baseline vs refined models.</w:t>
      </w:r>
    </w:p>
    <w:p>
      <w:pPr>
        <w:spacing w:before="80" w:after="40"/>
        <w:jc w:val="center"/>
      </w:pPr>
      <w:r>
        <w:drawing>
          <wp:inline xmlns:a="http://schemas.openxmlformats.org/drawingml/2006/main" xmlns:pic="http://schemas.openxmlformats.org/drawingml/2006/picture">
            <wp:extent cx="2926080" cy="1315394"/>
            <wp:docPr id="7" name="Picture 7"/>
            <wp:cNvGraphicFramePr>
              <a:graphicFrameLocks noChangeAspect="1"/>
            </wp:cNvGraphicFramePr>
            <a:graphic>
              <a:graphicData uri="http://schemas.openxmlformats.org/drawingml/2006/picture">
                <pic:pic>
                  <pic:nvPicPr>
                    <pic:cNvPr id="0" name="image1.png"/>
                    <pic:cNvPicPr/>
                  </pic:nvPicPr>
                  <pic:blipFill>
                    <a:blip r:embed="rId15"/>
                    <a:stretch>
                      <a:fillRect/>
                    </a:stretch>
                  </pic:blipFill>
                  <pic:spPr>
                    <a:xfrm>
                      <a:off x="0" y="0"/>
                      <a:ext cx="2926080" cy="1315394"/>
                    </a:xfrm>
                    <a:prstGeom prst="rect"/>
                  </pic:spPr>
                </pic:pic>
              </a:graphicData>
            </a:graphic>
          </wp:inline>
        </w:drawing>
      </w:r>
    </w:p>
    <w:p>
      <w:pPr>
        <w:spacing w:after="120"/>
        <w:jc w:val="center"/>
      </w:pPr>
      <w:r>
        <w:rPr>
          <w:rFonts w:ascii="Times New Roman" w:hAnsi="Times New Roman"/>
          <w:i/>
          <w:sz w:val="18"/>
        </w:rPr>
        <w:t>Figure 1. Baseline vs Refined ??? metric-wise comparison.</w:t>
      </w:r>
    </w:p>
    <w:p>
      <w:pPr>
        <w:spacing w:after="40" w:before="0"/>
      </w:pPr>
      <w:r>
        <w:rPr>
          <w:rFonts w:ascii="Times New Roman" w:hAnsi="Times New Roman"/>
          <w:b w:val="0"/>
          <w:i w:val="0"/>
          <w:sz w:val="20"/>
        </w:rPr>
        <w:t>The Refined Random Forest lifts Precision from 0.371 to 0.495 (+33%) and ROC-AUC from 0.620 to 0.746 (+20%) versus its baseline. Recall dips slightly (0.384 ??? 0.411 after threshold calibration, still positive), which is acceptable because the collections queue is precision-bound.</w:t>
      </w:r>
    </w:p>
    <w:p>
      <w:pPr>
        <w:spacing w:before="80" w:after="40"/>
        <w:jc w:val="center"/>
      </w:pPr>
      <w:r>
        <w:drawing>
          <wp:inline xmlns:a="http://schemas.openxmlformats.org/drawingml/2006/main" xmlns:pic="http://schemas.openxmlformats.org/drawingml/2006/picture">
            <wp:extent cx="2926080" cy="2833644"/>
            <wp:docPr id="8" name="Picture 8"/>
            <wp:cNvGraphicFramePr>
              <a:graphicFrameLocks noChangeAspect="1"/>
            </wp:cNvGraphicFramePr>
            <a:graphic>
              <a:graphicData uri="http://schemas.openxmlformats.org/drawingml/2006/picture">
                <pic:pic>
                  <pic:nvPicPr>
                    <pic:cNvPr id="0" name="image2.png"/>
                    <pic:cNvPicPr/>
                  </pic:nvPicPr>
                  <pic:blipFill>
                    <a:blip r:embed="rId16"/>
                    <a:stretch>
                      <a:fillRect/>
                    </a:stretch>
                  </pic:blipFill>
                  <pic:spPr>
                    <a:xfrm>
                      <a:off x="0" y="0"/>
                      <a:ext cx="2926080" cy="2833644"/>
                    </a:xfrm>
                    <a:prstGeom prst="rect"/>
                  </pic:spPr>
                </pic:pic>
              </a:graphicData>
            </a:graphic>
          </wp:inline>
        </w:drawing>
      </w:r>
    </w:p>
    <w:p>
      <w:pPr>
        <w:spacing w:after="120"/>
        <w:jc w:val="center"/>
      </w:pPr>
      <w:r>
        <w:rPr>
          <w:rFonts w:ascii="Times New Roman" w:hAnsi="Times New Roman"/>
          <w:i/>
          <w:sz w:val="18"/>
        </w:rPr>
        <w:t>Figure 2. Confusion matrices ??? baseline vs refined (LR top, RF bottom).</w:t>
      </w:r>
    </w:p>
    <w:p>
      <w:pPr>
        <w:spacing w:after="40" w:before="0"/>
      </w:pPr>
      <w:r>
        <w:rPr>
          <w:rFonts w:ascii="Times New Roman" w:hAnsi="Times New Roman"/>
          <w:b w:val="0"/>
          <w:i w:val="0"/>
          <w:sz w:val="20"/>
        </w:rPr>
        <w:t>Refined RF correctly catches 46 of 112 disputes while raising True-Negatives from 309 to 335 and lowering False-Positives from 73 to 47 ??? exactly the trade-off collectors want.</w:t>
      </w:r>
    </w:p>
    <w:p>
      <w:pPr>
        <w:spacing w:before="80" w:after="40"/>
        <w:jc w:val="center"/>
      </w:pPr>
      <w:r>
        <w:drawing>
          <wp:inline xmlns:a="http://schemas.openxmlformats.org/drawingml/2006/main" xmlns:pic="http://schemas.openxmlformats.org/drawingml/2006/picture">
            <wp:extent cx="2743200" cy="2345635"/>
            <wp:docPr id="9" name="Picture 9"/>
            <wp:cNvGraphicFramePr>
              <a:graphicFrameLocks noChangeAspect="1"/>
            </wp:cNvGraphicFramePr>
            <a:graphic>
              <a:graphicData uri="http://schemas.openxmlformats.org/drawingml/2006/picture">
                <pic:pic>
                  <pic:nvPicPr>
                    <pic:cNvPr id="0" name="image3.png"/>
                    <pic:cNvPicPr/>
                  </pic:nvPicPr>
                  <pic:blipFill>
                    <a:blip r:embed="rId17"/>
                    <a:stretch>
                      <a:fillRect/>
                    </a:stretch>
                  </pic:blipFill>
                  <pic:spPr>
                    <a:xfrm>
                      <a:off x="0" y="0"/>
                      <a:ext cx="2743200" cy="2345635"/>
                    </a:xfrm>
                    <a:prstGeom prst="rect"/>
                  </pic:spPr>
                </pic:pic>
              </a:graphicData>
            </a:graphic>
          </wp:inline>
        </w:drawing>
      </w:r>
    </w:p>
    <w:p>
      <w:pPr>
        <w:spacing w:after="120"/>
        <w:jc w:val="center"/>
      </w:pPr>
      <w:r>
        <w:rPr>
          <w:rFonts w:ascii="Times New Roman" w:hAnsi="Times New Roman"/>
          <w:i/>
          <w:sz w:val="18"/>
        </w:rPr>
        <w:t>Figure 3. ROC curves ??? Refined RF dominates all other models.</w:t>
      </w:r>
    </w:p>
    <w:p>
      <w:pPr>
        <w:spacing w:before="80" w:after="40"/>
        <w:jc w:val="center"/>
      </w:pPr>
      <w:r>
        <w:drawing>
          <wp:inline xmlns:a="http://schemas.openxmlformats.org/drawingml/2006/main" xmlns:pic="http://schemas.openxmlformats.org/drawingml/2006/picture">
            <wp:extent cx="2926080" cy="1814910"/>
            <wp:docPr id="10" name="Picture 10"/>
            <wp:cNvGraphicFramePr>
              <a:graphicFrameLocks noChangeAspect="1"/>
            </wp:cNvGraphicFramePr>
            <a:graphic>
              <a:graphicData uri="http://schemas.openxmlformats.org/drawingml/2006/picture">
                <pic:pic>
                  <pic:nvPicPr>
                    <pic:cNvPr id="0" name="image4.png"/>
                    <pic:cNvPicPr/>
                  </pic:nvPicPr>
                  <pic:blipFill>
                    <a:blip r:embed="rId18"/>
                    <a:stretch>
                      <a:fillRect/>
                    </a:stretch>
                  </pic:blipFill>
                  <pic:spPr>
                    <a:xfrm>
                      <a:off x="0" y="0"/>
                      <a:ext cx="2926080" cy="1814910"/>
                    </a:xfrm>
                    <a:prstGeom prst="rect"/>
                  </pic:spPr>
                </pic:pic>
              </a:graphicData>
            </a:graphic>
          </wp:inline>
        </w:drawing>
      </w:r>
    </w:p>
    <w:p>
      <w:pPr>
        <w:spacing w:after="120"/>
        <w:jc w:val="center"/>
      </w:pPr>
      <w:r>
        <w:rPr>
          <w:rFonts w:ascii="Times New Roman" w:hAnsi="Times New Roman"/>
          <w:i/>
          <w:sz w:val="18"/>
        </w:rPr>
        <w:t>Figure 4. Refined Random Forest ??? feature importance.</w:t>
      </w:r>
    </w:p>
    <w:p>
      <w:pPr>
        <w:spacing w:after="40" w:before="0"/>
      </w:pPr>
      <w:r>
        <w:rPr>
          <w:rFonts w:ascii="Times New Roman" w:hAnsi="Times New Roman"/>
          <w:b w:val="0"/>
          <w:i w:val="0"/>
          <w:sz w:val="20"/>
        </w:rPr>
        <w:t>InvoiceAmount, CustomerFreq, and countryCode together account for ~71% of the model's predictive signal ??? large invoices, less-frequent customers, and certain countries dominate dispute risk.</w:t>
      </w:r>
    </w:p>
    <w:p>
      <w:pPr>
        <w:spacing w:before="80" w:after="40"/>
        <w:jc w:val="center"/>
      </w:pPr>
      <w:r>
        <w:drawing>
          <wp:inline xmlns:a="http://schemas.openxmlformats.org/drawingml/2006/main" xmlns:pic="http://schemas.openxmlformats.org/drawingml/2006/picture">
            <wp:extent cx="2926080" cy="1814910"/>
            <wp:docPr id="11" name="Picture 11"/>
            <wp:cNvGraphicFramePr>
              <a:graphicFrameLocks noChangeAspect="1"/>
            </wp:cNvGraphicFramePr>
            <a:graphic>
              <a:graphicData uri="http://schemas.openxmlformats.org/drawingml/2006/picture">
                <pic:pic>
                  <pic:nvPicPr>
                    <pic:cNvPr id="0" name="image5.png"/>
                    <pic:cNvPicPr/>
                  </pic:nvPicPr>
                  <pic:blipFill>
                    <a:blip r:embed="rId19"/>
                    <a:stretch>
                      <a:fillRect/>
                    </a:stretch>
                  </pic:blipFill>
                  <pic:spPr>
                    <a:xfrm>
                      <a:off x="0" y="0"/>
                      <a:ext cx="2926080" cy="1814910"/>
                    </a:xfrm>
                    <a:prstGeom prst="rect"/>
                  </pic:spPr>
                </pic:pic>
              </a:graphicData>
            </a:graphic>
          </wp:inline>
        </w:drawing>
      </w:r>
    </w:p>
    <w:p>
      <w:pPr>
        <w:spacing w:after="120"/>
        <w:jc w:val="center"/>
      </w:pPr>
      <w:r>
        <w:rPr>
          <w:rFonts w:ascii="Times New Roman" w:hAnsi="Times New Roman"/>
          <w:i/>
          <w:sz w:val="18"/>
        </w:rPr>
        <w:t>Figure 5. Refined Logistic Regression ??? standardized coefficients.</w:t>
      </w:r>
    </w:p>
    <w:p>
      <w:pPr>
        <w:spacing w:after="40" w:before="0"/>
      </w:pPr>
      <w:r>
        <w:rPr>
          <w:rFonts w:ascii="Times New Roman" w:hAnsi="Times New Roman"/>
          <w:b w:val="0"/>
          <w:i w:val="0"/>
          <w:sz w:val="20"/>
        </w:rPr>
        <w:t>LR coefficients confirm the same direction: InvoiceAmount, InvoiceMonth and countryCode push risk up; PaperlessBill and DaysSincePaperless push risk down (long-time paperless customers dispute less).</w:t>
      </w:r>
    </w:p>
    <w:p>
      <w:pPr>
        <w:spacing w:after="40" w:before="120"/>
      </w:pPr>
      <w:r>
        <w:rPr>
          <w:rFonts w:ascii="Times New Roman" w:hAnsi="Times New Roman"/>
          <w:b/>
          <w:i w:val="0"/>
          <w:sz w:val="20"/>
        </w:rPr>
        <w:t>3.1 Discussion</w:t>
      </w:r>
    </w:p>
    <w:p>
      <w:pPr>
        <w:spacing w:after="40" w:before="80"/>
      </w:pPr>
      <w:r>
        <w:rPr>
          <w:rFonts w:ascii="Times New Roman" w:hAnsi="Times New Roman"/>
          <w:b/>
          <w:i w:val="0"/>
          <w:sz w:val="20"/>
        </w:rPr>
        <w:t>Model Performance.</w:t>
      </w:r>
    </w:p>
    <w:p>
      <w:pPr>
        <w:spacing w:after="40" w:before="0"/>
      </w:pPr>
      <w:r>
        <w:rPr>
          <w:rFonts w:ascii="Times New Roman" w:hAnsi="Times New Roman"/>
          <w:b w:val="0"/>
          <w:i w:val="0"/>
          <w:sz w:val="20"/>
        </w:rPr>
        <w:t>The Refined Random Forest is the strongest model: ROC-AUC 0.746 is well above the 0.62 baselines and the only score that exceeds the 0.70 'usable for production ranking' threshold. Precision rose from 0.371 to 0.495 because GridSearchCV optimized for precision and threshold calibration trimmed the low-confidence region of the score distribution.</w:t>
      </w:r>
    </w:p>
    <w:p>
      <w:pPr>
        <w:spacing w:after="40" w:before="80"/>
      </w:pPr>
      <w:r>
        <w:rPr>
          <w:rFonts w:ascii="Times New Roman" w:hAnsi="Times New Roman"/>
          <w:b/>
          <w:i w:val="0"/>
          <w:sz w:val="20"/>
        </w:rPr>
        <w:t>Model Suitability.</w:t>
      </w:r>
    </w:p>
    <w:p>
      <w:pPr>
        <w:spacing w:after="40" w:before="0"/>
      </w:pPr>
      <w:r>
        <w:rPr>
          <w:rFonts w:ascii="Times New Roman" w:hAnsi="Times New Roman"/>
          <w:b w:val="0"/>
          <w:i w:val="0"/>
          <w:sz w:val="20"/>
        </w:rPr>
        <w:t>Collections capacity is the binding constraint. A precision-bound, ranked-risk queue means almost half of the flagged invoices are real disputes, doubling the hit-rate of random outreach (22.7%). This directly meets the business objective of reducing wasted collector effort while still catching ~41% of disputes early.</w:t>
      </w:r>
    </w:p>
    <w:p>
      <w:pPr>
        <w:spacing w:after="40" w:before="80"/>
      </w:pPr>
      <w:r>
        <w:rPr>
          <w:rFonts w:ascii="Times New Roman" w:hAnsi="Times New Roman"/>
          <w:b/>
          <w:i w:val="0"/>
          <w:sz w:val="20"/>
        </w:rPr>
        <w:t>Comparison of Models.</w:t>
      </w:r>
    </w:p>
    <w:p>
      <w:pPr>
        <w:spacing w:after="40" w:before="0"/>
      </w:pPr>
      <w:r>
        <w:rPr>
          <w:rFonts w:ascii="Times New Roman" w:hAnsi="Times New Roman"/>
          <w:b w:val="0"/>
          <w:i w:val="0"/>
          <w:sz w:val="20"/>
        </w:rPr>
        <w:t>Logistic Regression remains useful for explanation but its low Precision (???0.30) makes it unsuitable as the operational ranker. Random Forest was the right AI recommendation for this tabular, mixed-signal problem; refinement amplified its advantage on every metric except recall.</w:t>
      </w:r>
    </w:p>
    <w:p>
      <w:pPr>
        <w:spacing w:after="40" w:before="80"/>
      </w:pPr>
      <w:r>
        <w:rPr>
          <w:rFonts w:ascii="Times New Roman" w:hAnsi="Times New Roman"/>
          <w:b/>
          <w:i w:val="0"/>
          <w:sz w:val="20"/>
        </w:rPr>
        <w:t>Feature Importance and Business Insight.</w:t>
      </w:r>
    </w:p>
    <w:p>
      <w:pPr>
        <w:spacing w:after="40" w:before="0"/>
      </w:pPr>
      <w:r>
        <w:rPr>
          <w:rFonts w:ascii="Times New Roman" w:hAnsi="Times New Roman"/>
          <w:b w:val="0"/>
          <w:i w:val="0"/>
          <w:sz w:val="20"/>
        </w:rPr>
        <w:t>Both models agree on the top drivers ??? InvoiceAmount, CustomerFreq, countryCode ??? which is reassuring (consistency across model families). Translating these into actionable business intelligence:</w:t>
      </w:r>
    </w:p>
    <w:p>
      <w:pPr>
        <w:spacing w:after="40" w:before="0"/>
      </w:pPr>
      <w:r>
        <w:rPr>
          <w:rFonts w:ascii="Times New Roman" w:hAnsi="Times New Roman"/>
          <w:b w:val="0"/>
          <w:i w:val="0"/>
          <w:sz w:val="20"/>
        </w:rPr>
        <w:t>• InvoiceAmount (most important in RF, strongest positive coefficient in LR): large invoices are disproportionately disputed. Collections teams should prioritize the top-value flagged invoices first ??? a single avoided dispute on a high-amount invoice can offset the cost of several collector calls.</w:t>
      </w:r>
    </w:p>
    <w:p>
      <w:pPr>
        <w:spacing w:after="40" w:before="0"/>
      </w:pPr>
      <w:r>
        <w:rPr>
          <w:rFonts w:ascii="Times New Roman" w:hAnsi="Times New Roman"/>
          <w:b w:val="0"/>
          <w:i w:val="0"/>
          <w:sz w:val="20"/>
        </w:rPr>
        <w:t>• CustomerFreq (second in RF): low-frequency (new or infrequent) customers dispute more often. This signals that onboarding and first-invoice communication should be reinforced for new accounts to reduce early-tenure disputes.</w:t>
      </w:r>
    </w:p>
    <w:p>
      <w:pPr>
        <w:spacing w:after="40" w:before="0"/>
      </w:pPr>
      <w:r>
        <w:rPr>
          <w:rFonts w:ascii="Times New Roman" w:hAnsi="Times New Roman"/>
          <w:b w:val="0"/>
          <w:i w:val="0"/>
          <w:sz w:val="20"/>
        </w:rPr>
        <w:t>• countryCode (top-3 in both models): dispute risk differs significantly by geography. The collections team can create country-specific follow-up protocols for the highest-risk regions identified by the model.</w:t>
      </w:r>
    </w:p>
    <w:p>
      <w:pPr>
        <w:spacing w:after="40" w:before="0"/>
      </w:pPr>
      <w:r>
        <w:rPr>
          <w:rFonts w:ascii="Times New Roman" w:hAnsi="Times New Roman"/>
          <w:b w:val="0"/>
          <w:i w:val="0"/>
          <w:sz w:val="20"/>
        </w:rPr>
        <w:t>• PaperlessBill and DaysSincePaperless (negative LR coefficients): customers enrolled in paperless billing for longer dispute less. Proactively enrolling new customers in e-invoicing is a low-cost, model-supported intervention to reduce dispute rates over time.</w:t>
      </w:r>
    </w:p>
    <w:p>
      <w:pPr>
        <w:spacing w:after="40" w:before="0"/>
      </w:pPr>
      <w:r>
        <w:rPr>
          <w:rFonts w:ascii="Times New Roman" w:hAnsi="Times New Roman"/>
          <w:b w:val="0"/>
          <w:i w:val="0"/>
          <w:sz w:val="20"/>
        </w:rPr>
        <w:t>Overall, the model converts 22.7% random dispute prevalence into a ranked queue where ~50% of the top-flagged invoices are real disputes ??? a 2.2x lift that directly reduces wasted collector effort and shortens Days Sales Outstanding.</w:t>
      </w:r>
    </w:p>
    <w:p>
      <w:pPr>
        <w:spacing w:after="40" w:before="120"/>
      </w:pPr>
      <w:r>
        <w:rPr>
          <w:rFonts w:ascii="Times New Roman" w:hAnsi="Times New Roman"/>
          <w:b/>
          <w:i w:val="0"/>
          <w:sz w:val="20"/>
        </w:rPr>
        <w:t>3.2 Conclusion and Recommendations</w:t>
      </w:r>
    </w:p>
    <w:p>
      <w:pPr>
        <w:spacing w:after="40" w:before="80"/>
      </w:pPr>
      <w:r>
        <w:rPr>
          <w:rFonts w:ascii="Times New Roman" w:hAnsi="Times New Roman"/>
          <w:b/>
          <w:i w:val="0"/>
          <w:sz w:val="20"/>
        </w:rPr>
        <w:t>Conclusion.</w:t>
      </w:r>
    </w:p>
    <w:p>
      <w:pPr>
        <w:spacing w:after="40" w:before="0"/>
      </w:pPr>
      <w:r>
        <w:rPr>
          <w:rFonts w:ascii="Times New Roman" w:hAnsi="Times New Roman"/>
          <w:b w:val="0"/>
          <w:i w:val="0"/>
          <w:sz w:val="20"/>
        </w:rPr>
        <w:t>A leakage-free predictive pipeline was built and refined on 2,466 AR invoices. The Refined Random Forest (ROC-AUC 0.746, Precision 0.495) is the final model. It is interpretable through its feature importances, stable under 5-fold CV, and aligned with the business need for a precision-oriented early-warning queue.</w:t>
      </w:r>
    </w:p>
    <w:p>
      <w:pPr>
        <w:spacing w:after="40" w:before="80"/>
      </w:pPr>
      <w:r>
        <w:rPr>
          <w:rFonts w:ascii="Times New Roman" w:hAnsi="Times New Roman"/>
          <w:b/>
          <w:i w:val="0"/>
          <w:sz w:val="20"/>
        </w:rPr>
        <w:t>Recommendations.</w:t>
      </w:r>
    </w:p>
    <w:p>
      <w:pPr>
        <w:spacing w:after="40" w:before="0"/>
      </w:pPr>
      <w:r>
        <w:rPr>
          <w:rFonts w:ascii="Times New Roman" w:hAnsi="Times New Roman"/>
          <w:b w:val="0"/>
          <w:i w:val="0"/>
          <w:sz w:val="20"/>
        </w:rPr>
        <w:t>(1) Deploy the Refined RF as a daily-scored ranked queue at operating-point threshold 0.294. (2) Monitor monthly for drift on InvoiceAmount distribution and customer mix. (3) Re-train quarterly as new settled invoices grow the dataset. (4) Pair the model with the LR coefficient view as the explanation layer for collectors and auditors.</w:t>
      </w:r>
    </w:p>
    <w:p>
      <w:pPr>
        <w:spacing w:after="40" w:before="120"/>
      </w:pPr>
      <w:r>
        <w:rPr>
          <w:rFonts w:ascii="Times New Roman" w:hAnsi="Times New Roman"/>
          <w:b/>
          <w:i w:val="0"/>
          <w:sz w:val="22"/>
        </w:rPr>
        <w:t>References</w:t>
      </w:r>
    </w:p>
    <w:p>
      <w:pPr>
        <w:spacing w:after="40" w:before="0"/>
      </w:pPr>
      <w:r>
        <w:rPr>
          <w:rFonts w:ascii="Times New Roman" w:hAnsi="Times New Roman"/>
          <w:b w:val="0"/>
          <w:i w:val="0"/>
          <w:sz w:val="20"/>
        </w:rPr>
        <w:t>[1] IBM, "Sample dataset: WA_Fn-UseC_-Accounts-Receivable", IBM Cognos Analytics samples.</w:t>
      </w:r>
    </w:p>
    <w:p>
      <w:pPr>
        <w:spacing w:after="40" w:before="0"/>
      </w:pPr>
      <w:r>
        <w:rPr>
          <w:rFonts w:ascii="Times New Roman" w:hAnsi="Times New Roman"/>
          <w:b w:val="0"/>
          <w:i w:val="0"/>
          <w:sz w:val="20"/>
        </w:rPr>
        <w:t>[2] F. Pedregosa et al., "Scikit-learn: Machine Learning in Python," J. Mach. Learn. Res., vol. 12, pp. 2825???2830, 2011.</w:t>
      </w:r>
    </w:p>
    <w:p>
      <w:pPr>
        <w:spacing w:after="40" w:before="0"/>
      </w:pPr>
      <w:r>
        <w:rPr>
          <w:rFonts w:ascii="Times New Roman" w:hAnsi="Times New Roman"/>
          <w:b w:val="0"/>
          <w:i w:val="0"/>
          <w:sz w:val="20"/>
        </w:rPr>
        <w:t>[3] L. Breiman, "Random Forests," Machine Learning, vol. 45, no. 1, pp. 5???32, 2001.</w:t>
      </w:r>
    </w:p>
    <w:p>
      <w:pPr>
        <w:spacing w:after="40" w:before="0"/>
      </w:pPr>
      <w:r>
        <w:rPr>
          <w:rFonts w:ascii="Times New Roman" w:hAnsi="Times New Roman"/>
          <w:b w:val="0"/>
          <w:i w:val="0"/>
          <w:sz w:val="20"/>
        </w:rPr>
        <w:t>[4] D. W. Hosmer, S. Lemeshow, and R. X. Sturdivant, Applied Logistic Regression, 3rd ed. Hoboken, NJ: Wiley, 2013.</w:t>
      </w:r>
    </w:p>
    <w:p>
      <w:pPr>
        <w:spacing w:after="40" w:before="0"/>
      </w:pPr>
      <w:r>
        <w:rPr>
          <w:rFonts w:ascii="Times New Roman" w:hAnsi="Times New Roman"/>
          <w:b w:val="0"/>
          <w:i w:val="0"/>
          <w:sz w:val="20"/>
        </w:rPr>
        <w:t>[5] J. Davis and M. Goadrich, "The relationship between Precision???Recall and ROC curves," in Proc. ICML, 2006, pp. 233???240.</w:t>
      </w:r>
    </w:p>
    <w:sectPr w:rsidR="00FC693F" w:rsidRPr="0006063C" w:rsidSect="00034616">
      <w:type w:val="continuous"/>
      <w:pgSz w:w="11906" w:h="16838"/>
      <w:pgMar w:top="1077" w:right="850" w:bottom="1077" w:left="850" w:header="720" w:footer="720" w:gutter="0"/>
      <w:cols w:space="432"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