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39FED5FE"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2C0898" w:rsidRPr="002C0898">
        <w:rPr>
          <w:rFonts w:ascii="Times New Roman" w:hAnsi="Times New Roman" w:cs="Times New Roman"/>
          <w:bCs/>
          <w:sz w:val="32"/>
          <w:szCs w:val="32"/>
        </w:rPr>
        <w:t>Ma</w:t>
      </w:r>
      <w:r w:rsidR="00BF0D7B">
        <w:rPr>
          <w:rFonts w:ascii="Times New Roman" w:hAnsi="Times New Roman" w:cs="Times New Roman"/>
          <w:bCs/>
          <w:sz w:val="32"/>
          <w:szCs w:val="32"/>
        </w:rPr>
        <w:t>rk Jackson J</w:t>
      </w:r>
    </w:p>
    <w:p w14:paraId="4AAA75A9" w14:textId="1FA2EBBD"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BF0D7B">
        <w:rPr>
          <w:rFonts w:ascii="Times New Roman" w:hAnsi="Times New Roman" w:cs="Times New Roman"/>
          <w:sz w:val="32"/>
          <w:szCs w:val="32"/>
        </w:rPr>
        <w:t xml:space="preserve"> 711721243059</w:t>
      </w:r>
    </w:p>
    <w:p w14:paraId="2F21FCD2" w14:textId="0720C36B"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BF0D7B">
        <w:rPr>
          <w:rFonts w:ascii="Times New Roman" w:hAnsi="Times New Roman" w:cs="Times New Roman"/>
          <w:sz w:val="32"/>
          <w:szCs w:val="32"/>
        </w:rPr>
        <w:t xml:space="preserve"> au711721243059</w:t>
      </w:r>
      <w:bookmarkStart w:id="0" w:name="_GoBack"/>
      <w:bookmarkEnd w:id="0"/>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75058" w14:textId="77777777" w:rsidR="00673690" w:rsidRDefault="00673690" w:rsidP="00EA2CF2">
      <w:pPr>
        <w:spacing w:after="0" w:line="240" w:lineRule="auto"/>
      </w:pPr>
      <w:r>
        <w:separator/>
      </w:r>
    </w:p>
  </w:endnote>
  <w:endnote w:type="continuationSeparator" w:id="0">
    <w:p w14:paraId="2EBA09E0" w14:textId="77777777" w:rsidR="00673690" w:rsidRDefault="00673690"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D879F" w14:textId="77777777" w:rsidR="00673690" w:rsidRDefault="00673690" w:rsidP="00EA2CF2">
      <w:pPr>
        <w:spacing w:after="0" w:line="240" w:lineRule="auto"/>
      </w:pPr>
      <w:r>
        <w:separator/>
      </w:r>
    </w:p>
  </w:footnote>
  <w:footnote w:type="continuationSeparator" w:id="0">
    <w:p w14:paraId="7E71F8C1" w14:textId="77777777" w:rsidR="00673690" w:rsidRDefault="00673690"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673690"/>
    <w:rsid w:val="00791D5D"/>
    <w:rsid w:val="00877C47"/>
    <w:rsid w:val="008F7B3F"/>
    <w:rsid w:val="0091240D"/>
    <w:rsid w:val="009C55DC"/>
    <w:rsid w:val="00A35FCD"/>
    <w:rsid w:val="00A83E5C"/>
    <w:rsid w:val="00AB068B"/>
    <w:rsid w:val="00AC6928"/>
    <w:rsid w:val="00B22BDA"/>
    <w:rsid w:val="00B6587A"/>
    <w:rsid w:val="00B93779"/>
    <w:rsid w:val="00BA502C"/>
    <w:rsid w:val="00BF0D7B"/>
    <w:rsid w:val="00D34906"/>
    <w:rsid w:val="00D43261"/>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633B-996F-4513-953E-E4C0A178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4</cp:revision>
  <dcterms:created xsi:type="dcterms:W3CDTF">2023-11-01T09:54:00Z</dcterms:created>
  <dcterms:modified xsi:type="dcterms:W3CDTF">2023-11-01T10:28:00Z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