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520" w:line="264" w:lineRule="auto"/>
        <w:jc w:val="center"/>
      </w:pPr>
      <w:r>
        <w:rPr>
          <w:rFonts w:ascii="Calibri" w:hAnsi="Calibri"/>
          <w:b/>
          <w:i w:val="0"/>
          <w:color w:val="3D8DFF"/>
          <w:sz w:val="20"/>
        </w:rPr>
        <w:t>PORTFOLIO CASE STUDY</w:t>
      </w:r>
    </w:p>
    <w:p>
      <w:pPr>
        <w:spacing w:before="0" w:after="140" w:line="264" w:lineRule="auto"/>
        <w:jc w:val="center"/>
      </w:pPr>
      <w:r>
        <w:rPr>
          <w:rFonts w:ascii="Calibri" w:hAnsi="Calibri"/>
          <w:b/>
          <w:i w:val="0"/>
          <w:color w:val="183B56"/>
          <w:sz w:val="54"/>
        </w:rPr>
        <w:t>Bitcoin vs. Bitcoin Proxy Stocks</w:t>
      </w:r>
    </w:p>
    <w:p>
      <w:pPr>
        <w:spacing w:before="0" w:after="480" w:line="264" w:lineRule="auto"/>
        <w:jc w:val="center"/>
      </w:pPr>
      <w:r>
        <w:rPr>
          <w:rFonts w:ascii="Calibri" w:hAnsi="Calibri"/>
          <w:b w:val="0"/>
          <w:i w:val="0"/>
          <w:color w:val="3D8DFF"/>
          <w:sz w:val="34"/>
        </w:rPr>
        <w:t>An AI-Augmented Investment Analytics System</w:t>
      </w:r>
    </w:p>
    <w:p>
      <w:pPr>
        <w:spacing w:before="0" w:after="920" w:line="264" w:lineRule="auto"/>
        <w:jc w:val="center"/>
      </w:pPr>
      <w:r>
        <w:rPr>
          <w:rFonts w:ascii="Calibri" w:hAnsi="Calibri"/>
          <w:b w:val="0"/>
          <w:i/>
          <w:color w:val="586574"/>
          <w:sz w:val="23"/>
        </w:rPr>
        <w:t>A June 2025 analysis rebuilt with a ChatGPT-centered five-stage decision process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5FB"/>
            <w:vAlign w:val="center"/>
          </w:tcPr>
          <w:p>
            <w:pPr>
              <w:spacing w:after="0"/>
            </w:pPr>
            <w:r>
              <w:rPr>
                <w:rFonts w:ascii="Calibri" w:hAnsi="Calibri"/>
                <w:b/>
                <w:i w:val="0"/>
                <w:color w:val="3D8DFF"/>
                <w:sz w:val="21"/>
              </w:rPr>
              <w:t xml:space="preserve">Central question: </w:t>
            </w:r>
            <w:r>
              <w:rPr>
                <w:rFonts w:ascii="Calibri" w:hAnsi="Calibri"/>
                <w:b w:val="0"/>
                <w:i w:val="0"/>
                <w:color w:val="17212B"/>
                <w:sz w:val="21"/>
              </w:rPr>
              <w:t>Should an investor own Bitcoin directly, or can a publicly traded Bitcoin proxy create greater value per diluted common share during a major Bitcoin bull market?</w:t>
            </w:r>
          </w:p>
        </w:tc>
      </w:tr>
    </w:tbl>
    <w:p>
      <w:pPr>
        <w:spacing w:before="0" w:after="80" w:line="264" w:lineRule="auto"/>
      </w:pPr>
    </w:p>
    <w:p>
      <w:pPr>
        <w:spacing w:before="400" w:after="40" w:line="264" w:lineRule="auto"/>
        <w:jc w:val="center"/>
      </w:pPr>
      <w:r>
        <w:rPr>
          <w:rFonts w:ascii="Calibri" w:hAnsi="Calibri"/>
          <w:b/>
          <w:i w:val="0"/>
          <w:color w:val="586574"/>
          <w:sz w:val="18"/>
        </w:rPr>
        <w:t>Scope</w:t>
      </w:r>
    </w:p>
    <w:p>
      <w:pPr>
        <w:spacing w:before="0" w:after="960" w:line="264" w:lineRule="auto"/>
        <w:jc w:val="center"/>
      </w:pPr>
      <w:r>
        <w:rPr>
          <w:rFonts w:ascii="Calibri" w:hAnsi="Calibri"/>
          <w:b w:val="0"/>
          <w:i w:val="0"/>
          <w:color w:val="17212B"/>
          <w:sz w:val="20"/>
        </w:rPr>
        <w:t>Six public companies | Three Bitcoin scenarios | 24-month horizon | Source data through August 2026</w:t>
      </w:r>
    </w:p>
    <w:p>
      <w:pPr>
        <w:spacing w:before="0" w:after="0" w:line="264" w:lineRule="auto"/>
        <w:jc w:val="center"/>
      </w:pPr>
      <w:r>
        <w:rPr>
          <w:rFonts w:ascii="Calibri" w:hAnsi="Calibri"/>
          <w:b w:val="0"/>
          <w:i w:val="0"/>
          <w:color w:val="586574"/>
          <w:sz w:val="19"/>
        </w:rPr>
        <w:t>Prepared as an employer-facing demonstration of decision framing, source normalization, financial modeling, validation, and executive interpretation.</w:t>
      </w:r>
    </w:p>
    <w:p>
      <w:r>
        <w:br w:type="page"/>
      </w:r>
    </w:p>
    <w:p>
      <w:pPr>
        <w:pStyle w:val="Heading1"/>
        <w:keepNext/>
      </w:pPr>
      <w:r>
        <w:t>Technical summary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5FB"/>
            <w:vAlign w:val="center"/>
          </w:tcPr>
          <w:p>
            <w:pPr>
              <w:spacing w:after="0"/>
            </w:pPr>
            <w:r>
              <w:rPr>
                <w:rFonts w:ascii="Calibri" w:hAnsi="Calibri"/>
                <w:b/>
                <w:i w:val="0"/>
                <w:color w:val="3D8DFF"/>
                <w:sz w:val="21"/>
              </w:rPr>
              <w:t xml:space="preserve">Decision: </w:t>
            </w:r>
            <w:r>
              <w:rPr>
                <w:rFonts w:ascii="Calibri" w:hAnsi="Calibri"/>
                <w:b w:val="0"/>
                <w:i w:val="0"/>
                <w:color w:val="17212B"/>
                <w:sz w:val="21"/>
              </w:rPr>
              <w:t>A proxy opportunity exists. MSTR is the best overall choice when the goal is the highest credible probability of beating Bitcoin; ABTC has the greatest modeled upside; Metaplanet offers the strongest middle ground.</w:t>
            </w:r>
          </w:p>
        </w:tc>
      </w:tr>
    </w:tbl>
    <w:p>
      <w:pPr>
        <w:spacing w:before="0" w:after="80" w:line="264" w:lineRule="auto"/>
      </w:pPr>
    </w:p>
    <w:p>
      <w:pPr>
        <w:spacing w:before="0" w:after="120" w:line="264" w:lineRule="auto"/>
      </w:pPr>
      <w:r>
        <w:rPr>
          <w:rFonts w:ascii="Calibri" w:hAnsi="Calibri"/>
          <w:b w:val="0"/>
          <w:i w:val="0"/>
          <w:color w:val="17212B"/>
          <w:sz w:val="21"/>
        </w:rPr>
        <w:t>The analysis evaluates six Bitcoin-linked public companies against the benchmark of simply owning BTC. The primary KPI is modeled stock return minus Bitcoin return under identical price scenarios. The model is per-share and capital-structure aware: total BTC holdings alone are not accepted as evidence of shareholder value creation.</w:t>
      </w:r>
    </w:p>
    <w:p>
      <w:pPr>
        <w:spacing w:before="0" w:after="120" w:line="264" w:lineRule="auto"/>
      </w:pPr>
      <w:r>
        <w:rPr>
          <w:rFonts w:ascii="Calibri" w:hAnsi="Calibri"/>
          <w:b w:val="0"/>
          <w:i w:val="0"/>
          <w:color w:val="17212B"/>
          <w:sz w:val="21"/>
        </w:rPr>
        <w:t>Three companies beat Bitcoin in all three modeled scenarios: MSTR, Metaplanet, and American Bitcoin. Twenty One Capital, CleanSpark, and MARA produce positive stock returns in some cases, but fail the actual benchmark because they underperform BTC after dilution, senior claims, capex, mining difficulty, and execution requirements are incorporated.</w:t>
      </w:r>
    </w:p>
    <w:tbl>
      <w:tblPr>
        <w:tblStyle w:val="TableGrid"/>
        <w:tblW w:type="dxa" w:w="8900"/>
        <w:tblLayout w:type="fixed"/>
        <w:tblLook w:firstColumn="1" w:firstRow="1" w:lastColumn="0" w:lastRow="0" w:noHBand="0" w:noVBand="1" w:val="04A0"/>
        <w:jc w:val="left"/>
        <w:tblInd w:w="120" w:type="dxa"/>
      </w:tblPr>
      <w:tblGrid>
        <w:gridCol w:w="650"/>
        <w:gridCol w:w="1150"/>
        <w:gridCol w:w="2500"/>
        <w:gridCol w:w="1550"/>
        <w:gridCol w:w="1450"/>
        <w:gridCol w:w="1600"/>
      </w:tblGrid>
      <w:tr>
        <w:trPr>
          <w:tblHeader w:val="true"/>
        </w:trPr>
        <w:tc>
          <w:tcPr>
            <w:tcW w:type="dxa" w:w="650"/>
            <w:tcMar>
              <w:top w:w="80" w:type="dxa"/>
              <w:start w:w="120" w:type="dxa"/>
              <w:bottom w:w="80" w:type="dxa"/>
              <w:end w:w="120" w:type="dxa"/>
            </w:tcMar>
            <w:shd w:fill="183B56"/>
            <w:vAlign w:val="center"/>
          </w:tcPr>
          <w:p>
            <w:pPr>
              <w:spacing w:after="0"/>
              <w:jc w:val="left"/>
            </w:pPr>
            <w:r>
              <w:rPr>
                <w:rFonts w:ascii="Calibri" w:hAnsi="Calibri"/>
                <w:b/>
                <w:i w:val="0"/>
                <w:color w:val="FFFFFF"/>
                <w:sz w:val="16"/>
              </w:rPr>
              <w:t>Rank</w:t>
            </w:r>
          </w:p>
        </w:tc>
        <w:tc>
          <w:tcPr>
            <w:tcW w:type="dxa" w:w="1150"/>
            <w:tcMar>
              <w:top w:w="80" w:type="dxa"/>
              <w:start w:w="120" w:type="dxa"/>
              <w:bottom w:w="80" w:type="dxa"/>
              <w:end w:w="120" w:type="dxa"/>
            </w:tcMar>
            <w:shd w:fill="183B56"/>
            <w:vAlign w:val="center"/>
          </w:tcPr>
          <w:p>
            <w:pPr>
              <w:spacing w:after="0"/>
              <w:jc w:val="center"/>
            </w:pPr>
            <w:r>
              <w:rPr>
                <w:rFonts w:ascii="Calibri" w:hAnsi="Calibri"/>
                <w:b/>
                <w:i w:val="0"/>
                <w:color w:val="FFFFFF"/>
                <w:sz w:val="16"/>
              </w:rPr>
              <w:t>Proxy</w:t>
            </w:r>
          </w:p>
        </w:tc>
        <w:tc>
          <w:tcPr>
            <w:tcW w:type="dxa" w:w="2500"/>
            <w:tcMar>
              <w:top w:w="80" w:type="dxa"/>
              <w:start w:w="120" w:type="dxa"/>
              <w:bottom w:w="80" w:type="dxa"/>
              <w:end w:w="120" w:type="dxa"/>
            </w:tcMar>
            <w:shd w:fill="183B56"/>
            <w:vAlign w:val="center"/>
          </w:tcPr>
          <w:p>
            <w:pPr>
              <w:spacing w:after="0"/>
              <w:jc w:val="center"/>
            </w:pPr>
            <w:r>
              <w:rPr>
                <w:rFonts w:ascii="Calibri" w:hAnsi="Calibri"/>
                <w:b/>
                <w:i w:val="0"/>
                <w:color w:val="FFFFFF"/>
                <w:sz w:val="16"/>
              </w:rPr>
              <w:t>Role</w:t>
            </w:r>
          </w:p>
        </w:tc>
        <w:tc>
          <w:tcPr>
            <w:tcW w:type="dxa" w:w="1550"/>
            <w:tcMar>
              <w:top w:w="80" w:type="dxa"/>
              <w:start w:w="120" w:type="dxa"/>
              <w:bottom w:w="80" w:type="dxa"/>
              <w:end w:w="120" w:type="dxa"/>
            </w:tcMar>
            <w:shd w:fill="183B56"/>
            <w:vAlign w:val="center"/>
          </w:tcPr>
          <w:p>
            <w:pPr>
              <w:spacing w:after="0"/>
              <w:jc w:val="center"/>
            </w:pPr>
            <w:r>
              <w:rPr>
                <w:rFonts w:ascii="Calibri" w:hAnsi="Calibri"/>
                <w:b/>
                <w:i w:val="0"/>
                <w:color w:val="FFFFFF"/>
                <w:sz w:val="16"/>
              </w:rPr>
              <w:t>BTC +100% stock return</w:t>
            </w:r>
          </w:p>
        </w:tc>
        <w:tc>
          <w:tcPr>
            <w:tcW w:type="dxa" w:w="1450"/>
            <w:tcMar>
              <w:top w:w="80" w:type="dxa"/>
              <w:start w:w="120" w:type="dxa"/>
              <w:bottom w:w="80" w:type="dxa"/>
              <w:end w:w="120" w:type="dxa"/>
            </w:tcMar>
            <w:shd w:fill="183B56"/>
            <w:vAlign w:val="center"/>
          </w:tcPr>
          <w:p>
            <w:pPr>
              <w:spacing w:after="0"/>
              <w:jc w:val="center"/>
            </w:pPr>
            <w:r>
              <w:rPr>
                <w:rFonts w:ascii="Calibri" w:hAnsi="Calibri"/>
                <w:b/>
                <w:i w:val="0"/>
                <w:color w:val="FFFFFF"/>
                <w:sz w:val="16"/>
              </w:rPr>
              <w:t>Excess vs BTC</w:t>
            </w:r>
          </w:p>
        </w:tc>
        <w:tc>
          <w:tcPr>
            <w:tcW w:type="dxa" w:w="1600"/>
            <w:tcMar>
              <w:top w:w="80" w:type="dxa"/>
              <w:start w:w="120" w:type="dxa"/>
              <w:bottom w:w="80" w:type="dxa"/>
              <w:end w:w="120" w:type="dxa"/>
            </w:tcMar>
            <w:shd w:fill="183B56"/>
            <w:vAlign w:val="center"/>
          </w:tcPr>
          <w:p>
            <w:pPr>
              <w:spacing w:after="0"/>
              <w:jc w:val="center"/>
            </w:pPr>
            <w:r>
              <w:rPr>
                <w:rFonts w:ascii="Calibri" w:hAnsi="Calibri"/>
                <w:b/>
                <w:i w:val="0"/>
                <w:color w:val="FFFFFF"/>
                <w:sz w:val="16"/>
              </w:rPr>
              <w:t>Scenarios beating BTC</w:t>
            </w:r>
          </w:p>
        </w:tc>
      </w:tr>
      <w:tr>
        <w:trPr>
          <w:cantSplit/>
        </w:trPr>
        <w:tc>
          <w:tcPr>
            <w:tcW w:type="dxa" w:w="650"/>
            <w:vAlign w:val="center"/>
            <w:tcMar>
              <w:top w:w="80" w:type="dxa"/>
              <w:start w:w="120" w:type="dxa"/>
              <w:bottom w:w="80" w:type="dxa"/>
              <w:end w:w="120" w:type="dxa"/>
            </w:tcMar>
          </w:tcPr>
          <w:p>
            <w:pPr>
              <w:spacing w:after="0"/>
              <w:jc w:val="left"/>
            </w:pPr>
            <w:r>
              <w:rPr>
                <w:rFonts w:ascii="Calibri" w:hAnsi="Calibri"/>
                <w:b w:val="0"/>
                <w:i w:val="0"/>
                <w:color w:val="17212B"/>
                <w:sz w:val="16"/>
              </w:rPr>
              <w:t>1</w:t>
            </w:r>
          </w:p>
        </w:tc>
        <w:tc>
          <w:tcPr>
            <w:tcW w:type="dxa" w:w="1150"/>
            <w:vAlign w:val="center"/>
            <w:tcMar>
              <w:top w:w="80" w:type="dxa"/>
              <w:start w:w="120" w:type="dxa"/>
              <w:bottom w:w="80" w:type="dxa"/>
              <w:end w:w="120" w:type="dxa"/>
            </w:tcMar>
          </w:tcPr>
          <w:p>
            <w:pPr>
              <w:spacing w:after="0"/>
              <w:jc w:val="center"/>
            </w:pPr>
            <w:r>
              <w:rPr>
                <w:rFonts w:ascii="Calibri" w:hAnsi="Calibri"/>
                <w:b w:val="0"/>
                <w:i w:val="0"/>
                <w:color w:val="17212B"/>
                <w:sz w:val="16"/>
              </w:rPr>
              <w:t>MSTR</w:t>
            </w:r>
          </w:p>
        </w:tc>
        <w:tc>
          <w:tcPr>
            <w:tcW w:type="dxa" w:w="2500"/>
            <w:vAlign w:val="center"/>
            <w:tcMar>
              <w:top w:w="80" w:type="dxa"/>
              <w:start w:w="120" w:type="dxa"/>
              <w:bottom w:w="80" w:type="dxa"/>
              <w:end w:w="120" w:type="dxa"/>
            </w:tcMar>
          </w:tcPr>
          <w:p>
            <w:pPr>
              <w:spacing w:after="0"/>
              <w:jc w:val="center"/>
            </w:pPr>
            <w:r>
              <w:rPr>
                <w:rFonts w:ascii="Calibri" w:hAnsi="Calibri"/>
                <w:b w:val="0"/>
                <w:i w:val="0"/>
                <w:color w:val="17212B"/>
                <w:sz w:val="16"/>
              </w:rPr>
              <w:t>Best overall</w:t>
            </w:r>
          </w:p>
        </w:tc>
        <w:tc>
          <w:tcPr>
            <w:tcW w:type="dxa" w:w="1550"/>
            <w:vAlign w:val="center"/>
            <w:tcMar>
              <w:top w:w="80" w:type="dxa"/>
              <w:start w:w="120" w:type="dxa"/>
              <w:bottom w:w="80" w:type="dxa"/>
              <w:end w:w="120" w:type="dxa"/>
            </w:tcMar>
          </w:tcPr>
          <w:p>
            <w:pPr>
              <w:spacing w:after="0"/>
              <w:jc w:val="center"/>
            </w:pPr>
            <w:r>
              <w:rPr>
                <w:rFonts w:ascii="Calibri" w:hAnsi="Calibri"/>
                <w:b w:val="0"/>
                <w:i w:val="0"/>
                <w:color w:val="17212B"/>
                <w:sz w:val="16"/>
              </w:rPr>
              <w:t>128.4%</w:t>
            </w:r>
          </w:p>
        </w:tc>
        <w:tc>
          <w:tcPr>
            <w:tcW w:type="dxa" w:w="1450"/>
            <w:vAlign w:val="center"/>
            <w:tcMar>
              <w:top w:w="80" w:type="dxa"/>
              <w:start w:w="120" w:type="dxa"/>
              <w:bottom w:w="80" w:type="dxa"/>
              <w:end w:w="120" w:type="dxa"/>
            </w:tcMar>
          </w:tcPr>
          <w:p>
            <w:pPr>
              <w:spacing w:after="0"/>
              <w:jc w:val="center"/>
            </w:pPr>
            <w:r>
              <w:rPr>
                <w:rFonts w:ascii="Calibri" w:hAnsi="Calibri"/>
                <w:b w:val="0"/>
                <w:i w:val="0"/>
                <w:color w:val="17212B"/>
                <w:sz w:val="16"/>
              </w:rPr>
              <w:t>+28.4 pts</w:t>
            </w:r>
          </w:p>
        </w:tc>
        <w:tc>
          <w:tcPr>
            <w:tcW w:type="dxa" w:w="1600"/>
            <w:vAlign w:val="center"/>
            <w:tcMar>
              <w:top w:w="80" w:type="dxa"/>
              <w:start w:w="120" w:type="dxa"/>
              <w:bottom w:w="80" w:type="dxa"/>
              <w:end w:w="120" w:type="dxa"/>
            </w:tcMar>
          </w:tcPr>
          <w:p>
            <w:pPr>
              <w:spacing w:after="0"/>
              <w:jc w:val="center"/>
            </w:pPr>
            <w:r>
              <w:rPr>
                <w:rFonts w:ascii="Calibri" w:hAnsi="Calibri"/>
                <w:b w:val="0"/>
                <w:i w:val="0"/>
                <w:color w:val="17212B"/>
                <w:sz w:val="16"/>
              </w:rPr>
              <w:t>3 / 3</w:t>
            </w:r>
          </w:p>
        </w:tc>
      </w:tr>
      <w:tr>
        <w:trPr>
          <w:cantSplit/>
        </w:trPr>
        <w:tc>
          <w:tcPr>
            <w:tcW w:type="dxa" w:w="650"/>
            <w:shd w:fill="F4F6F9"/>
            <w:vAlign w:val="center"/>
            <w:tcMar>
              <w:top w:w="80" w:type="dxa"/>
              <w:start w:w="120" w:type="dxa"/>
              <w:bottom w:w="80" w:type="dxa"/>
              <w:end w:w="120" w:type="dxa"/>
            </w:tcMar>
          </w:tcPr>
          <w:p>
            <w:pPr>
              <w:spacing w:after="0"/>
              <w:jc w:val="left"/>
            </w:pPr>
            <w:r>
              <w:rPr>
                <w:rFonts w:ascii="Calibri" w:hAnsi="Calibri"/>
                <w:b w:val="0"/>
                <w:i w:val="0"/>
                <w:color w:val="17212B"/>
                <w:sz w:val="16"/>
              </w:rPr>
              <w:t>2</w:t>
            </w:r>
          </w:p>
        </w:tc>
        <w:tc>
          <w:tcPr>
            <w:tcW w:type="dxa" w:w="115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Metaplanet</w:t>
            </w:r>
          </w:p>
        </w:tc>
        <w:tc>
          <w:tcPr>
            <w:tcW w:type="dxa" w:w="250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Best risk-adjusted alternative</w:t>
            </w:r>
          </w:p>
        </w:tc>
        <w:tc>
          <w:tcPr>
            <w:tcW w:type="dxa" w:w="155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124.9%</w:t>
            </w:r>
          </w:p>
        </w:tc>
        <w:tc>
          <w:tcPr>
            <w:tcW w:type="dxa" w:w="145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+24.9 pts</w:t>
            </w:r>
          </w:p>
        </w:tc>
        <w:tc>
          <w:tcPr>
            <w:tcW w:type="dxa" w:w="160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3 / 3</w:t>
            </w:r>
          </w:p>
        </w:tc>
      </w:tr>
      <w:tr>
        <w:trPr>
          <w:cantSplit/>
        </w:trPr>
        <w:tc>
          <w:tcPr>
            <w:tcW w:type="dxa" w:w="650"/>
            <w:vAlign w:val="center"/>
            <w:tcMar>
              <w:top w:w="80" w:type="dxa"/>
              <w:start w:w="120" w:type="dxa"/>
              <w:bottom w:w="80" w:type="dxa"/>
              <w:end w:w="120" w:type="dxa"/>
            </w:tcMar>
          </w:tcPr>
          <w:p>
            <w:pPr>
              <w:spacing w:after="0"/>
              <w:jc w:val="left"/>
            </w:pPr>
            <w:r>
              <w:rPr>
                <w:rFonts w:ascii="Calibri" w:hAnsi="Calibri"/>
                <w:b w:val="0"/>
                <w:i w:val="0"/>
                <w:color w:val="17212B"/>
                <w:sz w:val="16"/>
              </w:rPr>
              <w:t>3</w:t>
            </w:r>
          </w:p>
        </w:tc>
        <w:tc>
          <w:tcPr>
            <w:tcW w:type="dxa" w:w="1150"/>
            <w:vAlign w:val="center"/>
            <w:tcMar>
              <w:top w:w="80" w:type="dxa"/>
              <w:start w:w="120" w:type="dxa"/>
              <w:bottom w:w="80" w:type="dxa"/>
              <w:end w:w="120" w:type="dxa"/>
            </w:tcMar>
          </w:tcPr>
          <w:p>
            <w:pPr>
              <w:spacing w:after="0"/>
              <w:jc w:val="center"/>
            </w:pPr>
            <w:r>
              <w:rPr>
                <w:rFonts w:ascii="Calibri" w:hAnsi="Calibri"/>
                <w:b w:val="0"/>
                <w:i w:val="0"/>
                <w:color w:val="17212B"/>
                <w:sz w:val="16"/>
              </w:rPr>
              <w:t>ABTC</w:t>
            </w:r>
          </w:p>
        </w:tc>
        <w:tc>
          <w:tcPr>
            <w:tcW w:type="dxa" w:w="2500"/>
            <w:vAlign w:val="center"/>
            <w:tcMar>
              <w:top w:w="80" w:type="dxa"/>
              <w:start w:w="120" w:type="dxa"/>
              <w:bottom w:w="80" w:type="dxa"/>
              <w:end w:w="120" w:type="dxa"/>
            </w:tcMar>
          </w:tcPr>
          <w:p>
            <w:pPr>
              <w:spacing w:after="0"/>
              <w:jc w:val="center"/>
            </w:pPr>
            <w:r>
              <w:rPr>
                <w:rFonts w:ascii="Calibri" w:hAnsi="Calibri"/>
                <w:b w:val="0"/>
                <w:i w:val="0"/>
                <w:color w:val="17212B"/>
                <w:sz w:val="16"/>
              </w:rPr>
              <w:t>Maximum convexity</w:t>
            </w:r>
          </w:p>
        </w:tc>
        <w:tc>
          <w:tcPr>
            <w:tcW w:type="dxa" w:w="1550"/>
            <w:vAlign w:val="center"/>
            <w:tcMar>
              <w:top w:w="80" w:type="dxa"/>
              <w:start w:w="120" w:type="dxa"/>
              <w:bottom w:w="80" w:type="dxa"/>
              <w:end w:w="120" w:type="dxa"/>
            </w:tcMar>
          </w:tcPr>
          <w:p>
            <w:pPr>
              <w:spacing w:after="0"/>
              <w:jc w:val="center"/>
            </w:pPr>
            <w:r>
              <w:rPr>
                <w:rFonts w:ascii="Calibri" w:hAnsi="Calibri"/>
                <w:b w:val="0"/>
                <w:i w:val="0"/>
                <w:color w:val="17212B"/>
                <w:sz w:val="16"/>
              </w:rPr>
              <w:t>246.5%</w:t>
            </w:r>
          </w:p>
        </w:tc>
        <w:tc>
          <w:tcPr>
            <w:tcW w:type="dxa" w:w="1450"/>
            <w:vAlign w:val="center"/>
            <w:tcMar>
              <w:top w:w="80" w:type="dxa"/>
              <w:start w:w="120" w:type="dxa"/>
              <w:bottom w:w="80" w:type="dxa"/>
              <w:end w:w="120" w:type="dxa"/>
            </w:tcMar>
          </w:tcPr>
          <w:p>
            <w:pPr>
              <w:spacing w:after="0"/>
              <w:jc w:val="center"/>
            </w:pPr>
            <w:r>
              <w:rPr>
                <w:rFonts w:ascii="Calibri" w:hAnsi="Calibri"/>
                <w:b w:val="0"/>
                <w:i w:val="0"/>
                <w:color w:val="17212B"/>
                <w:sz w:val="16"/>
              </w:rPr>
              <w:t>+146.5 pts</w:t>
            </w:r>
          </w:p>
        </w:tc>
        <w:tc>
          <w:tcPr>
            <w:tcW w:type="dxa" w:w="1600"/>
            <w:vAlign w:val="center"/>
            <w:tcMar>
              <w:top w:w="80" w:type="dxa"/>
              <w:start w:w="120" w:type="dxa"/>
              <w:bottom w:w="80" w:type="dxa"/>
              <w:end w:w="120" w:type="dxa"/>
            </w:tcMar>
          </w:tcPr>
          <w:p>
            <w:pPr>
              <w:spacing w:after="0"/>
              <w:jc w:val="center"/>
            </w:pPr>
            <w:r>
              <w:rPr>
                <w:rFonts w:ascii="Calibri" w:hAnsi="Calibri"/>
                <w:b w:val="0"/>
                <w:i w:val="0"/>
                <w:color w:val="17212B"/>
                <w:sz w:val="16"/>
              </w:rPr>
              <w:t>3 / 3</w:t>
            </w:r>
          </w:p>
        </w:tc>
      </w:tr>
      <w:tr>
        <w:trPr>
          <w:cantSplit/>
        </w:trPr>
        <w:tc>
          <w:tcPr>
            <w:tcW w:type="dxa" w:w="650"/>
            <w:shd w:fill="F4F6F9"/>
            <w:vAlign w:val="center"/>
            <w:tcMar>
              <w:top w:w="80" w:type="dxa"/>
              <w:start w:w="120" w:type="dxa"/>
              <w:bottom w:w="80" w:type="dxa"/>
              <w:end w:w="120" w:type="dxa"/>
            </w:tcMar>
          </w:tcPr>
          <w:p>
            <w:pPr>
              <w:spacing w:after="0"/>
              <w:jc w:val="left"/>
            </w:pPr>
            <w:r>
              <w:rPr>
                <w:rFonts w:ascii="Calibri" w:hAnsi="Calibri"/>
                <w:b w:val="0"/>
                <w:i w:val="0"/>
                <w:color w:val="17212B"/>
                <w:sz w:val="16"/>
              </w:rPr>
              <w:t>4</w:t>
            </w:r>
          </w:p>
        </w:tc>
        <w:tc>
          <w:tcPr>
            <w:tcW w:type="dxa" w:w="115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XXI</w:t>
            </w:r>
          </w:p>
        </w:tc>
        <w:tc>
          <w:tcPr>
            <w:tcW w:type="dxa" w:w="250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Discount special situation</w:t>
            </w:r>
          </w:p>
        </w:tc>
        <w:tc>
          <w:tcPr>
            <w:tcW w:type="dxa" w:w="155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93.9%</w:t>
            </w:r>
          </w:p>
        </w:tc>
        <w:tc>
          <w:tcPr>
            <w:tcW w:type="dxa" w:w="145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-6.1 pts</w:t>
            </w:r>
          </w:p>
        </w:tc>
        <w:tc>
          <w:tcPr>
            <w:tcW w:type="dxa" w:w="160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0 / 3</w:t>
            </w:r>
          </w:p>
        </w:tc>
      </w:tr>
      <w:tr>
        <w:trPr>
          <w:cantSplit/>
        </w:trPr>
        <w:tc>
          <w:tcPr>
            <w:tcW w:type="dxa" w:w="650"/>
            <w:vAlign w:val="center"/>
            <w:tcMar>
              <w:top w:w="80" w:type="dxa"/>
              <w:start w:w="120" w:type="dxa"/>
              <w:bottom w:w="80" w:type="dxa"/>
              <w:end w:w="120" w:type="dxa"/>
            </w:tcMar>
          </w:tcPr>
          <w:p>
            <w:pPr>
              <w:spacing w:after="0"/>
              <w:jc w:val="left"/>
            </w:pPr>
            <w:r>
              <w:rPr>
                <w:rFonts w:ascii="Calibri" w:hAnsi="Calibri"/>
                <w:b w:val="0"/>
                <w:i w:val="0"/>
                <w:color w:val="17212B"/>
                <w:sz w:val="16"/>
              </w:rPr>
              <w:t>5</w:t>
            </w:r>
          </w:p>
        </w:tc>
        <w:tc>
          <w:tcPr>
            <w:tcW w:type="dxa" w:w="1150"/>
            <w:vAlign w:val="center"/>
            <w:tcMar>
              <w:top w:w="80" w:type="dxa"/>
              <w:start w:w="120" w:type="dxa"/>
              <w:bottom w:w="80" w:type="dxa"/>
              <w:end w:w="120" w:type="dxa"/>
            </w:tcMar>
          </w:tcPr>
          <w:p>
            <w:pPr>
              <w:spacing w:after="0"/>
              <w:jc w:val="center"/>
            </w:pPr>
            <w:r>
              <w:rPr>
                <w:rFonts w:ascii="Calibri" w:hAnsi="Calibri"/>
                <w:b w:val="0"/>
                <w:i w:val="0"/>
                <w:color w:val="17212B"/>
                <w:sz w:val="16"/>
              </w:rPr>
              <w:t>CLSK</w:t>
            </w:r>
          </w:p>
        </w:tc>
        <w:tc>
          <w:tcPr>
            <w:tcW w:type="dxa" w:w="2500"/>
            <w:vAlign w:val="center"/>
            <w:tcMar>
              <w:top w:w="80" w:type="dxa"/>
              <w:start w:w="120" w:type="dxa"/>
              <w:bottom w:w="80" w:type="dxa"/>
              <w:end w:w="120" w:type="dxa"/>
            </w:tcMar>
          </w:tcPr>
          <w:p>
            <w:pPr>
              <w:spacing w:after="0"/>
              <w:jc w:val="center"/>
            </w:pPr>
            <w:r>
              <w:rPr>
                <w:rFonts w:ascii="Calibri" w:hAnsi="Calibri"/>
                <w:b w:val="0"/>
                <w:i w:val="0"/>
                <w:color w:val="17212B"/>
                <w:sz w:val="16"/>
              </w:rPr>
              <w:t>Diversified miner</w:t>
            </w:r>
          </w:p>
        </w:tc>
        <w:tc>
          <w:tcPr>
            <w:tcW w:type="dxa" w:w="1550"/>
            <w:vAlign w:val="center"/>
            <w:tcMar>
              <w:top w:w="80" w:type="dxa"/>
              <w:start w:w="120" w:type="dxa"/>
              <w:bottom w:w="80" w:type="dxa"/>
              <w:end w:w="120" w:type="dxa"/>
            </w:tcMar>
          </w:tcPr>
          <w:p>
            <w:pPr>
              <w:spacing w:after="0"/>
              <w:jc w:val="center"/>
            </w:pPr>
            <w:r>
              <w:rPr>
                <w:rFonts w:ascii="Calibri" w:hAnsi="Calibri"/>
                <w:b w:val="0"/>
                <w:i w:val="0"/>
                <w:color w:val="17212B"/>
                <w:sz w:val="16"/>
              </w:rPr>
              <w:t>32.9%</w:t>
            </w:r>
          </w:p>
        </w:tc>
        <w:tc>
          <w:tcPr>
            <w:tcW w:type="dxa" w:w="1450"/>
            <w:vAlign w:val="center"/>
            <w:tcMar>
              <w:top w:w="80" w:type="dxa"/>
              <w:start w:w="120" w:type="dxa"/>
              <w:bottom w:w="80" w:type="dxa"/>
              <w:end w:w="120" w:type="dxa"/>
            </w:tcMar>
          </w:tcPr>
          <w:p>
            <w:pPr>
              <w:spacing w:after="0"/>
              <w:jc w:val="center"/>
            </w:pPr>
            <w:r>
              <w:rPr>
                <w:rFonts w:ascii="Calibri" w:hAnsi="Calibri"/>
                <w:b w:val="0"/>
                <w:i w:val="0"/>
                <w:color w:val="17212B"/>
                <w:sz w:val="16"/>
              </w:rPr>
              <w:t>-67.1 pts</w:t>
            </w:r>
          </w:p>
        </w:tc>
        <w:tc>
          <w:tcPr>
            <w:tcW w:type="dxa" w:w="1600"/>
            <w:vAlign w:val="center"/>
            <w:tcMar>
              <w:top w:w="80" w:type="dxa"/>
              <w:start w:w="120" w:type="dxa"/>
              <w:bottom w:w="80" w:type="dxa"/>
              <w:end w:w="120" w:type="dxa"/>
            </w:tcMar>
          </w:tcPr>
          <w:p>
            <w:pPr>
              <w:spacing w:after="0"/>
              <w:jc w:val="center"/>
            </w:pPr>
            <w:r>
              <w:rPr>
                <w:rFonts w:ascii="Calibri" w:hAnsi="Calibri"/>
                <w:b w:val="0"/>
                <w:i w:val="0"/>
                <w:color w:val="17212B"/>
                <w:sz w:val="16"/>
              </w:rPr>
              <w:t>0 / 3</w:t>
            </w:r>
          </w:p>
        </w:tc>
      </w:tr>
      <w:tr>
        <w:trPr>
          <w:cantSplit/>
        </w:trPr>
        <w:tc>
          <w:tcPr>
            <w:tcW w:type="dxa" w:w="650"/>
            <w:shd w:fill="F4F6F9"/>
            <w:vAlign w:val="center"/>
            <w:tcMar>
              <w:top w:w="80" w:type="dxa"/>
              <w:start w:w="120" w:type="dxa"/>
              <w:bottom w:w="80" w:type="dxa"/>
              <w:end w:w="120" w:type="dxa"/>
            </w:tcMar>
          </w:tcPr>
          <w:p>
            <w:pPr>
              <w:spacing w:after="0"/>
              <w:jc w:val="left"/>
            </w:pPr>
            <w:r>
              <w:rPr>
                <w:rFonts w:ascii="Calibri" w:hAnsi="Calibri"/>
                <w:b w:val="0"/>
                <w:i w:val="0"/>
                <w:color w:val="17212B"/>
                <w:sz w:val="16"/>
              </w:rPr>
              <w:t>6</w:t>
            </w:r>
          </w:p>
        </w:tc>
        <w:tc>
          <w:tcPr>
            <w:tcW w:type="dxa" w:w="115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MARA</w:t>
            </w:r>
          </w:p>
        </w:tc>
        <w:tc>
          <w:tcPr>
            <w:tcW w:type="dxa" w:w="250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High-beta trading vehicle</w:t>
            </w:r>
          </w:p>
        </w:tc>
        <w:tc>
          <w:tcPr>
            <w:tcW w:type="dxa" w:w="155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56.8%</w:t>
            </w:r>
          </w:p>
        </w:tc>
        <w:tc>
          <w:tcPr>
            <w:tcW w:type="dxa" w:w="145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-43.2 pts</w:t>
            </w:r>
          </w:p>
        </w:tc>
        <w:tc>
          <w:tcPr>
            <w:tcW w:type="dxa" w:w="160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0 / 3</w:t>
            </w:r>
          </w:p>
        </w:tc>
      </w:tr>
    </w:tbl>
    <w:p>
      <w:pPr>
        <w:spacing w:before="0" w:after="60" w:line="264" w:lineRule="auto"/>
      </w:pPr>
    </w:p>
    <w:p>
      <w:pPr>
        <w:spacing w:before="80" w:after="60"/>
        <w:jc w:val="center"/>
      </w:pPr>
      <w:r>
        <w:drawing>
          <wp:inline xmlns:a="http://schemas.openxmlformats.org/drawingml/2006/main" xmlns:pic="http://schemas.openxmlformats.org/drawingml/2006/picture">
            <wp:extent cx="5806440" cy="2933370"/>
            <wp:docPr id="1" name="Picture 1"/>
            <wp:cNvGraphicFramePr>
              <a:graphicFrameLocks noChangeAspect="1"/>
            </wp:cNvGraphicFramePr>
            <a:graphic>
              <a:graphicData uri="http://schemas.openxmlformats.org/drawingml/2006/picture">
                <pic:pic>
                  <pic:nvPicPr>
                    <pic:cNvPr id="0" name="chart_btc100_returns.png"/>
                    <pic:cNvPicPr/>
                  </pic:nvPicPr>
                  <pic:blipFill>
                    <a:blip r:embed="rId11"/>
                    <a:stretch>
                      <a:fillRect/>
                    </a:stretch>
                  </pic:blipFill>
                  <pic:spPr>
                    <a:xfrm>
                      <a:off x="0" y="0"/>
                      <a:ext cx="5806440" cy="2933370"/>
                    </a:xfrm>
                    <a:prstGeom prst="rect"/>
                  </pic:spPr>
                </pic:pic>
              </a:graphicData>
            </a:graphic>
          </wp:inline>
        </w:drawing>
      </w:r>
    </w:p>
    <w:p>
      <w:pPr>
        <w:keepNext/>
        <w:spacing w:before="0" w:after="40" w:line="264" w:lineRule="auto"/>
        <w:jc w:val="center"/>
      </w:pPr>
      <w:r>
        <w:rPr>
          <w:rFonts w:ascii="Calibri" w:hAnsi="Calibri"/>
          <w:b w:val="0"/>
          <w:i/>
          <w:color w:val="586574"/>
          <w:sz w:val="17"/>
        </w:rPr>
        <w:t>Figure 1. Modeled stock returns when Bitcoin rises 100%.</w:t>
      </w:r>
    </w:p>
    <w:p>
      <w:pPr>
        <w:spacing w:before="0" w:after="140" w:line="264" w:lineRule="auto"/>
        <w:jc w:val="center"/>
      </w:pPr>
      <w:r>
        <w:rPr>
          <w:rFonts w:ascii="Calibri" w:hAnsi="Calibri"/>
          <w:b w:val="0"/>
          <w:i w:val="0"/>
          <w:color w:val="586574"/>
          <w:sz w:val="16"/>
        </w:rPr>
        <w:t>Source: Stage 4 rebuilt model; valuation anchor BTC $78,511.23; 24-month horizon.</w:t>
      </w:r>
    </w:p>
    <w:p>
      <w:pPr>
        <w:pStyle w:val="Heading1"/>
        <w:keepNext/>
      </w:pPr>
      <w:r>
        <w:t>Why this project was rebuilt with AI</w:t>
      </w:r>
    </w:p>
    <w:p>
      <w:pPr>
        <w:spacing w:before="0" w:after="120" w:line="264" w:lineRule="auto"/>
      </w:pPr>
      <w:r>
        <w:rPr>
          <w:rFonts w:ascii="Calibri" w:hAnsi="Calibri"/>
          <w:b w:val="0"/>
          <w:i w:val="0"/>
          <w:color w:val="17212B"/>
          <w:sz w:val="21"/>
        </w:rPr>
        <w:t>The project originated as a more code-heavy analysis completed around June 2025. This version deliberately tests whether the same investment question can be handled through a ChatGPT-centered workflow without abandoning analytical discipline. The AI does not replace the investment decision. It accelerates the structure, research synthesis, normalization, modeling, validation, and communication surrounding that decision.</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tcMar>
              <w:top w:w="80" w:type="dxa"/>
              <w:start w:w="120" w:type="dxa"/>
              <w:bottom w:w="80" w:type="dxa"/>
              <w:end w:w="120" w:type="dxa"/>
            </w:tcMar>
            <w:shd w:fill="183B56"/>
            <w:vAlign w:val="center"/>
          </w:tcPr>
          <w:p>
            <w:pPr>
              <w:spacing w:after="0"/>
              <w:jc w:val="left"/>
            </w:pPr>
            <w:r>
              <w:rPr>
                <w:rFonts w:ascii="Calibri" w:hAnsi="Calibri"/>
                <w:b/>
                <w:i w:val="0"/>
                <w:color w:val="FFFFFF"/>
                <w:sz w:val="17"/>
              </w:rPr>
              <w:t>Earlier project</w:t>
            </w:r>
          </w:p>
        </w:tc>
        <w:tc>
          <w:tcPr>
            <w:tcW w:type="dxa" w:w="6360"/>
            <w:tcMar>
              <w:top w:w="80" w:type="dxa"/>
              <w:start w:w="120" w:type="dxa"/>
              <w:bottom w:w="80" w:type="dxa"/>
              <w:end w:w="120" w:type="dxa"/>
            </w:tcMar>
            <w:shd w:fill="183B56"/>
            <w:vAlign w:val="center"/>
          </w:tcPr>
          <w:p>
            <w:pPr>
              <w:spacing w:after="0"/>
              <w:jc w:val="center"/>
            </w:pPr>
            <w:r>
              <w:rPr>
                <w:rFonts w:ascii="Calibri" w:hAnsi="Calibri"/>
                <w:b/>
                <w:i w:val="0"/>
                <w:color w:val="FFFFFF"/>
                <w:sz w:val="17"/>
              </w:rPr>
              <w:t>AI-augmented redevelopment</w:t>
            </w:r>
          </w:p>
        </w:tc>
      </w:tr>
      <w:tr>
        <w:trPr>
          <w:cantSplit/>
        </w:trPr>
        <w:tc>
          <w:tcPr>
            <w:tcW w:type="dxa" w:w="3000"/>
            <w:vAlign w:val="center"/>
            <w:tcMar>
              <w:top w:w="80" w:type="dxa"/>
              <w:start w:w="120" w:type="dxa"/>
              <w:bottom w:w="80" w:type="dxa"/>
              <w:end w:w="120" w:type="dxa"/>
            </w:tcMar>
          </w:tcPr>
          <w:p>
            <w:pPr>
              <w:spacing w:after="0"/>
              <w:jc w:val="left"/>
            </w:pPr>
            <w:r>
              <w:rPr>
                <w:rFonts w:ascii="Calibri" w:hAnsi="Calibri"/>
                <w:b w:val="0"/>
                <w:i w:val="0"/>
                <w:color w:val="17212B"/>
                <w:sz w:val="17"/>
              </w:rPr>
              <w:t>Code-led exploration</w:t>
            </w:r>
          </w:p>
        </w:tc>
        <w:tc>
          <w:tcPr>
            <w:tcW w:type="dxa" w:w="6360"/>
            <w:vAlign w:val="center"/>
            <w:tcMar>
              <w:top w:w="80" w:type="dxa"/>
              <w:start w:w="120" w:type="dxa"/>
              <w:bottom w:w="80" w:type="dxa"/>
              <w:end w:w="120" w:type="dxa"/>
            </w:tcMar>
          </w:tcPr>
          <w:p>
            <w:pPr>
              <w:spacing w:after="0"/>
              <w:jc w:val="center"/>
            </w:pPr>
            <w:r>
              <w:rPr>
                <w:rFonts w:ascii="Calibri" w:hAnsi="Calibri"/>
                <w:b w:val="0"/>
                <w:i w:val="0"/>
                <w:color w:val="17212B"/>
                <w:sz w:val="17"/>
              </w:rPr>
              <w:t>Decision-led five-stage workflow</w:t>
            </w:r>
          </w:p>
        </w:tc>
      </w:tr>
      <w:tr>
        <w:trPr>
          <w:cantSplit/>
        </w:trPr>
        <w:tc>
          <w:tcPr>
            <w:tcW w:type="dxa" w:w="3000"/>
            <w:shd w:fill="F4F6F9"/>
            <w:vAlign w:val="center"/>
            <w:tcMar>
              <w:top w:w="80" w:type="dxa"/>
              <w:start w:w="120" w:type="dxa"/>
              <w:bottom w:w="80" w:type="dxa"/>
              <w:end w:w="120" w:type="dxa"/>
            </w:tcMar>
          </w:tcPr>
          <w:p>
            <w:pPr>
              <w:spacing w:after="0"/>
              <w:jc w:val="left"/>
            </w:pPr>
            <w:r>
              <w:rPr>
                <w:rFonts w:ascii="Calibri" w:hAnsi="Calibri"/>
                <w:b w:val="0"/>
                <w:i w:val="0"/>
                <w:color w:val="17212B"/>
                <w:sz w:val="17"/>
              </w:rPr>
              <w:t>Company screening and historical analysis</w:t>
            </w:r>
          </w:p>
        </w:tc>
        <w:tc>
          <w:tcPr>
            <w:tcW w:type="dxa" w:w="6360"/>
            <w:shd w:fill="F4F6F9"/>
            <w:vAlign w:val="center"/>
            <w:tcMar>
              <w:top w:w="80" w:type="dxa"/>
              <w:start w:w="120" w:type="dxa"/>
              <w:bottom w:w="80" w:type="dxa"/>
              <w:end w:w="120" w:type="dxa"/>
            </w:tcMar>
          </w:tcPr>
          <w:p>
            <w:pPr>
              <w:spacing w:after="0"/>
              <w:jc w:val="center"/>
            </w:pPr>
            <w:r>
              <w:rPr>
                <w:rFonts w:ascii="Calibri" w:hAnsi="Calibri"/>
                <w:b w:val="0"/>
                <w:i w:val="0"/>
                <w:color w:val="17212B"/>
                <w:sz w:val="17"/>
              </w:rPr>
              <w:t>Explicit benchmark, hypotheses, KPI definitions, and source hierarchy</w:t>
            </w:r>
          </w:p>
        </w:tc>
      </w:tr>
      <w:tr>
        <w:trPr>
          <w:cantSplit/>
        </w:trPr>
        <w:tc>
          <w:tcPr>
            <w:tcW w:type="dxa" w:w="3000"/>
            <w:vAlign w:val="center"/>
            <w:tcMar>
              <w:top w:w="80" w:type="dxa"/>
              <w:start w:w="120" w:type="dxa"/>
              <w:bottom w:w="80" w:type="dxa"/>
              <w:end w:w="120" w:type="dxa"/>
            </w:tcMar>
          </w:tcPr>
          <w:p>
            <w:pPr>
              <w:spacing w:after="0"/>
              <w:jc w:val="left"/>
            </w:pPr>
            <w:r>
              <w:rPr>
                <w:rFonts w:ascii="Calibri" w:hAnsi="Calibri"/>
                <w:b w:val="0"/>
                <w:i w:val="0"/>
                <w:color w:val="17212B"/>
                <w:sz w:val="17"/>
              </w:rPr>
              <w:t>Manual analytical assembly</w:t>
            </w:r>
          </w:p>
        </w:tc>
        <w:tc>
          <w:tcPr>
            <w:tcW w:type="dxa" w:w="6360"/>
            <w:vAlign w:val="center"/>
            <w:tcMar>
              <w:top w:w="80" w:type="dxa"/>
              <w:start w:w="120" w:type="dxa"/>
              <w:bottom w:w="80" w:type="dxa"/>
              <w:end w:w="120" w:type="dxa"/>
            </w:tcMar>
          </w:tcPr>
          <w:p>
            <w:pPr>
              <w:spacing w:after="0"/>
              <w:jc w:val="center"/>
            </w:pPr>
            <w:r>
              <w:rPr>
                <w:rFonts w:ascii="Calibri" w:hAnsi="Calibri"/>
                <w:b w:val="0"/>
                <w:i w:val="0"/>
                <w:color w:val="17212B"/>
                <w:sz w:val="17"/>
              </w:rPr>
              <w:t>ChatGPT-assisted source normalization and auditable scenario model</w:t>
            </w:r>
          </w:p>
        </w:tc>
      </w:tr>
      <w:tr>
        <w:trPr>
          <w:cantSplit/>
        </w:trPr>
        <w:tc>
          <w:tcPr>
            <w:tcW w:type="dxa" w:w="3000"/>
            <w:shd w:fill="F4F6F9"/>
            <w:vAlign w:val="center"/>
            <w:tcMar>
              <w:top w:w="80" w:type="dxa"/>
              <w:start w:w="120" w:type="dxa"/>
              <w:bottom w:w="80" w:type="dxa"/>
              <w:end w:w="120" w:type="dxa"/>
            </w:tcMar>
          </w:tcPr>
          <w:p>
            <w:pPr>
              <w:spacing w:after="0"/>
              <w:jc w:val="left"/>
            </w:pPr>
            <w:r>
              <w:rPr>
                <w:rFonts w:ascii="Calibri" w:hAnsi="Calibri"/>
                <w:b w:val="0"/>
                <w:i w:val="0"/>
                <w:color w:val="17212B"/>
                <w:sz w:val="17"/>
              </w:rPr>
              <w:t>Results emphasized</w:t>
            </w:r>
          </w:p>
        </w:tc>
        <w:tc>
          <w:tcPr>
            <w:tcW w:type="dxa" w:w="6360"/>
            <w:shd w:fill="F4F6F9"/>
            <w:vAlign w:val="center"/>
            <w:tcMar>
              <w:top w:w="80" w:type="dxa"/>
              <w:start w:w="120" w:type="dxa"/>
              <w:bottom w:w="80" w:type="dxa"/>
              <w:end w:w="120" w:type="dxa"/>
            </w:tcMar>
          </w:tcPr>
          <w:p>
            <w:pPr>
              <w:spacing w:after="0"/>
              <w:jc w:val="center"/>
            </w:pPr>
            <w:r>
              <w:rPr>
                <w:rFonts w:ascii="Calibri" w:hAnsi="Calibri"/>
                <w:b w:val="0"/>
                <w:i w:val="0"/>
                <w:color w:val="17212B"/>
                <w:sz w:val="17"/>
              </w:rPr>
              <w:t>Results, assumptions, model checks, caveats, and decision implications preserved together</w:t>
            </w:r>
          </w:p>
        </w:tc>
      </w:tr>
      <w:tr>
        <w:trPr>
          <w:cantSplit/>
        </w:trPr>
        <w:tc>
          <w:tcPr>
            <w:tcW w:type="dxa" w:w="3000"/>
            <w:vAlign w:val="center"/>
            <w:tcMar>
              <w:top w:w="80" w:type="dxa"/>
              <w:start w:w="120" w:type="dxa"/>
              <w:bottom w:w="80" w:type="dxa"/>
              <w:end w:w="120" w:type="dxa"/>
            </w:tcMar>
          </w:tcPr>
          <w:p>
            <w:pPr>
              <w:spacing w:after="0"/>
              <w:jc w:val="left"/>
            </w:pPr>
            <w:r>
              <w:rPr>
                <w:rFonts w:ascii="Calibri" w:hAnsi="Calibri"/>
                <w:b w:val="0"/>
                <w:i w:val="0"/>
                <w:color w:val="17212B"/>
                <w:sz w:val="17"/>
              </w:rPr>
              <w:t>Static project output</w:t>
            </w:r>
          </w:p>
        </w:tc>
        <w:tc>
          <w:tcPr>
            <w:tcW w:type="dxa" w:w="6360"/>
            <w:vAlign w:val="center"/>
            <w:tcMar>
              <w:top w:w="80" w:type="dxa"/>
              <w:start w:w="120" w:type="dxa"/>
              <w:bottom w:w="80" w:type="dxa"/>
              <w:end w:w="120" w:type="dxa"/>
            </w:tcMar>
          </w:tcPr>
          <w:p>
            <w:pPr>
              <w:spacing w:after="0"/>
              <w:jc w:val="center"/>
            </w:pPr>
            <w:r>
              <w:rPr>
                <w:rFonts w:ascii="Calibri" w:hAnsi="Calibri"/>
                <w:b w:val="0"/>
                <w:i w:val="0"/>
                <w:color w:val="17212B"/>
                <w:sz w:val="17"/>
              </w:rPr>
              <w:t>Workbook, notebook, detailed report, and presentation as linked portfolio artifacts</w:t>
            </w:r>
          </w:p>
        </w:tc>
      </w:tr>
    </w:tbl>
    <w:p>
      <w:pPr>
        <w:spacing w:before="0" w:after="60" w:line="264"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5FB"/>
            <w:vAlign w:val="center"/>
          </w:tcPr>
          <w:p>
            <w:pPr>
              <w:spacing w:after="0"/>
            </w:pPr>
            <w:r>
              <w:rPr>
                <w:rFonts w:ascii="Calibri" w:hAnsi="Calibri"/>
                <w:b/>
                <w:i w:val="0"/>
                <w:color w:val="3D8DFF"/>
                <w:sz w:val="21"/>
              </w:rPr>
              <w:t xml:space="preserve">Employer takeaway: </w:t>
            </w:r>
            <w:r>
              <w:rPr>
                <w:rFonts w:ascii="Calibri" w:hAnsi="Calibri"/>
                <w:b w:val="0"/>
                <w:i w:val="0"/>
                <w:color w:val="17212B"/>
                <w:sz w:val="21"/>
              </w:rPr>
              <w:t>The project demonstrates how AI can extend an analyst's judgment and execution capacity while keeping assumptions visible, calculations reproducible, and recommendations bounded by evidence.</w:t>
            </w:r>
          </w:p>
        </w:tc>
      </w:tr>
    </w:tbl>
    <w:p>
      <w:pPr>
        <w:spacing w:before="0" w:after="80" w:line="264" w:lineRule="auto"/>
      </w:pPr>
    </w:p>
    <w:p>
      <w:pPr>
        <w:pStyle w:val="Heading1"/>
        <w:keepNext/>
      </w:pPr>
      <w:r>
        <w:t>The five-stage analytical system</w:t>
      </w:r>
    </w:p>
    <w:tbl>
      <w:tblPr>
        <w:tblStyle w:val="TableGrid"/>
        <w:tblW w:type="dxa" w:w="9360"/>
        <w:tblLayout w:type="fixed"/>
        <w:tblLook w:firstColumn="1" w:firstRow="1" w:lastColumn="0" w:lastRow="0" w:noHBand="0" w:noVBand="1" w:val="04A0"/>
        <w:jc w:val="left"/>
        <w:tblInd w:w="120" w:type="dxa"/>
      </w:tblPr>
      <w:tblGrid>
        <w:gridCol w:w="1100"/>
        <w:gridCol w:w="3700"/>
        <w:gridCol w:w="4560"/>
      </w:tblGrid>
      <w:tr>
        <w:trPr>
          <w:tblHeader w:val="true"/>
        </w:trPr>
        <w:tc>
          <w:tcPr>
            <w:tcW w:type="dxa" w:w="1100"/>
            <w:tcMar>
              <w:top w:w="80" w:type="dxa"/>
              <w:start w:w="120" w:type="dxa"/>
              <w:bottom w:w="80" w:type="dxa"/>
              <w:end w:w="120" w:type="dxa"/>
            </w:tcMar>
            <w:shd w:fill="183B56"/>
            <w:vAlign w:val="center"/>
          </w:tcPr>
          <w:p>
            <w:pPr>
              <w:spacing w:after="0"/>
              <w:jc w:val="left"/>
            </w:pPr>
            <w:r>
              <w:rPr>
                <w:rFonts w:ascii="Calibri" w:hAnsi="Calibri"/>
                <w:b/>
                <w:i w:val="0"/>
                <w:color w:val="FFFFFF"/>
                <w:sz w:val="17"/>
              </w:rPr>
              <w:t>Stage</w:t>
            </w:r>
          </w:p>
        </w:tc>
        <w:tc>
          <w:tcPr>
            <w:tcW w:type="dxa" w:w="3700"/>
            <w:tcMar>
              <w:top w:w="80" w:type="dxa"/>
              <w:start w:w="120" w:type="dxa"/>
              <w:bottom w:w="80" w:type="dxa"/>
              <w:end w:w="120" w:type="dxa"/>
            </w:tcMar>
            <w:shd w:fill="183B56"/>
            <w:vAlign w:val="center"/>
          </w:tcPr>
          <w:p>
            <w:pPr>
              <w:spacing w:after="0"/>
              <w:jc w:val="center"/>
            </w:pPr>
            <w:r>
              <w:rPr>
                <w:rFonts w:ascii="Calibri" w:hAnsi="Calibri"/>
                <w:b/>
                <w:i w:val="0"/>
                <w:color w:val="FFFFFF"/>
                <w:sz w:val="17"/>
              </w:rPr>
              <w:t>Purpose</w:t>
            </w:r>
          </w:p>
        </w:tc>
        <w:tc>
          <w:tcPr>
            <w:tcW w:type="dxa" w:w="4560"/>
            <w:tcMar>
              <w:top w:w="80" w:type="dxa"/>
              <w:start w:w="120" w:type="dxa"/>
              <w:bottom w:w="80" w:type="dxa"/>
              <w:end w:w="120" w:type="dxa"/>
            </w:tcMar>
            <w:shd w:fill="183B56"/>
            <w:vAlign w:val="center"/>
          </w:tcPr>
          <w:p>
            <w:pPr>
              <w:spacing w:after="0"/>
              <w:jc w:val="center"/>
            </w:pPr>
            <w:r>
              <w:rPr>
                <w:rFonts w:ascii="Calibri" w:hAnsi="Calibri"/>
                <w:b/>
                <w:i w:val="0"/>
                <w:color w:val="FFFFFF"/>
                <w:sz w:val="17"/>
              </w:rPr>
              <w:t>Output</w:t>
            </w:r>
          </w:p>
        </w:tc>
      </w:tr>
      <w:tr>
        <w:trPr>
          <w:cantSplit/>
        </w:trPr>
        <w:tc>
          <w:tcPr>
            <w:tcW w:type="dxa" w:w="1100"/>
            <w:vAlign w:val="center"/>
            <w:tcMar>
              <w:top w:w="80" w:type="dxa"/>
              <w:start w:w="120" w:type="dxa"/>
              <w:bottom w:w="80" w:type="dxa"/>
              <w:end w:w="120" w:type="dxa"/>
            </w:tcMar>
          </w:tcPr>
          <w:p>
            <w:pPr>
              <w:spacing w:after="0"/>
              <w:jc w:val="left"/>
            </w:pPr>
            <w:r>
              <w:rPr>
                <w:rFonts w:ascii="Calibri" w:hAnsi="Calibri"/>
                <w:b w:val="0"/>
                <w:i w:val="0"/>
                <w:color w:val="17212B"/>
                <w:sz w:val="17"/>
              </w:rPr>
              <w:t>1. Start</w:t>
            </w:r>
          </w:p>
        </w:tc>
        <w:tc>
          <w:tcPr>
            <w:tcW w:type="dxa" w:w="3700"/>
            <w:vAlign w:val="center"/>
            <w:tcMar>
              <w:top w:w="80" w:type="dxa"/>
              <w:start w:w="120" w:type="dxa"/>
              <w:bottom w:w="80" w:type="dxa"/>
              <w:end w:w="120" w:type="dxa"/>
            </w:tcMar>
          </w:tcPr>
          <w:p>
            <w:pPr>
              <w:spacing w:after="0"/>
              <w:jc w:val="center"/>
            </w:pPr>
            <w:r>
              <w:rPr>
                <w:rFonts w:ascii="Calibri" w:hAnsi="Calibri"/>
                <w:b w:val="0"/>
                <w:i w:val="0"/>
                <w:color w:val="17212B"/>
                <w:sz w:val="17"/>
              </w:rPr>
              <w:t>Identify the real decision alternatives</w:t>
            </w:r>
          </w:p>
        </w:tc>
        <w:tc>
          <w:tcPr>
            <w:tcW w:type="dxa" w:w="4560"/>
            <w:vAlign w:val="center"/>
            <w:tcMar>
              <w:top w:w="80" w:type="dxa"/>
              <w:start w:w="120" w:type="dxa"/>
              <w:bottom w:w="80" w:type="dxa"/>
              <w:end w:w="120" w:type="dxa"/>
            </w:tcMar>
          </w:tcPr>
          <w:p>
            <w:pPr>
              <w:spacing w:after="0"/>
              <w:jc w:val="center"/>
            </w:pPr>
            <w:r>
              <w:rPr>
                <w:rFonts w:ascii="Calibri" w:hAnsi="Calibri"/>
                <w:b w:val="0"/>
                <w:i w:val="0"/>
                <w:color w:val="17212B"/>
                <w:sz w:val="17"/>
              </w:rPr>
              <w:t>Own BTC; own a proxy; reject the proxy opportunity</w:t>
            </w:r>
          </w:p>
        </w:tc>
      </w:tr>
      <w:tr>
        <w:trPr>
          <w:cantSplit/>
        </w:trPr>
        <w:tc>
          <w:tcPr>
            <w:tcW w:type="dxa" w:w="1100"/>
            <w:shd w:fill="F4F6F9"/>
            <w:vAlign w:val="center"/>
            <w:tcMar>
              <w:top w:w="80" w:type="dxa"/>
              <w:start w:w="120" w:type="dxa"/>
              <w:bottom w:w="80" w:type="dxa"/>
              <w:end w:w="120" w:type="dxa"/>
            </w:tcMar>
          </w:tcPr>
          <w:p>
            <w:pPr>
              <w:spacing w:after="0"/>
              <w:jc w:val="left"/>
            </w:pPr>
            <w:r>
              <w:rPr>
                <w:rFonts w:ascii="Calibri" w:hAnsi="Calibri"/>
                <w:b w:val="0"/>
                <w:i w:val="0"/>
                <w:color w:val="17212B"/>
                <w:sz w:val="17"/>
              </w:rPr>
              <w:t>2. Framing</w:t>
            </w:r>
          </w:p>
        </w:tc>
        <w:tc>
          <w:tcPr>
            <w:tcW w:type="dxa" w:w="3700"/>
            <w:shd w:fill="F4F6F9"/>
            <w:vAlign w:val="center"/>
            <w:tcMar>
              <w:top w:w="80" w:type="dxa"/>
              <w:start w:w="120" w:type="dxa"/>
              <w:bottom w:w="80" w:type="dxa"/>
              <w:end w:w="120" w:type="dxa"/>
            </w:tcMar>
          </w:tcPr>
          <w:p>
            <w:pPr>
              <w:spacing w:after="0"/>
              <w:jc w:val="center"/>
            </w:pPr>
            <w:r>
              <w:rPr>
                <w:rFonts w:ascii="Calibri" w:hAnsi="Calibri"/>
                <w:b w:val="0"/>
                <w:i w:val="0"/>
                <w:color w:val="17212B"/>
                <w:sz w:val="17"/>
              </w:rPr>
              <w:t>Convert the alternatives into one decision question</w:t>
            </w:r>
          </w:p>
        </w:tc>
        <w:tc>
          <w:tcPr>
            <w:tcW w:type="dxa" w:w="4560"/>
            <w:shd w:fill="F4F6F9"/>
            <w:vAlign w:val="center"/>
            <w:tcMar>
              <w:top w:w="80" w:type="dxa"/>
              <w:start w:w="120" w:type="dxa"/>
              <w:bottom w:w="80" w:type="dxa"/>
              <w:end w:w="120" w:type="dxa"/>
            </w:tcMar>
          </w:tcPr>
          <w:p>
            <w:pPr>
              <w:spacing w:after="0"/>
              <w:jc w:val="center"/>
            </w:pPr>
            <w:r>
              <w:rPr>
                <w:rFonts w:ascii="Calibri" w:hAnsi="Calibri"/>
                <w:b w:val="0"/>
                <w:i w:val="0"/>
                <w:color w:val="17212B"/>
                <w:sz w:val="17"/>
              </w:rPr>
              <w:t>Can a proxy create more value per diluted share than BTC itself?</w:t>
            </w:r>
          </w:p>
        </w:tc>
      </w:tr>
      <w:tr>
        <w:trPr>
          <w:cantSplit/>
        </w:trPr>
        <w:tc>
          <w:tcPr>
            <w:tcW w:type="dxa" w:w="1100"/>
            <w:vAlign w:val="center"/>
            <w:tcMar>
              <w:top w:w="80" w:type="dxa"/>
              <w:start w:w="120" w:type="dxa"/>
              <w:bottom w:w="80" w:type="dxa"/>
              <w:end w:w="120" w:type="dxa"/>
            </w:tcMar>
          </w:tcPr>
          <w:p>
            <w:pPr>
              <w:spacing w:after="0"/>
              <w:jc w:val="left"/>
            </w:pPr>
            <w:r>
              <w:rPr>
                <w:rFonts w:ascii="Calibri" w:hAnsi="Calibri"/>
                <w:b w:val="0"/>
                <w:i w:val="0"/>
                <w:color w:val="17212B"/>
                <w:sz w:val="17"/>
              </w:rPr>
              <w:t>3. Design</w:t>
            </w:r>
          </w:p>
        </w:tc>
        <w:tc>
          <w:tcPr>
            <w:tcW w:type="dxa" w:w="3700"/>
            <w:vAlign w:val="center"/>
            <w:tcMar>
              <w:top w:w="80" w:type="dxa"/>
              <w:start w:w="120" w:type="dxa"/>
              <w:bottom w:w="80" w:type="dxa"/>
              <w:end w:w="120" w:type="dxa"/>
            </w:tcMar>
          </w:tcPr>
          <w:p>
            <w:pPr>
              <w:spacing w:after="0"/>
              <w:jc w:val="center"/>
            </w:pPr>
            <w:r>
              <w:rPr>
                <w:rFonts w:ascii="Calibri" w:hAnsi="Calibri"/>
                <w:b w:val="0"/>
                <w:i w:val="0"/>
                <w:color w:val="17212B"/>
                <w:sz w:val="17"/>
              </w:rPr>
              <w:t>Define evidence before collecting it</w:t>
            </w:r>
          </w:p>
        </w:tc>
        <w:tc>
          <w:tcPr>
            <w:tcW w:type="dxa" w:w="4560"/>
            <w:vAlign w:val="center"/>
            <w:tcMar>
              <w:top w:w="80" w:type="dxa"/>
              <w:start w:w="120" w:type="dxa"/>
              <w:bottom w:w="80" w:type="dxa"/>
              <w:end w:w="120" w:type="dxa"/>
            </w:tcMar>
          </w:tcPr>
          <w:p>
            <w:pPr>
              <w:spacing w:after="0"/>
              <w:jc w:val="center"/>
            </w:pPr>
            <w:r>
              <w:rPr>
                <w:rFonts w:ascii="Calibri" w:hAnsi="Calibri"/>
                <w:b w:val="0"/>
                <w:i w:val="0"/>
                <w:color w:val="17212B"/>
                <w:sz w:val="17"/>
              </w:rPr>
              <w:t>Hypotheses, KPIs, segments, confounders, and required metrics</w:t>
            </w:r>
          </w:p>
        </w:tc>
      </w:tr>
      <w:tr>
        <w:trPr>
          <w:cantSplit/>
        </w:trPr>
        <w:tc>
          <w:tcPr>
            <w:tcW w:type="dxa" w:w="1100"/>
            <w:shd w:fill="F4F6F9"/>
            <w:vAlign w:val="center"/>
            <w:tcMar>
              <w:top w:w="80" w:type="dxa"/>
              <w:start w:w="120" w:type="dxa"/>
              <w:bottom w:w="80" w:type="dxa"/>
              <w:end w:w="120" w:type="dxa"/>
            </w:tcMar>
          </w:tcPr>
          <w:p>
            <w:pPr>
              <w:spacing w:after="0"/>
              <w:jc w:val="left"/>
            </w:pPr>
            <w:r>
              <w:rPr>
                <w:rFonts w:ascii="Calibri" w:hAnsi="Calibri"/>
                <w:b w:val="0"/>
                <w:i w:val="0"/>
                <w:color w:val="17212B"/>
                <w:sz w:val="17"/>
              </w:rPr>
              <w:t>4. Execution</w:t>
            </w:r>
          </w:p>
        </w:tc>
        <w:tc>
          <w:tcPr>
            <w:tcW w:type="dxa" w:w="3700"/>
            <w:shd w:fill="F4F6F9"/>
            <w:vAlign w:val="center"/>
            <w:tcMar>
              <w:top w:w="80" w:type="dxa"/>
              <w:start w:w="120" w:type="dxa"/>
              <w:bottom w:w="80" w:type="dxa"/>
              <w:end w:w="120" w:type="dxa"/>
            </w:tcMar>
          </w:tcPr>
          <w:p>
            <w:pPr>
              <w:spacing w:after="0"/>
              <w:jc w:val="center"/>
            </w:pPr>
            <w:r>
              <w:rPr>
                <w:rFonts w:ascii="Calibri" w:hAnsi="Calibri"/>
                <w:b w:val="0"/>
                <w:i w:val="0"/>
                <w:color w:val="17212B"/>
                <w:sz w:val="17"/>
              </w:rPr>
              <w:t>Build the source-backed model</w:t>
            </w:r>
          </w:p>
        </w:tc>
        <w:tc>
          <w:tcPr>
            <w:tcW w:type="dxa" w:w="4560"/>
            <w:shd w:fill="F4F6F9"/>
            <w:vAlign w:val="center"/>
            <w:tcMar>
              <w:top w:w="80" w:type="dxa"/>
              <w:start w:w="120" w:type="dxa"/>
              <w:bottom w:w="80" w:type="dxa"/>
              <w:end w:w="120" w:type="dxa"/>
            </w:tcMar>
          </w:tcPr>
          <w:p>
            <w:pPr>
              <w:spacing w:after="0"/>
              <w:jc w:val="center"/>
            </w:pPr>
            <w:r>
              <w:rPr>
                <w:rFonts w:ascii="Calibri" w:hAnsi="Calibri"/>
                <w:b w:val="0"/>
                <w:i w:val="0"/>
                <w:color w:val="17212B"/>
                <w:sz w:val="17"/>
              </w:rPr>
              <w:t>Normalized inputs, 18 scenario rows, checks, and reproducible notebook</w:t>
            </w:r>
          </w:p>
        </w:tc>
      </w:tr>
      <w:tr>
        <w:trPr>
          <w:cantSplit/>
        </w:trPr>
        <w:tc>
          <w:tcPr>
            <w:tcW w:type="dxa" w:w="1100"/>
            <w:vAlign w:val="center"/>
            <w:tcMar>
              <w:top w:w="80" w:type="dxa"/>
              <w:start w:w="120" w:type="dxa"/>
              <w:bottom w:w="80" w:type="dxa"/>
              <w:end w:w="120" w:type="dxa"/>
            </w:tcMar>
          </w:tcPr>
          <w:p>
            <w:pPr>
              <w:spacing w:after="0"/>
              <w:jc w:val="left"/>
            </w:pPr>
            <w:r>
              <w:rPr>
                <w:rFonts w:ascii="Calibri" w:hAnsi="Calibri"/>
                <w:b w:val="0"/>
                <w:i w:val="0"/>
                <w:color w:val="17212B"/>
                <w:sz w:val="17"/>
              </w:rPr>
              <w:t>5. Finish</w:t>
            </w:r>
          </w:p>
        </w:tc>
        <w:tc>
          <w:tcPr>
            <w:tcW w:type="dxa" w:w="3700"/>
            <w:vAlign w:val="center"/>
            <w:tcMar>
              <w:top w:w="80" w:type="dxa"/>
              <w:start w:w="120" w:type="dxa"/>
              <w:bottom w:w="80" w:type="dxa"/>
              <w:end w:w="120" w:type="dxa"/>
            </w:tcMar>
          </w:tcPr>
          <w:p>
            <w:pPr>
              <w:spacing w:after="0"/>
              <w:jc w:val="center"/>
            </w:pPr>
            <w:r>
              <w:rPr>
                <w:rFonts w:ascii="Calibri" w:hAnsi="Calibri"/>
                <w:b w:val="0"/>
                <w:i w:val="0"/>
                <w:color w:val="17212B"/>
                <w:sz w:val="17"/>
              </w:rPr>
              <w:t>Interpret the evidence and recommend</w:t>
            </w:r>
          </w:p>
        </w:tc>
        <w:tc>
          <w:tcPr>
            <w:tcW w:type="dxa" w:w="4560"/>
            <w:vAlign w:val="center"/>
            <w:tcMar>
              <w:top w:w="80" w:type="dxa"/>
              <w:start w:w="120" w:type="dxa"/>
              <w:bottom w:w="80" w:type="dxa"/>
              <w:end w:w="120" w:type="dxa"/>
            </w:tcMar>
          </w:tcPr>
          <w:p>
            <w:pPr>
              <w:spacing w:after="0"/>
              <w:jc w:val="center"/>
            </w:pPr>
            <w:r>
              <w:rPr>
                <w:rFonts w:ascii="Calibri" w:hAnsi="Calibri"/>
                <w:b w:val="0"/>
                <w:i w:val="0"/>
                <w:color w:val="17212B"/>
                <w:sz w:val="17"/>
              </w:rPr>
              <w:t>Ranking, decision, uncertainty, and monitoring rules</w:t>
            </w:r>
          </w:p>
        </w:tc>
      </w:tr>
    </w:tbl>
    <w:p>
      <w:pPr>
        <w:spacing w:before="0" w:after="60" w:line="264" w:lineRule="auto"/>
      </w:pPr>
    </w:p>
    <w:p>
      <w:r>
        <w:br w:type="page"/>
      </w:r>
    </w:p>
    <w:p>
      <w:pPr>
        <w:pStyle w:val="Heading1"/>
        <w:keepNext/>
      </w:pPr>
      <w:r>
        <w:t>Stage 1 - Start: define the decision before analyzing companies</w:t>
      </w:r>
    </w:p>
    <w:p>
      <w:pPr>
        <w:spacing w:before="0" w:after="120" w:line="264" w:lineRule="auto"/>
      </w:pPr>
      <w:r>
        <w:rPr>
          <w:rFonts w:ascii="Calibri" w:hAnsi="Calibri"/>
          <w:b w:val="0"/>
          <w:i w:val="0"/>
          <w:color w:val="17212B"/>
          <w:sz w:val="21"/>
        </w:rPr>
        <w:t>The business problem is not 'which company owns the most Bitcoin?' It is which exposure best expresses a bullish Bitcoin thesis after accounting for company-specific risks.</w:t>
      </w:r>
    </w:p>
    <w:p>
      <w:pPr>
        <w:pStyle w:val="Heading2"/>
        <w:keepNext/>
      </w:pPr>
      <w:r>
        <w:t>Decision A - Own Bitcoin directly</w:t>
      </w:r>
    </w:p>
    <w:p>
      <w:pPr>
        <w:spacing w:before="0" w:after="120" w:line="264" w:lineRule="auto"/>
      </w:pPr>
      <w:r>
        <w:rPr>
          <w:rFonts w:ascii="Calibri" w:hAnsi="Calibri"/>
          <w:b w:val="0"/>
          <w:i w:val="0"/>
          <w:color w:val="17212B"/>
          <w:sz w:val="21"/>
        </w:rPr>
        <w:t>Receive essentially pure BTC exposure without dilution, management, operating, financing, or capital-allocation risk. This is the controlling benchmark, not a passive comparison point.</w:t>
      </w:r>
    </w:p>
    <w:p>
      <w:pPr>
        <w:pStyle w:val="Heading2"/>
        <w:keepNext/>
      </w:pPr>
      <w:r>
        <w:t>Decision B - Own a publicly traded Bitcoin proxy</w:t>
      </w:r>
    </w:p>
    <w:p>
      <w:pPr>
        <w:spacing w:before="0" w:after="120" w:line="264" w:lineRule="auto"/>
      </w:pPr>
      <w:r>
        <w:rPr>
          <w:rFonts w:ascii="Calibri" w:hAnsi="Calibri"/>
          <w:b w:val="0"/>
          <w:i w:val="0"/>
          <w:color w:val="17212B"/>
          <w:sz w:val="21"/>
        </w:rPr>
        <w:t>Accept additional risk in exchange for potential outperformance created by operating leverage, fixed senior claims, BTC-per-share accretion, NAV discount closure, or accretive financing.</w:t>
      </w:r>
    </w:p>
    <w:p>
      <w:pPr>
        <w:pStyle w:val="Heading2"/>
        <w:keepNext/>
      </w:pPr>
      <w:r>
        <w:t>Decision C - Reject the proxy opportunity</w:t>
      </w:r>
    </w:p>
    <w:p>
      <w:pPr>
        <w:spacing w:before="0" w:after="120" w:line="264" w:lineRule="auto"/>
      </w:pPr>
      <w:r>
        <w:rPr>
          <w:rFonts w:ascii="Calibri" w:hAnsi="Calibri"/>
          <w:b w:val="0"/>
          <w:i w:val="0"/>
          <w:color w:val="17212B"/>
          <w:sz w:val="21"/>
        </w:rPr>
        <w:t>Conclude that no stock offers enough expected excess return to compensate for dilution, debt, operating costs, capex, execution risk, or governance risk.</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5FB"/>
            <w:vAlign w:val="center"/>
          </w:tcPr>
          <w:p>
            <w:pPr>
              <w:spacing w:after="0"/>
            </w:pPr>
            <w:r>
              <w:rPr>
                <w:rFonts w:ascii="Calibri" w:hAnsi="Calibri"/>
                <w:b/>
                <w:i w:val="0"/>
                <w:color w:val="3D8DFF"/>
                <w:sz w:val="21"/>
              </w:rPr>
              <w:t xml:space="preserve">Stage 1 decision: </w:t>
            </w:r>
            <w:r>
              <w:rPr>
                <w:rFonts w:ascii="Calibri" w:hAnsi="Calibri"/>
                <w:b w:val="0"/>
                <w:i w:val="0"/>
                <w:color w:val="17212B"/>
                <w:sz w:val="21"/>
              </w:rPr>
              <w:t>Should the investor own Bitcoin directly, or is there a public proxy with a sufficiently attractive and defensible economic mechanism to justify choosing its common stock instead?</w:t>
            </w:r>
          </w:p>
        </w:tc>
      </w:tr>
    </w:tbl>
    <w:p>
      <w:pPr>
        <w:spacing w:before="0" w:after="80" w:line="264" w:lineRule="auto"/>
      </w:pPr>
    </w:p>
    <w:p>
      <w:pPr>
        <w:pStyle w:val="Heading1"/>
        <w:keepNext/>
      </w:pPr>
      <w:r>
        <w:t>Stage 2 - Framing: force every proxy to beat the benchmark</w:t>
      </w:r>
    </w:p>
    <w:p>
      <w:pPr>
        <w:spacing w:before="0" w:after="120" w:line="264" w:lineRule="auto"/>
      </w:pPr>
      <w:r>
        <w:rPr>
          <w:rFonts w:ascii="Calibri" w:hAnsi="Calibri"/>
          <w:b w:val="0"/>
          <w:i w:val="0"/>
          <w:color w:val="17212B"/>
          <w:sz w:val="21"/>
        </w:rPr>
        <w:t>The unit of analysis is the economic outcome for one diluted common share. Total BTC, Bitcoin-related revenue, historical beta, or headline treasury growth can all rise while value per share deteriorates.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5FB"/>
            <w:vAlign w:val="center"/>
          </w:tcPr>
          <w:p>
            <w:pPr>
              <w:spacing w:after="0"/>
            </w:pPr>
            <w:r>
              <w:rPr>
                <w:rFonts w:ascii="Calibri" w:hAnsi="Calibri"/>
                <w:b/>
                <w:i w:val="0"/>
                <w:color w:val="3D8DFF"/>
                <w:sz w:val="21"/>
              </w:rPr>
              <w:t xml:space="preserve">Primary analytical question: </w:t>
            </w:r>
            <w:r>
              <w:rPr>
                <w:rFonts w:ascii="Calibri" w:hAnsi="Calibri"/>
                <w:b w:val="0"/>
                <w:i w:val="0"/>
                <w:color w:val="17212B"/>
                <w:sz w:val="21"/>
              </w:rPr>
              <w:t>Among publicly traded businesses materially exposed to Bitcoin, are there companies whose economics can outperform BTC during a major bull market after accounting for dilution, liabilities, operating costs, capital requirements, and execution risk?</w:t>
            </w:r>
          </w:p>
        </w:tc>
      </w:tr>
    </w:tbl>
    <w:p>
      <w:pPr>
        <w:spacing w:before="0" w:after="80" w:line="264" w:lineRule="auto"/>
      </w:pPr>
    </w:p>
    <w:p>
      <w:pPr>
        <w:spacing w:before="0" w:after="120" w:line="264" w:lineRule="auto"/>
      </w:pPr>
      <w:r>
        <w:rPr>
          <w:rFonts w:ascii="Calibri" w:hAnsi="Calibri"/>
          <w:b w:val="0"/>
          <w:i w:val="0"/>
          <w:color w:val="17212B"/>
          <w:sz w:val="21"/>
        </w:rPr>
        <w:t>Every candidate must answer one question: Why should an investor accept this company's additional risks instead of simply buying Bitcoin?</w:t>
      </w:r>
    </w:p>
    <w:p>
      <w:pPr>
        <w:pStyle w:val="Heading1"/>
        <w:keepNext/>
      </w:pPr>
      <w:r>
        <w:t>Stage 3 - Design: determine what evidence would change the decision</w:t>
      </w:r>
    </w:p>
    <w:p>
      <w:pPr>
        <w:pStyle w:val="Heading2"/>
        <w:keepNext/>
      </w:pPr>
      <w:r>
        <w:t>Hypotheses</w:t>
      </w:r>
    </w:p>
    <w:p>
      <w:pPr>
        <w:pStyle w:val="ListBullet"/>
        <w:spacing w:after="80" w:line="264" w:lineRule="auto"/>
        <w:ind w:left="720" w:hanging="360"/>
      </w:pPr>
      <w:r>
        <w:rPr>
          <w:rFonts w:ascii="Calibri" w:hAnsi="Calibri"/>
          <w:b w:val="0"/>
          <w:i w:val="0"/>
          <w:color w:val="17212B"/>
          <w:sz w:val="20"/>
        </w:rPr>
        <w:t>H1: At least one proxy has an economically defensible mechanism capable of creating greater value per diluted share than direct BTC ownership.</w:t>
      </w:r>
    </w:p>
    <w:p>
      <w:pPr>
        <w:pStyle w:val="ListBullet"/>
        <w:spacing w:after="80" w:line="264" w:lineRule="auto"/>
        <w:ind w:left="720" w:hanging="360"/>
      </w:pPr>
      <w:r>
        <w:rPr>
          <w:rFonts w:ascii="Calibri" w:hAnsi="Calibri"/>
          <w:b w:val="0"/>
          <w:i w:val="0"/>
          <w:color w:val="17212B"/>
          <w:sz w:val="20"/>
        </w:rPr>
        <w:t>H0: After dilution, senior claims, capex, mining difficulty, financing needs, and execution risk, proxies do not offer a sufficiently reliable advantage.</w:t>
      </w:r>
    </w:p>
    <w:p>
      <w:pPr>
        <w:pStyle w:val="ListBullet"/>
        <w:spacing w:after="80" w:line="264" w:lineRule="auto"/>
        <w:ind w:left="720" w:hanging="360"/>
      </w:pPr>
      <w:r>
        <w:rPr>
          <w:rFonts w:ascii="Calibri" w:hAnsi="Calibri"/>
          <w:b w:val="0"/>
          <w:i w:val="0"/>
          <w:color w:val="17212B"/>
          <w:sz w:val="20"/>
        </w:rPr>
        <w:t>Treasury hypothesis: net BTC per diluted share matters more than total BTC growth.</w:t>
      </w:r>
    </w:p>
    <w:p>
      <w:pPr>
        <w:pStyle w:val="ListBullet"/>
        <w:spacing w:after="80" w:line="264" w:lineRule="auto"/>
        <w:ind w:left="720" w:hanging="360"/>
      </w:pPr>
      <w:r>
        <w:rPr>
          <w:rFonts w:ascii="Calibri" w:hAnsi="Calibri"/>
          <w:b w:val="0"/>
          <w:i w:val="0"/>
          <w:color w:val="17212B"/>
          <w:sz w:val="20"/>
        </w:rPr>
        <w:t>Mining hypothesis: efficient miners outperform only when price-driven margin expansion exceeds difficulty, energy, capex, and dilution growth.</w:t>
      </w:r>
    </w:p>
    <w:p>
      <w:pPr>
        <w:pStyle w:val="ListBullet"/>
        <w:spacing w:after="80" w:line="264" w:lineRule="auto"/>
        <w:ind w:left="720" w:hanging="360"/>
      </w:pPr>
      <w:r>
        <w:rPr>
          <w:rFonts w:ascii="Calibri" w:hAnsi="Calibri"/>
          <w:b w:val="0"/>
          <w:i w:val="0"/>
          <w:color w:val="17212B"/>
          <w:sz w:val="20"/>
        </w:rPr>
        <w:t>NAV hypothesis: discount closure can create convexity, but it is less reliable than demonstrated per-share value creation.</w:t>
      </w:r>
    </w:p>
    <w:p>
      <w:pPr>
        <w:pStyle w:val="ListBullet"/>
        <w:spacing w:after="80" w:line="264" w:lineRule="auto"/>
        <w:ind w:left="720" w:hanging="360"/>
      </w:pPr>
      <w:r>
        <w:rPr>
          <w:rFonts w:ascii="Calibri" w:hAnsi="Calibri"/>
          <w:b w:val="0"/>
          <w:i w:val="0"/>
          <w:color w:val="17212B"/>
          <w:sz w:val="20"/>
        </w:rPr>
        <w:t>Capital-allocation hypothesis: high BTC correlation can coexist with poor shareholder economics.</w:t>
      </w:r>
    </w:p>
    <w:p>
      <w:pPr>
        <w:pStyle w:val="Heading2"/>
        <w:keepNext/>
      </w:pPr>
      <w:r>
        <w:t>Primary and secondary decision metrics</w:t>
      </w:r>
    </w:p>
    <w:tbl>
      <w:tblPr>
        <w:tblStyle w:val="TableGrid"/>
        <w:tblW w:type="dxa" w:w="9360"/>
        <w:tblLayout w:type="fixed"/>
        <w:tblLook w:firstColumn="1" w:firstRow="1" w:lastColumn="0" w:lastRow="0" w:noHBand="0" w:noVBand="1" w:val="04A0"/>
        <w:jc w:val="left"/>
        <w:tblInd w:w="120" w:type="dxa"/>
      </w:tblPr>
      <w:tblGrid>
        <w:gridCol w:w="2200"/>
        <w:gridCol w:w="3500"/>
        <w:gridCol w:w="3660"/>
      </w:tblGrid>
      <w:tr>
        <w:trPr>
          <w:tblHeader w:val="true"/>
        </w:trPr>
        <w:tc>
          <w:tcPr>
            <w:tcW w:type="dxa" w:w="2200"/>
            <w:tcMar>
              <w:top w:w="80" w:type="dxa"/>
              <w:start w:w="120" w:type="dxa"/>
              <w:bottom w:w="80" w:type="dxa"/>
              <w:end w:w="120" w:type="dxa"/>
            </w:tcMar>
            <w:shd w:fill="183B56"/>
            <w:vAlign w:val="center"/>
          </w:tcPr>
          <w:p>
            <w:pPr>
              <w:spacing w:after="0"/>
              <w:jc w:val="left"/>
            </w:pPr>
            <w:r>
              <w:rPr>
                <w:rFonts w:ascii="Calibri" w:hAnsi="Calibri"/>
                <w:b/>
                <w:i w:val="0"/>
                <w:color w:val="FFFFFF"/>
                <w:sz w:val="17"/>
              </w:rPr>
              <w:t>Metric</w:t>
            </w:r>
          </w:p>
        </w:tc>
        <w:tc>
          <w:tcPr>
            <w:tcW w:type="dxa" w:w="3500"/>
            <w:tcMar>
              <w:top w:w="80" w:type="dxa"/>
              <w:start w:w="120" w:type="dxa"/>
              <w:bottom w:w="80" w:type="dxa"/>
              <w:end w:w="120" w:type="dxa"/>
            </w:tcMar>
            <w:shd w:fill="183B56"/>
            <w:vAlign w:val="center"/>
          </w:tcPr>
          <w:p>
            <w:pPr>
              <w:spacing w:after="0"/>
              <w:jc w:val="center"/>
            </w:pPr>
            <w:r>
              <w:rPr>
                <w:rFonts w:ascii="Calibri" w:hAnsi="Calibri"/>
                <w:b/>
                <w:i w:val="0"/>
                <w:color w:val="FFFFFF"/>
                <w:sz w:val="17"/>
              </w:rPr>
              <w:t>Definition</w:t>
            </w:r>
          </w:p>
        </w:tc>
        <w:tc>
          <w:tcPr>
            <w:tcW w:type="dxa" w:w="3660"/>
            <w:tcMar>
              <w:top w:w="80" w:type="dxa"/>
              <w:start w:w="120" w:type="dxa"/>
              <w:bottom w:w="80" w:type="dxa"/>
              <w:end w:w="120" w:type="dxa"/>
            </w:tcMar>
            <w:shd w:fill="183B56"/>
            <w:vAlign w:val="center"/>
          </w:tcPr>
          <w:p>
            <w:pPr>
              <w:spacing w:after="0"/>
              <w:jc w:val="center"/>
            </w:pPr>
            <w:r>
              <w:rPr>
                <w:rFonts w:ascii="Calibri" w:hAnsi="Calibri"/>
                <w:b/>
                <w:i w:val="0"/>
                <w:color w:val="FFFFFF"/>
                <w:sz w:val="17"/>
              </w:rPr>
              <w:t>Decision use</w:t>
            </w:r>
          </w:p>
        </w:tc>
      </w:tr>
      <w:tr>
        <w:trPr>
          <w:cantSplit/>
        </w:trPr>
        <w:tc>
          <w:tcPr>
            <w:tcW w:type="dxa" w:w="2200"/>
            <w:vAlign w:val="center"/>
            <w:tcMar>
              <w:top w:w="80" w:type="dxa"/>
              <w:start w:w="120" w:type="dxa"/>
              <w:bottom w:w="80" w:type="dxa"/>
              <w:end w:w="120" w:type="dxa"/>
            </w:tcMar>
          </w:tcPr>
          <w:p>
            <w:pPr>
              <w:spacing w:after="0"/>
              <w:jc w:val="left"/>
            </w:pPr>
            <w:r>
              <w:rPr>
                <w:rFonts w:ascii="Calibri" w:hAnsi="Calibri"/>
                <w:b w:val="0"/>
                <w:i w:val="0"/>
                <w:color w:val="17212B"/>
                <w:sz w:val="17"/>
              </w:rPr>
              <w:t>Modeled excess return vs BTC</w:t>
            </w:r>
          </w:p>
        </w:tc>
        <w:tc>
          <w:tcPr>
            <w:tcW w:type="dxa" w:w="3500"/>
            <w:vAlign w:val="center"/>
            <w:tcMar>
              <w:top w:w="80" w:type="dxa"/>
              <w:start w:w="120" w:type="dxa"/>
              <w:bottom w:w="80" w:type="dxa"/>
              <w:end w:w="120" w:type="dxa"/>
            </w:tcMar>
          </w:tcPr>
          <w:p>
            <w:pPr>
              <w:spacing w:after="0"/>
              <w:jc w:val="center"/>
            </w:pPr>
            <w:r>
              <w:rPr>
                <w:rFonts w:ascii="Calibri" w:hAnsi="Calibri"/>
                <w:b w:val="0"/>
                <w:i w:val="0"/>
                <w:color w:val="17212B"/>
                <w:sz w:val="17"/>
              </w:rPr>
              <w:t>Proxy stock return minus BTC return under the same scenario</w:t>
            </w:r>
          </w:p>
        </w:tc>
        <w:tc>
          <w:tcPr>
            <w:tcW w:type="dxa" w:w="3660"/>
            <w:vAlign w:val="center"/>
            <w:tcMar>
              <w:top w:w="80" w:type="dxa"/>
              <w:start w:w="120" w:type="dxa"/>
              <w:bottom w:w="80" w:type="dxa"/>
              <w:end w:w="120" w:type="dxa"/>
            </w:tcMar>
          </w:tcPr>
          <w:p>
            <w:pPr>
              <w:spacing w:after="0"/>
              <w:jc w:val="center"/>
            </w:pPr>
            <w:r>
              <w:rPr>
                <w:rFonts w:ascii="Calibri" w:hAnsi="Calibri"/>
                <w:b w:val="0"/>
                <w:i w:val="0"/>
                <w:color w:val="17212B"/>
                <w:sz w:val="17"/>
              </w:rPr>
              <w:t>Directly tests whether company risk is rewarded</w:t>
            </w:r>
          </w:p>
        </w:tc>
      </w:tr>
      <w:tr>
        <w:trPr>
          <w:cantSplit/>
        </w:trPr>
        <w:tc>
          <w:tcPr>
            <w:tcW w:type="dxa" w:w="2200"/>
            <w:shd w:fill="F4F6F9"/>
            <w:vAlign w:val="center"/>
            <w:tcMar>
              <w:top w:w="80" w:type="dxa"/>
              <w:start w:w="120" w:type="dxa"/>
              <w:bottom w:w="80" w:type="dxa"/>
              <w:end w:w="120" w:type="dxa"/>
            </w:tcMar>
          </w:tcPr>
          <w:p>
            <w:pPr>
              <w:spacing w:after="0"/>
              <w:jc w:val="left"/>
            </w:pPr>
            <w:r>
              <w:rPr>
                <w:rFonts w:ascii="Calibri" w:hAnsi="Calibri"/>
                <w:b w:val="0"/>
                <w:i w:val="0"/>
                <w:color w:val="17212B"/>
                <w:sz w:val="17"/>
              </w:rPr>
              <w:t>Probability of beating BTC</w:t>
            </w:r>
          </w:p>
        </w:tc>
        <w:tc>
          <w:tcPr>
            <w:tcW w:type="dxa" w:w="3500"/>
            <w:shd w:fill="F4F6F9"/>
            <w:vAlign w:val="center"/>
            <w:tcMar>
              <w:top w:w="80" w:type="dxa"/>
              <w:start w:w="120" w:type="dxa"/>
              <w:bottom w:w="80" w:type="dxa"/>
              <w:end w:w="120" w:type="dxa"/>
            </w:tcMar>
          </w:tcPr>
          <w:p>
            <w:pPr>
              <w:spacing w:after="0"/>
              <w:jc w:val="center"/>
            </w:pPr>
            <w:r>
              <w:rPr>
                <w:rFonts w:ascii="Calibri" w:hAnsi="Calibri"/>
                <w:b w:val="0"/>
                <w:i w:val="0"/>
                <w:color w:val="17212B"/>
                <w:sz w:val="17"/>
              </w:rPr>
              <w:t>Judgment band based on dilution, execution, capital structure, operations, and valuation</w:t>
            </w:r>
          </w:p>
        </w:tc>
        <w:tc>
          <w:tcPr>
            <w:tcW w:type="dxa" w:w="3660"/>
            <w:shd w:fill="F4F6F9"/>
            <w:vAlign w:val="center"/>
            <w:tcMar>
              <w:top w:w="80" w:type="dxa"/>
              <w:start w:w="120" w:type="dxa"/>
              <w:bottom w:w="80" w:type="dxa"/>
              <w:end w:w="120" w:type="dxa"/>
            </w:tcMar>
          </w:tcPr>
          <w:p>
            <w:pPr>
              <w:spacing w:after="0"/>
              <w:jc w:val="center"/>
            </w:pPr>
            <w:r>
              <w:rPr>
                <w:rFonts w:ascii="Calibri" w:hAnsi="Calibri"/>
                <w:b w:val="0"/>
                <w:i w:val="0"/>
                <w:color w:val="17212B"/>
                <w:sz w:val="17"/>
              </w:rPr>
              <w:t>Separates maximum upside from likelihood of realization</w:t>
            </w:r>
          </w:p>
        </w:tc>
      </w:tr>
      <w:tr>
        <w:trPr>
          <w:cantSplit/>
        </w:trPr>
        <w:tc>
          <w:tcPr>
            <w:tcW w:type="dxa" w:w="2200"/>
            <w:vAlign w:val="center"/>
            <w:tcMar>
              <w:top w:w="80" w:type="dxa"/>
              <w:start w:w="120" w:type="dxa"/>
              <w:bottom w:w="80" w:type="dxa"/>
              <w:end w:w="120" w:type="dxa"/>
            </w:tcMar>
          </w:tcPr>
          <w:p>
            <w:pPr>
              <w:spacing w:after="0"/>
              <w:jc w:val="left"/>
            </w:pPr>
            <w:r>
              <w:rPr>
                <w:rFonts w:ascii="Calibri" w:hAnsi="Calibri"/>
                <w:b w:val="0"/>
                <w:i w:val="0"/>
                <w:color w:val="17212B"/>
                <w:sz w:val="17"/>
              </w:rPr>
              <w:t>BTC per diluted share</w:t>
            </w:r>
          </w:p>
        </w:tc>
        <w:tc>
          <w:tcPr>
            <w:tcW w:type="dxa" w:w="3500"/>
            <w:vAlign w:val="center"/>
            <w:tcMar>
              <w:top w:w="80" w:type="dxa"/>
              <w:start w:w="120" w:type="dxa"/>
              <w:bottom w:w="80" w:type="dxa"/>
              <w:end w:w="120" w:type="dxa"/>
            </w:tcMar>
          </w:tcPr>
          <w:p>
            <w:pPr>
              <w:spacing w:after="0"/>
              <w:jc w:val="center"/>
            </w:pPr>
            <w:r>
              <w:rPr>
                <w:rFonts w:ascii="Calibri" w:hAnsi="Calibri"/>
                <w:b w:val="0"/>
                <w:i w:val="0"/>
                <w:color w:val="17212B"/>
                <w:sz w:val="17"/>
              </w:rPr>
              <w:t>BTC holdings divided by diluted common shares</w:t>
            </w:r>
          </w:p>
        </w:tc>
        <w:tc>
          <w:tcPr>
            <w:tcW w:type="dxa" w:w="3660"/>
            <w:vAlign w:val="center"/>
            <w:tcMar>
              <w:top w:w="80" w:type="dxa"/>
              <w:start w:w="120" w:type="dxa"/>
              <w:bottom w:w="80" w:type="dxa"/>
              <w:end w:w="120" w:type="dxa"/>
            </w:tcMar>
          </w:tcPr>
          <w:p>
            <w:pPr>
              <w:spacing w:after="0"/>
              <w:jc w:val="center"/>
            </w:pPr>
            <w:r>
              <w:rPr>
                <w:rFonts w:ascii="Calibri" w:hAnsi="Calibri"/>
                <w:b w:val="0"/>
                <w:i w:val="0"/>
                <w:color w:val="17212B"/>
                <w:sz w:val="17"/>
              </w:rPr>
              <w:t>Tests whether treasury growth reaches each shareholder</w:t>
            </w:r>
          </w:p>
        </w:tc>
      </w:tr>
      <w:tr>
        <w:trPr>
          <w:cantSplit/>
        </w:trPr>
        <w:tc>
          <w:tcPr>
            <w:tcW w:type="dxa" w:w="2200"/>
            <w:shd w:fill="F4F6F9"/>
            <w:vAlign w:val="center"/>
            <w:tcMar>
              <w:top w:w="80" w:type="dxa"/>
              <w:start w:w="120" w:type="dxa"/>
              <w:bottom w:w="80" w:type="dxa"/>
              <w:end w:w="120" w:type="dxa"/>
            </w:tcMar>
          </w:tcPr>
          <w:p>
            <w:pPr>
              <w:spacing w:after="0"/>
              <w:jc w:val="left"/>
            </w:pPr>
            <w:r>
              <w:rPr>
                <w:rFonts w:ascii="Calibri" w:hAnsi="Calibri"/>
                <w:b w:val="0"/>
                <w:i w:val="0"/>
                <w:color w:val="17212B"/>
                <w:sz w:val="17"/>
              </w:rPr>
              <w:t>Net BTC per diluted share</w:t>
            </w:r>
          </w:p>
        </w:tc>
        <w:tc>
          <w:tcPr>
            <w:tcW w:type="dxa" w:w="3500"/>
            <w:shd w:fill="F4F6F9"/>
            <w:vAlign w:val="center"/>
            <w:tcMar>
              <w:top w:w="80" w:type="dxa"/>
              <w:start w:w="120" w:type="dxa"/>
              <w:bottom w:w="80" w:type="dxa"/>
              <w:end w:w="120" w:type="dxa"/>
            </w:tcMar>
          </w:tcPr>
          <w:p>
            <w:pPr>
              <w:spacing w:after="0"/>
              <w:jc w:val="center"/>
            </w:pPr>
            <w:r>
              <w:rPr>
                <w:rFonts w:ascii="Calibri" w:hAnsi="Calibri"/>
                <w:b w:val="0"/>
                <w:i w:val="0"/>
                <w:color w:val="17212B"/>
                <w:sz w:val="17"/>
              </w:rPr>
              <w:t>BTC and liquid assets less senior claims, divided by diluted shares</w:t>
            </w:r>
          </w:p>
        </w:tc>
        <w:tc>
          <w:tcPr>
            <w:tcW w:type="dxa" w:w="3660"/>
            <w:shd w:fill="F4F6F9"/>
            <w:vAlign w:val="center"/>
            <w:tcMar>
              <w:top w:w="80" w:type="dxa"/>
              <w:start w:w="120" w:type="dxa"/>
              <w:bottom w:w="80" w:type="dxa"/>
              <w:end w:w="120" w:type="dxa"/>
            </w:tcMar>
          </w:tcPr>
          <w:p>
            <w:pPr>
              <w:spacing w:after="0"/>
              <w:jc w:val="center"/>
            </w:pPr>
            <w:r>
              <w:rPr>
                <w:rFonts w:ascii="Calibri" w:hAnsi="Calibri"/>
                <w:b w:val="0"/>
                <w:i w:val="0"/>
                <w:color w:val="17212B"/>
                <w:sz w:val="17"/>
              </w:rPr>
              <w:t>Captures capital-structure burden</w:t>
            </w:r>
          </w:p>
        </w:tc>
      </w:tr>
    </w:tbl>
    <w:p>
      <w:pPr>
        <w:spacing w:before="0" w:after="60" w:line="264" w:lineRule="auto"/>
      </w:pPr>
    </w:p>
    <w:p>
      <w:pPr>
        <w:pStyle w:val="Heading1"/>
        <w:keepNext/>
      </w:pPr>
      <w:r>
        <w:t>Evidence architecture and source normalization</w:t>
      </w:r>
    </w:p>
    <w:p>
      <w:pPr>
        <w:spacing w:before="0" w:after="120" w:line="264" w:lineRule="auto"/>
      </w:pPr>
      <w:r>
        <w:rPr>
          <w:rFonts w:ascii="Calibri" w:hAnsi="Calibri"/>
          <w:b w:val="0"/>
          <w:i w:val="0"/>
          <w:color w:val="17212B"/>
          <w:sz w:val="21"/>
        </w:rPr>
        <w:t>The evidence layer combines market data, company filings, investor-relations disclosures, Bitcoin network data, and explicit model assumptions. Source-backed inputs remain distinct from forecast assumptions, and missing fields are carried as model risks rather than silently set to zero.</w:t>
      </w:r>
    </w:p>
    <w:tbl>
      <w:tblPr>
        <w:tblStyle w:val="TableGrid"/>
        <w:tblW w:type="dxa" w:w="9360"/>
        <w:tblLayout w:type="fixed"/>
        <w:tblLook w:firstColumn="1" w:firstRow="1" w:lastColumn="0" w:lastRow="0" w:noHBand="0" w:noVBand="1" w:val="04A0"/>
        <w:jc w:val="left"/>
        <w:tblInd w:w="120" w:type="dxa"/>
      </w:tblPr>
      <w:tblGrid>
        <w:gridCol w:w="1700"/>
        <w:gridCol w:w="2450"/>
        <w:gridCol w:w="2900"/>
        <w:gridCol w:w="2310"/>
      </w:tblGrid>
      <w:tr>
        <w:trPr>
          <w:tblHeader w:val="true"/>
        </w:trPr>
        <w:tc>
          <w:tcPr>
            <w:tcW w:type="dxa" w:w="1700"/>
            <w:tcMar>
              <w:top w:w="80" w:type="dxa"/>
              <w:start w:w="120" w:type="dxa"/>
              <w:bottom w:w="80" w:type="dxa"/>
              <w:end w:w="120" w:type="dxa"/>
            </w:tcMar>
            <w:shd w:fill="183B56"/>
            <w:vAlign w:val="center"/>
          </w:tcPr>
          <w:p>
            <w:pPr>
              <w:spacing w:after="0"/>
              <w:jc w:val="left"/>
            </w:pPr>
            <w:r>
              <w:rPr>
                <w:rFonts w:ascii="Calibri" w:hAnsi="Calibri"/>
                <w:b/>
                <w:i w:val="0"/>
                <w:color w:val="FFFFFF"/>
                <w:sz w:val="16"/>
              </w:rPr>
              <w:t>Source family</w:t>
            </w:r>
          </w:p>
        </w:tc>
        <w:tc>
          <w:tcPr>
            <w:tcW w:type="dxa" w:w="2450"/>
            <w:tcMar>
              <w:top w:w="80" w:type="dxa"/>
              <w:start w:w="120" w:type="dxa"/>
              <w:bottom w:w="80" w:type="dxa"/>
              <w:end w:w="120" w:type="dxa"/>
            </w:tcMar>
            <w:shd w:fill="183B56"/>
            <w:vAlign w:val="center"/>
          </w:tcPr>
          <w:p>
            <w:pPr>
              <w:spacing w:after="0"/>
              <w:jc w:val="center"/>
            </w:pPr>
            <w:r>
              <w:rPr>
                <w:rFonts w:ascii="Calibri" w:hAnsi="Calibri"/>
                <w:b/>
                <w:i w:val="0"/>
                <w:color w:val="FFFFFF"/>
                <w:sz w:val="16"/>
              </w:rPr>
              <w:t>Evidence captured</w:t>
            </w:r>
          </w:p>
        </w:tc>
        <w:tc>
          <w:tcPr>
            <w:tcW w:type="dxa" w:w="2900"/>
            <w:tcMar>
              <w:top w:w="80" w:type="dxa"/>
              <w:start w:w="120" w:type="dxa"/>
              <w:bottom w:w="80" w:type="dxa"/>
              <w:end w:w="120" w:type="dxa"/>
            </w:tcMar>
            <w:shd w:fill="183B56"/>
            <w:vAlign w:val="center"/>
          </w:tcPr>
          <w:p>
            <w:pPr>
              <w:spacing w:after="0"/>
              <w:jc w:val="center"/>
            </w:pPr>
            <w:r>
              <w:rPr>
                <w:rFonts w:ascii="Calibri" w:hAnsi="Calibri"/>
                <w:b/>
                <w:i w:val="0"/>
                <w:color w:val="FFFFFF"/>
                <w:sz w:val="16"/>
              </w:rPr>
              <w:t>Role in the model</w:t>
            </w:r>
          </w:p>
        </w:tc>
        <w:tc>
          <w:tcPr>
            <w:tcW w:type="dxa" w:w="2310"/>
            <w:tcMar>
              <w:top w:w="80" w:type="dxa"/>
              <w:start w:w="120" w:type="dxa"/>
              <w:bottom w:w="80" w:type="dxa"/>
              <w:end w:w="120" w:type="dxa"/>
            </w:tcMar>
            <w:shd w:fill="183B56"/>
            <w:vAlign w:val="center"/>
          </w:tcPr>
          <w:p>
            <w:pPr>
              <w:spacing w:after="0"/>
              <w:jc w:val="center"/>
            </w:pPr>
            <w:r>
              <w:rPr>
                <w:rFonts w:ascii="Calibri" w:hAnsi="Calibri"/>
                <w:b/>
                <w:i w:val="0"/>
                <w:color w:val="FFFFFF"/>
                <w:sz w:val="16"/>
              </w:rPr>
              <w:t>Main limitation</w:t>
            </w:r>
          </w:p>
        </w:tc>
      </w:tr>
      <w:tr>
        <w:trPr>
          <w:cantSplit/>
        </w:trPr>
        <w:tc>
          <w:tcPr>
            <w:tcW w:type="dxa" w:w="1700"/>
            <w:vAlign w:val="center"/>
            <w:tcMar>
              <w:top w:w="80" w:type="dxa"/>
              <w:start w:w="120" w:type="dxa"/>
              <w:bottom w:w="80" w:type="dxa"/>
              <w:end w:w="120" w:type="dxa"/>
            </w:tcMar>
          </w:tcPr>
          <w:p>
            <w:pPr>
              <w:spacing w:after="0"/>
              <w:jc w:val="left"/>
            </w:pPr>
            <w:r>
              <w:rPr>
                <w:rFonts w:ascii="Calibri" w:hAnsi="Calibri"/>
                <w:b w:val="0"/>
                <w:i w:val="0"/>
                <w:color w:val="17212B"/>
                <w:sz w:val="16"/>
              </w:rPr>
              <w:t>Token Terminal</w:t>
            </w:r>
          </w:p>
        </w:tc>
        <w:tc>
          <w:tcPr>
            <w:tcW w:type="dxa" w:w="2450"/>
            <w:vAlign w:val="center"/>
            <w:tcMar>
              <w:top w:w="80" w:type="dxa"/>
              <w:start w:w="120" w:type="dxa"/>
              <w:bottom w:w="80" w:type="dxa"/>
              <w:end w:w="120" w:type="dxa"/>
            </w:tcMar>
          </w:tcPr>
          <w:p>
            <w:pPr>
              <w:spacing w:after="0"/>
              <w:jc w:val="center"/>
            </w:pPr>
            <w:r>
              <w:rPr>
                <w:rFonts w:ascii="Calibri" w:hAnsi="Calibri"/>
                <w:b w:val="0"/>
                <w:i w:val="0"/>
                <w:color w:val="17212B"/>
                <w:sz w:val="16"/>
              </w:rPr>
              <w:t>BTC price, market context, fee mix</w:t>
            </w:r>
          </w:p>
        </w:tc>
        <w:tc>
          <w:tcPr>
            <w:tcW w:type="dxa" w:w="2900"/>
            <w:vAlign w:val="center"/>
            <w:tcMar>
              <w:top w:w="80" w:type="dxa"/>
              <w:start w:w="120" w:type="dxa"/>
              <w:bottom w:w="80" w:type="dxa"/>
              <w:end w:w="120" w:type="dxa"/>
            </w:tcMar>
          </w:tcPr>
          <w:p>
            <w:pPr>
              <w:spacing w:after="0"/>
              <w:jc w:val="center"/>
            </w:pPr>
            <w:r>
              <w:rPr>
                <w:rFonts w:ascii="Calibri" w:hAnsi="Calibri"/>
                <w:b w:val="0"/>
                <w:i w:val="0"/>
                <w:color w:val="17212B"/>
                <w:sz w:val="16"/>
              </w:rPr>
              <w:t>Benchmark anchor and miner revenue context</w:t>
            </w:r>
          </w:p>
        </w:tc>
        <w:tc>
          <w:tcPr>
            <w:tcW w:type="dxa" w:w="2310"/>
            <w:vAlign w:val="center"/>
            <w:tcMar>
              <w:top w:w="80" w:type="dxa"/>
              <w:start w:w="120" w:type="dxa"/>
              <w:bottom w:w="80" w:type="dxa"/>
              <w:end w:w="120" w:type="dxa"/>
            </w:tcMar>
          </w:tcPr>
          <w:p>
            <w:pPr>
              <w:spacing w:after="0"/>
              <w:jc w:val="center"/>
            </w:pPr>
            <w:r>
              <w:rPr>
                <w:rFonts w:ascii="Calibri" w:hAnsi="Calibri"/>
                <w:b w:val="0"/>
                <w:i w:val="0"/>
                <w:color w:val="17212B"/>
                <w:sz w:val="16"/>
              </w:rPr>
              <w:t>Not a source for company capital structures</w:t>
            </w:r>
          </w:p>
        </w:tc>
      </w:tr>
      <w:tr>
        <w:trPr>
          <w:cantSplit/>
        </w:trPr>
        <w:tc>
          <w:tcPr>
            <w:tcW w:type="dxa" w:w="1700"/>
            <w:shd w:fill="F4F6F9"/>
            <w:vAlign w:val="center"/>
            <w:tcMar>
              <w:top w:w="80" w:type="dxa"/>
              <w:start w:w="120" w:type="dxa"/>
              <w:bottom w:w="80" w:type="dxa"/>
              <w:end w:w="120" w:type="dxa"/>
            </w:tcMar>
          </w:tcPr>
          <w:p>
            <w:pPr>
              <w:spacing w:after="0"/>
              <w:jc w:val="left"/>
            </w:pPr>
            <w:r>
              <w:rPr>
                <w:rFonts w:ascii="Calibri" w:hAnsi="Calibri"/>
                <w:b w:val="0"/>
                <w:i w:val="0"/>
                <w:color w:val="17212B"/>
                <w:sz w:val="16"/>
              </w:rPr>
              <w:t>Mempool / network research</w:t>
            </w:r>
          </w:p>
        </w:tc>
        <w:tc>
          <w:tcPr>
            <w:tcW w:type="dxa" w:w="245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Difficulty, hashrate, revenue mix</w:t>
            </w:r>
          </w:p>
        </w:tc>
        <w:tc>
          <w:tcPr>
            <w:tcW w:type="dxa" w:w="290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Mining competition assumptions</w:t>
            </w:r>
          </w:p>
        </w:tc>
        <w:tc>
          <w:tcPr>
            <w:tcW w:type="dxa" w:w="231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Snapshot rather than full forecast</w:t>
            </w:r>
          </w:p>
        </w:tc>
      </w:tr>
      <w:tr>
        <w:trPr>
          <w:cantSplit/>
        </w:trPr>
        <w:tc>
          <w:tcPr>
            <w:tcW w:type="dxa" w:w="1700"/>
            <w:vAlign w:val="center"/>
            <w:tcMar>
              <w:top w:w="80" w:type="dxa"/>
              <w:start w:w="120" w:type="dxa"/>
              <w:bottom w:w="80" w:type="dxa"/>
              <w:end w:w="120" w:type="dxa"/>
            </w:tcMar>
          </w:tcPr>
          <w:p>
            <w:pPr>
              <w:spacing w:after="0"/>
              <w:jc w:val="left"/>
            </w:pPr>
            <w:r>
              <w:rPr>
                <w:rFonts w:ascii="Calibri" w:hAnsi="Calibri"/>
                <w:b w:val="0"/>
                <w:i w:val="0"/>
                <w:color w:val="17212B"/>
                <w:sz w:val="16"/>
              </w:rPr>
              <w:t>Company IR and SEC filings</w:t>
            </w:r>
          </w:p>
        </w:tc>
        <w:tc>
          <w:tcPr>
            <w:tcW w:type="dxa" w:w="2450"/>
            <w:vAlign w:val="center"/>
            <w:tcMar>
              <w:top w:w="80" w:type="dxa"/>
              <w:start w:w="120" w:type="dxa"/>
              <w:bottom w:w="80" w:type="dxa"/>
              <w:end w:w="120" w:type="dxa"/>
            </w:tcMar>
          </w:tcPr>
          <w:p>
            <w:pPr>
              <w:spacing w:after="0"/>
              <w:jc w:val="center"/>
            </w:pPr>
            <w:r>
              <w:rPr>
                <w:rFonts w:ascii="Calibri" w:hAnsi="Calibri"/>
                <w:b w:val="0"/>
                <w:i w:val="0"/>
                <w:color w:val="17212B"/>
                <w:sz w:val="16"/>
              </w:rPr>
              <w:t>BTC, shares, debt, preferreds, ATM, mining and HPC</w:t>
            </w:r>
          </w:p>
        </w:tc>
        <w:tc>
          <w:tcPr>
            <w:tcW w:type="dxa" w:w="2900"/>
            <w:vAlign w:val="center"/>
            <w:tcMar>
              <w:top w:w="80" w:type="dxa"/>
              <w:start w:w="120" w:type="dxa"/>
              <w:bottom w:w="80" w:type="dxa"/>
              <w:end w:w="120" w:type="dxa"/>
            </w:tcMar>
          </w:tcPr>
          <w:p>
            <w:pPr>
              <w:spacing w:after="0"/>
              <w:jc w:val="center"/>
            </w:pPr>
            <w:r>
              <w:rPr>
                <w:rFonts w:ascii="Calibri" w:hAnsi="Calibri"/>
                <w:b w:val="0"/>
                <w:i w:val="0"/>
                <w:color w:val="17212B"/>
                <w:sz w:val="16"/>
              </w:rPr>
              <w:t>Company-specific model inputs</w:t>
            </w:r>
          </w:p>
        </w:tc>
        <w:tc>
          <w:tcPr>
            <w:tcW w:type="dxa" w:w="2310"/>
            <w:vAlign w:val="center"/>
            <w:tcMar>
              <w:top w:w="80" w:type="dxa"/>
              <w:start w:w="120" w:type="dxa"/>
              <w:bottom w:w="80" w:type="dxa"/>
              <w:end w:w="120" w:type="dxa"/>
            </w:tcMar>
          </w:tcPr>
          <w:p>
            <w:pPr>
              <w:spacing w:after="0"/>
              <w:jc w:val="center"/>
            </w:pPr>
            <w:r>
              <w:rPr>
                <w:rFonts w:ascii="Calibri" w:hAnsi="Calibri"/>
                <w:b w:val="0"/>
                <w:i w:val="0"/>
                <w:color w:val="17212B"/>
                <w:sz w:val="16"/>
              </w:rPr>
              <w:t>Disclosure timing differs by issuer</w:t>
            </w:r>
          </w:p>
        </w:tc>
      </w:tr>
      <w:tr>
        <w:trPr>
          <w:cantSplit/>
        </w:trPr>
        <w:tc>
          <w:tcPr>
            <w:tcW w:type="dxa" w:w="1700"/>
            <w:shd w:fill="F4F6F9"/>
            <w:vAlign w:val="center"/>
            <w:tcMar>
              <w:top w:w="80" w:type="dxa"/>
              <w:start w:w="120" w:type="dxa"/>
              <w:bottom w:w="80" w:type="dxa"/>
              <w:end w:w="120" w:type="dxa"/>
            </w:tcMar>
          </w:tcPr>
          <w:p>
            <w:pPr>
              <w:spacing w:after="0"/>
              <w:jc w:val="left"/>
            </w:pPr>
            <w:r>
              <w:rPr>
                <w:rFonts w:ascii="Calibri" w:hAnsi="Calibri"/>
                <w:b w:val="0"/>
                <w:i w:val="0"/>
                <w:color w:val="17212B"/>
                <w:sz w:val="16"/>
              </w:rPr>
              <w:t>Uploaded prior analysis</w:t>
            </w:r>
          </w:p>
        </w:tc>
        <w:tc>
          <w:tcPr>
            <w:tcW w:type="dxa" w:w="245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Earlier targets, risk hypotheses, probability judgments</w:t>
            </w:r>
          </w:p>
        </w:tc>
        <w:tc>
          <w:tcPr>
            <w:tcW w:type="dxa" w:w="290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Context and challenge set</w:t>
            </w:r>
          </w:p>
        </w:tc>
        <w:tc>
          <w:tcPr>
            <w:tcW w:type="dxa" w:w="231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Contained denominator conflicts and subjective ranges</w:t>
            </w:r>
          </w:p>
        </w:tc>
      </w:tr>
      <w:tr>
        <w:trPr>
          <w:cantSplit/>
        </w:trPr>
        <w:tc>
          <w:tcPr>
            <w:tcW w:type="dxa" w:w="1700"/>
            <w:vAlign w:val="center"/>
            <w:tcMar>
              <w:top w:w="80" w:type="dxa"/>
              <w:start w:w="120" w:type="dxa"/>
              <w:bottom w:w="80" w:type="dxa"/>
              <w:end w:w="120" w:type="dxa"/>
            </w:tcMar>
          </w:tcPr>
          <w:p>
            <w:pPr>
              <w:spacing w:after="0"/>
              <w:jc w:val="left"/>
            </w:pPr>
            <w:r>
              <w:rPr>
                <w:rFonts w:ascii="Calibri" w:hAnsi="Calibri"/>
                <w:b w:val="0"/>
                <w:i w:val="0"/>
                <w:color w:val="17212B"/>
                <w:sz w:val="16"/>
              </w:rPr>
              <w:t>Rebuilt workbook + notebook</w:t>
            </w:r>
          </w:p>
        </w:tc>
        <w:tc>
          <w:tcPr>
            <w:tcW w:type="dxa" w:w="2450"/>
            <w:vAlign w:val="center"/>
            <w:tcMar>
              <w:top w:w="80" w:type="dxa"/>
              <w:start w:w="120" w:type="dxa"/>
              <w:bottom w:w="80" w:type="dxa"/>
              <w:end w:w="120" w:type="dxa"/>
            </w:tcMar>
          </w:tcPr>
          <w:p>
            <w:pPr>
              <w:spacing w:after="0"/>
              <w:jc w:val="center"/>
            </w:pPr>
            <w:r>
              <w:rPr>
                <w:rFonts w:ascii="Calibri" w:hAnsi="Calibri"/>
                <w:b w:val="0"/>
                <w:i w:val="0"/>
                <w:color w:val="17212B"/>
                <w:sz w:val="16"/>
              </w:rPr>
              <w:t>Normalized metrics, formulas, checks, scenarios</w:t>
            </w:r>
          </w:p>
        </w:tc>
        <w:tc>
          <w:tcPr>
            <w:tcW w:type="dxa" w:w="2900"/>
            <w:vAlign w:val="center"/>
            <w:tcMar>
              <w:top w:w="80" w:type="dxa"/>
              <w:start w:w="120" w:type="dxa"/>
              <w:bottom w:w="80" w:type="dxa"/>
              <w:end w:w="120" w:type="dxa"/>
            </w:tcMar>
          </w:tcPr>
          <w:p>
            <w:pPr>
              <w:spacing w:after="0"/>
              <w:jc w:val="center"/>
            </w:pPr>
            <w:r>
              <w:rPr>
                <w:rFonts w:ascii="Calibri" w:hAnsi="Calibri"/>
                <w:b w:val="0"/>
                <w:i w:val="0"/>
                <w:color w:val="17212B"/>
                <w:sz w:val="16"/>
              </w:rPr>
              <w:t>Controlling analytical source</w:t>
            </w:r>
          </w:p>
        </w:tc>
        <w:tc>
          <w:tcPr>
            <w:tcW w:type="dxa" w:w="2310"/>
            <w:vAlign w:val="center"/>
            <w:tcMar>
              <w:top w:w="80" w:type="dxa"/>
              <w:start w:w="120" w:type="dxa"/>
              <w:bottom w:w="80" w:type="dxa"/>
              <w:end w:w="120" w:type="dxa"/>
            </w:tcMar>
          </w:tcPr>
          <w:p>
            <w:pPr>
              <w:spacing w:after="0"/>
              <w:jc w:val="center"/>
            </w:pPr>
            <w:r>
              <w:rPr>
                <w:rFonts w:ascii="Calibri" w:hAnsi="Calibri"/>
                <w:b w:val="0"/>
                <w:i w:val="0"/>
                <w:color w:val="17212B"/>
                <w:sz w:val="16"/>
              </w:rPr>
              <w:t>Forecasts remain assumption-driven</w:t>
            </w:r>
          </w:p>
        </w:tc>
      </w:tr>
    </w:tbl>
    <w:p>
      <w:pPr>
        <w:spacing w:before="0" w:after="60" w:line="264" w:lineRule="auto"/>
      </w:pPr>
    </w:p>
    <w:p>
      <w:pPr>
        <w:spacing w:before="0" w:after="120" w:line="264" w:lineRule="auto"/>
      </w:pPr>
      <w:r>
        <w:rPr>
          <w:rFonts w:ascii="Calibri" w:hAnsi="Calibri"/>
          <w:b w:val="0"/>
          <w:i w:val="0"/>
          <w:color w:val="17212B"/>
          <w:sz w:val="19"/>
        </w:rPr>
        <w:t>The source-refresh workbook records the evidence class, as-of date, URL, limitation, and workbook use for each input family. Two denominator conflicts identified in the earlier analysis were corrected before Stage 4 was completed.</w:t>
      </w:r>
    </w:p>
    <w:p>
      <w:pPr>
        <w:pStyle w:val="Heading1"/>
        <w:keepNext/>
      </w:pPr>
      <w:r>
        <w:t>Stage 4 - Execution: rebuild the model around company-specific economics</w:t>
      </w:r>
    </w:p>
    <w:p>
      <w:pPr>
        <w:spacing w:before="0" w:after="120" w:line="264" w:lineRule="auto"/>
      </w:pPr>
      <w:r>
        <w:rPr>
          <w:rFonts w:ascii="Calibri" w:hAnsi="Calibri"/>
          <w:b w:val="0"/>
          <w:i w:val="0"/>
          <w:color w:val="17212B"/>
          <w:sz w:val="21"/>
        </w:rPr>
        <w:t>The execution layer produces 18 company-scenario observations: six companies multiplied by three BTC outcomes. It deliberately avoids a single generic valuation formula.</w:t>
      </w:r>
    </w:p>
    <w:tbl>
      <w:tblPr>
        <w:tblStyle w:val="TableGrid"/>
        <w:tblW w:type="dxa" w:w="9360"/>
        <w:tblLayout w:type="fixed"/>
        <w:tblLook w:firstColumn="1" w:firstRow="1" w:lastColumn="0" w:lastRow="0" w:noHBand="0" w:noVBand="1" w:val="04A0"/>
        <w:jc w:val="left"/>
        <w:tblInd w:w="120" w:type="dxa"/>
      </w:tblPr>
      <w:tblGrid>
        <w:gridCol w:w="1500"/>
        <w:gridCol w:w="3930"/>
        <w:gridCol w:w="3930"/>
      </w:tblGrid>
      <w:tr>
        <w:trPr>
          <w:tblHeader w:val="true"/>
        </w:trPr>
        <w:tc>
          <w:tcPr>
            <w:tcW w:type="dxa" w:w="1500"/>
            <w:tcMar>
              <w:top w:w="80" w:type="dxa"/>
              <w:start w:w="120" w:type="dxa"/>
              <w:bottom w:w="80" w:type="dxa"/>
              <w:end w:w="120" w:type="dxa"/>
            </w:tcMar>
            <w:shd w:fill="183B56"/>
            <w:vAlign w:val="center"/>
          </w:tcPr>
          <w:p>
            <w:pPr>
              <w:spacing w:after="0"/>
              <w:jc w:val="left"/>
            </w:pPr>
            <w:r>
              <w:rPr>
                <w:rFonts w:ascii="Calibri" w:hAnsi="Calibri"/>
                <w:b/>
                <w:i w:val="0"/>
                <w:color w:val="FFFFFF"/>
                <w:sz w:val="16"/>
              </w:rPr>
              <w:t>Component</w:t>
            </w:r>
          </w:p>
        </w:tc>
        <w:tc>
          <w:tcPr>
            <w:tcW w:type="dxa" w:w="3930"/>
            <w:tcMar>
              <w:top w:w="80" w:type="dxa"/>
              <w:start w:w="120" w:type="dxa"/>
              <w:bottom w:w="80" w:type="dxa"/>
              <w:end w:w="120" w:type="dxa"/>
            </w:tcMar>
            <w:shd w:fill="183B56"/>
            <w:vAlign w:val="center"/>
          </w:tcPr>
          <w:p>
            <w:pPr>
              <w:spacing w:after="0"/>
              <w:jc w:val="center"/>
            </w:pPr>
            <w:r>
              <w:rPr>
                <w:rFonts w:ascii="Calibri" w:hAnsi="Calibri"/>
                <w:b/>
                <w:i w:val="0"/>
                <w:color w:val="FFFFFF"/>
                <w:sz w:val="16"/>
              </w:rPr>
              <w:t>Treasury companies</w:t>
            </w:r>
          </w:p>
        </w:tc>
        <w:tc>
          <w:tcPr>
            <w:tcW w:type="dxa" w:w="3930"/>
            <w:tcMar>
              <w:top w:w="80" w:type="dxa"/>
              <w:start w:w="120" w:type="dxa"/>
              <w:bottom w:w="80" w:type="dxa"/>
              <w:end w:w="120" w:type="dxa"/>
            </w:tcMar>
            <w:shd w:fill="183B56"/>
            <w:vAlign w:val="center"/>
          </w:tcPr>
          <w:p>
            <w:pPr>
              <w:spacing w:after="0"/>
              <w:jc w:val="center"/>
            </w:pPr>
            <w:r>
              <w:rPr>
                <w:rFonts w:ascii="Calibri" w:hAnsi="Calibri"/>
                <w:b/>
                <w:i w:val="0"/>
                <w:color w:val="FFFFFF"/>
                <w:sz w:val="16"/>
              </w:rPr>
              <w:t>Bitcoin miners</w:t>
            </w:r>
          </w:p>
        </w:tc>
      </w:tr>
      <w:tr>
        <w:trPr>
          <w:cantSplit/>
        </w:trPr>
        <w:tc>
          <w:tcPr>
            <w:tcW w:type="dxa" w:w="1500"/>
            <w:vAlign w:val="center"/>
            <w:tcMar>
              <w:top w:w="80" w:type="dxa"/>
              <w:start w:w="120" w:type="dxa"/>
              <w:bottom w:w="80" w:type="dxa"/>
              <w:end w:w="120" w:type="dxa"/>
            </w:tcMar>
          </w:tcPr>
          <w:p>
            <w:pPr>
              <w:spacing w:after="0"/>
              <w:jc w:val="left"/>
            </w:pPr>
            <w:r>
              <w:rPr>
                <w:rFonts w:ascii="Calibri" w:hAnsi="Calibri"/>
                <w:b w:val="0"/>
                <w:i w:val="0"/>
                <w:color w:val="17212B"/>
                <w:sz w:val="16"/>
              </w:rPr>
              <w:t>Core value</w:t>
            </w:r>
          </w:p>
        </w:tc>
        <w:tc>
          <w:tcPr>
            <w:tcW w:type="dxa" w:w="3930"/>
            <w:vAlign w:val="center"/>
            <w:tcMar>
              <w:top w:w="80" w:type="dxa"/>
              <w:start w:w="120" w:type="dxa"/>
              <w:bottom w:w="80" w:type="dxa"/>
              <w:end w:w="120" w:type="dxa"/>
            </w:tcMar>
          </w:tcPr>
          <w:p>
            <w:pPr>
              <w:spacing w:after="0"/>
              <w:jc w:val="center"/>
            </w:pPr>
            <w:r>
              <w:rPr>
                <w:rFonts w:ascii="Calibri" w:hAnsi="Calibri"/>
                <w:b w:val="0"/>
                <w:i w:val="0"/>
                <w:color w:val="17212B"/>
                <w:sz w:val="16"/>
              </w:rPr>
              <w:t>Terminal BTC assets plus liquid assets</w:t>
            </w:r>
          </w:p>
        </w:tc>
        <w:tc>
          <w:tcPr>
            <w:tcW w:type="dxa" w:w="3930"/>
            <w:vAlign w:val="center"/>
            <w:tcMar>
              <w:top w:w="80" w:type="dxa"/>
              <w:start w:w="120" w:type="dxa"/>
              <w:bottom w:w="80" w:type="dxa"/>
              <w:end w:w="120" w:type="dxa"/>
            </w:tcMar>
          </w:tcPr>
          <w:p>
            <w:pPr>
              <w:spacing w:after="0"/>
              <w:jc w:val="center"/>
            </w:pPr>
            <w:r>
              <w:rPr>
                <w:rFonts w:ascii="Calibri" w:hAnsi="Calibri"/>
                <w:b w:val="0"/>
                <w:i w:val="0"/>
                <w:color w:val="17212B"/>
                <w:sz w:val="16"/>
              </w:rPr>
              <w:t>Terminal treasury value plus mining enterprise value</w:t>
            </w:r>
          </w:p>
        </w:tc>
      </w:tr>
      <w:tr>
        <w:trPr>
          <w:cantSplit/>
        </w:trPr>
        <w:tc>
          <w:tcPr>
            <w:tcW w:type="dxa" w:w="1500"/>
            <w:shd w:fill="F4F6F9"/>
            <w:vAlign w:val="center"/>
            <w:tcMar>
              <w:top w:w="80" w:type="dxa"/>
              <w:start w:w="120" w:type="dxa"/>
              <w:bottom w:w="80" w:type="dxa"/>
              <w:end w:w="120" w:type="dxa"/>
            </w:tcMar>
          </w:tcPr>
          <w:p>
            <w:pPr>
              <w:spacing w:after="0"/>
              <w:jc w:val="left"/>
            </w:pPr>
            <w:r>
              <w:rPr>
                <w:rFonts w:ascii="Calibri" w:hAnsi="Calibri"/>
                <w:b w:val="0"/>
                <w:i w:val="0"/>
                <w:color w:val="17212B"/>
                <w:sz w:val="16"/>
              </w:rPr>
              <w:t>Claims</w:t>
            </w:r>
          </w:p>
        </w:tc>
        <w:tc>
          <w:tcPr>
            <w:tcW w:type="dxa" w:w="393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Debt, preferreds, convertibles, and fixed charges</w:t>
            </w:r>
          </w:p>
        </w:tc>
        <w:tc>
          <w:tcPr>
            <w:tcW w:type="dxa" w:w="393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Debt, leases, equipment obligations, and financing</w:t>
            </w:r>
          </w:p>
        </w:tc>
      </w:tr>
      <w:tr>
        <w:trPr>
          <w:cantSplit/>
        </w:trPr>
        <w:tc>
          <w:tcPr>
            <w:tcW w:type="dxa" w:w="1500"/>
            <w:vAlign w:val="center"/>
            <w:tcMar>
              <w:top w:w="80" w:type="dxa"/>
              <w:start w:w="120" w:type="dxa"/>
              <w:bottom w:w="80" w:type="dxa"/>
              <w:end w:w="120" w:type="dxa"/>
            </w:tcMar>
          </w:tcPr>
          <w:p>
            <w:pPr>
              <w:spacing w:after="0"/>
              <w:jc w:val="left"/>
            </w:pPr>
            <w:r>
              <w:rPr>
                <w:rFonts w:ascii="Calibri" w:hAnsi="Calibri"/>
                <w:b w:val="0"/>
                <w:i w:val="0"/>
                <w:color w:val="17212B"/>
                <w:sz w:val="16"/>
              </w:rPr>
              <w:t>Dilution</w:t>
            </w:r>
          </w:p>
        </w:tc>
        <w:tc>
          <w:tcPr>
            <w:tcW w:type="dxa" w:w="3930"/>
            <w:vAlign w:val="center"/>
            <w:tcMar>
              <w:top w:w="80" w:type="dxa"/>
              <w:start w:w="120" w:type="dxa"/>
              <w:bottom w:w="80" w:type="dxa"/>
              <w:end w:w="120" w:type="dxa"/>
            </w:tcMar>
          </w:tcPr>
          <w:p>
            <w:pPr>
              <w:spacing w:after="0"/>
              <w:jc w:val="center"/>
            </w:pPr>
            <w:r>
              <w:rPr>
                <w:rFonts w:ascii="Calibri" w:hAnsi="Calibri"/>
                <w:b w:val="0"/>
                <w:i w:val="0"/>
                <w:color w:val="17212B"/>
                <w:sz w:val="16"/>
              </w:rPr>
              <w:t>Equity issuance and price-dependent conversion</w:t>
            </w:r>
          </w:p>
        </w:tc>
        <w:tc>
          <w:tcPr>
            <w:tcW w:type="dxa" w:w="3930"/>
            <w:vAlign w:val="center"/>
            <w:tcMar>
              <w:top w:w="80" w:type="dxa"/>
              <w:start w:w="120" w:type="dxa"/>
              <w:bottom w:w="80" w:type="dxa"/>
              <w:end w:w="120" w:type="dxa"/>
            </w:tcMar>
          </w:tcPr>
          <w:p>
            <w:pPr>
              <w:spacing w:after="0"/>
              <w:jc w:val="center"/>
            </w:pPr>
            <w:r>
              <w:rPr>
                <w:rFonts w:ascii="Calibri" w:hAnsi="Calibri"/>
                <w:b w:val="0"/>
                <w:i w:val="0"/>
                <w:color w:val="17212B"/>
                <w:sz w:val="16"/>
              </w:rPr>
              <w:t>ATM utilization and stock compensation</w:t>
            </w:r>
          </w:p>
        </w:tc>
      </w:tr>
      <w:tr>
        <w:trPr>
          <w:cantSplit/>
        </w:trPr>
        <w:tc>
          <w:tcPr>
            <w:tcW w:type="dxa" w:w="1500"/>
            <w:shd w:fill="F4F6F9"/>
            <w:vAlign w:val="center"/>
            <w:tcMar>
              <w:top w:w="80" w:type="dxa"/>
              <w:start w:w="120" w:type="dxa"/>
              <w:bottom w:w="80" w:type="dxa"/>
              <w:end w:w="120" w:type="dxa"/>
            </w:tcMar>
          </w:tcPr>
          <w:p>
            <w:pPr>
              <w:spacing w:after="0"/>
              <w:jc w:val="left"/>
            </w:pPr>
            <w:r>
              <w:rPr>
                <w:rFonts w:ascii="Calibri" w:hAnsi="Calibri"/>
                <w:b w:val="0"/>
                <w:i w:val="0"/>
                <w:color w:val="17212B"/>
                <w:sz w:val="16"/>
              </w:rPr>
              <w:t>Operating value</w:t>
            </w:r>
          </w:p>
        </w:tc>
        <w:tc>
          <w:tcPr>
            <w:tcW w:type="dxa" w:w="393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Normally separated from BTC reserve value</w:t>
            </w:r>
          </w:p>
        </w:tc>
        <w:tc>
          <w:tcPr>
            <w:tcW w:type="dxa" w:w="393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Production, difficulty, cash cost, capex, and EBITDA</w:t>
            </w:r>
          </w:p>
        </w:tc>
      </w:tr>
      <w:tr>
        <w:trPr>
          <w:cantSplit/>
        </w:trPr>
        <w:tc>
          <w:tcPr>
            <w:tcW w:type="dxa" w:w="1500"/>
            <w:vAlign w:val="center"/>
            <w:tcMar>
              <w:top w:w="80" w:type="dxa"/>
              <w:start w:w="120" w:type="dxa"/>
              <w:bottom w:w="80" w:type="dxa"/>
              <w:end w:w="120" w:type="dxa"/>
            </w:tcMar>
          </w:tcPr>
          <w:p>
            <w:pPr>
              <w:spacing w:after="0"/>
              <w:jc w:val="left"/>
            </w:pPr>
            <w:r>
              <w:rPr>
                <w:rFonts w:ascii="Calibri" w:hAnsi="Calibri"/>
                <w:b w:val="0"/>
                <w:i w:val="0"/>
                <w:color w:val="17212B"/>
                <w:sz w:val="16"/>
              </w:rPr>
              <w:t>Optionality</w:t>
            </w:r>
          </w:p>
        </w:tc>
        <w:tc>
          <w:tcPr>
            <w:tcW w:type="dxa" w:w="3930"/>
            <w:vAlign w:val="center"/>
            <w:tcMar>
              <w:top w:w="80" w:type="dxa"/>
              <w:start w:w="120" w:type="dxa"/>
              <w:bottom w:w="80" w:type="dxa"/>
              <w:end w:w="120" w:type="dxa"/>
            </w:tcMar>
          </w:tcPr>
          <w:p>
            <w:pPr>
              <w:spacing w:after="0"/>
              <w:jc w:val="center"/>
            </w:pPr>
            <w:r>
              <w:rPr>
                <w:rFonts w:ascii="Calibri" w:hAnsi="Calibri"/>
                <w:b w:val="0"/>
                <w:i w:val="0"/>
                <w:color w:val="17212B"/>
                <w:sz w:val="16"/>
              </w:rPr>
              <w:t>NAV discount or premium behavior</w:t>
            </w:r>
          </w:p>
        </w:tc>
        <w:tc>
          <w:tcPr>
            <w:tcW w:type="dxa" w:w="3930"/>
            <w:vAlign w:val="center"/>
            <w:tcMar>
              <w:top w:w="80" w:type="dxa"/>
              <w:start w:w="120" w:type="dxa"/>
              <w:bottom w:w="80" w:type="dxa"/>
              <w:end w:w="120" w:type="dxa"/>
            </w:tcMar>
          </w:tcPr>
          <w:p>
            <w:pPr>
              <w:spacing w:after="0"/>
              <w:jc w:val="center"/>
            </w:pPr>
            <w:r>
              <w:rPr>
                <w:rFonts w:ascii="Calibri" w:hAnsi="Calibri"/>
                <w:b w:val="0"/>
                <w:i w:val="0"/>
                <w:color w:val="17212B"/>
                <w:sz w:val="16"/>
              </w:rPr>
              <w:t>HPC value kept separate and probability-weighted</w:t>
            </w:r>
          </w:p>
        </w:tc>
      </w:tr>
      <w:tr>
        <w:trPr>
          <w:cantSplit/>
        </w:trPr>
        <w:tc>
          <w:tcPr>
            <w:tcW w:type="dxa" w:w="1500"/>
            <w:shd w:fill="F4F6F9"/>
            <w:vAlign w:val="center"/>
            <w:tcMar>
              <w:top w:w="80" w:type="dxa"/>
              <w:start w:w="120" w:type="dxa"/>
              <w:bottom w:w="80" w:type="dxa"/>
              <w:end w:w="120" w:type="dxa"/>
            </w:tcMar>
          </w:tcPr>
          <w:p>
            <w:pPr>
              <w:spacing w:after="0"/>
              <w:jc w:val="left"/>
            </w:pPr>
            <w:r>
              <w:rPr>
                <w:rFonts w:ascii="Calibri" w:hAnsi="Calibri"/>
                <w:b w:val="0"/>
                <w:i w:val="0"/>
                <w:color w:val="17212B"/>
                <w:sz w:val="16"/>
              </w:rPr>
              <w:t>Per-share output</w:t>
            </w:r>
          </w:p>
        </w:tc>
        <w:tc>
          <w:tcPr>
            <w:tcW w:type="dxa" w:w="393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Common equity value divided by ending diluted shares</w:t>
            </w:r>
          </w:p>
        </w:tc>
        <w:tc>
          <w:tcPr>
            <w:tcW w:type="dxa" w:w="393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Treasury + mining + HPC less net claims, divided by ending shares</w:t>
            </w:r>
          </w:p>
        </w:tc>
      </w:tr>
    </w:tbl>
    <w:p>
      <w:pPr>
        <w:spacing w:before="0" w:after="60" w:line="264" w:lineRule="auto"/>
      </w:pPr>
    </w:p>
    <w:p>
      <w:pPr>
        <w:pStyle w:val="Heading2"/>
        <w:keepNext/>
      </w:pPr>
      <w:r>
        <w:t>Scenario assumptions</w:t>
      </w:r>
    </w:p>
    <w:tbl>
      <w:tblPr>
        <w:tblStyle w:val="TableGrid"/>
        <w:tblW w:type="dxa" w:w="9360"/>
        <w:tblLayout w:type="fixed"/>
        <w:tblLook w:firstColumn="1" w:firstRow="1" w:lastColumn="0" w:lastRow="0" w:noHBand="0" w:noVBand="1" w:val="04A0"/>
        <w:jc w:val="left"/>
        <w:tblInd w:w="120" w:type="dxa"/>
      </w:tblPr>
      <w:tblGrid>
        <w:gridCol w:w="1700"/>
        <w:gridCol w:w="2100"/>
        <w:gridCol w:w="1700"/>
        <w:gridCol w:w="2100"/>
        <w:gridCol w:w="1760"/>
      </w:tblGrid>
      <w:tr>
        <w:trPr>
          <w:tblHeader w:val="true"/>
        </w:trPr>
        <w:tc>
          <w:tcPr>
            <w:tcW w:type="dxa" w:w="1700"/>
            <w:tcMar>
              <w:top w:w="80" w:type="dxa"/>
              <w:start w:w="120" w:type="dxa"/>
              <w:bottom w:w="80" w:type="dxa"/>
              <w:end w:w="120" w:type="dxa"/>
            </w:tcMar>
            <w:shd w:fill="183B56"/>
            <w:vAlign w:val="center"/>
          </w:tcPr>
          <w:p>
            <w:pPr>
              <w:spacing w:after="0"/>
              <w:jc w:val="left"/>
            </w:pPr>
            <w:r>
              <w:rPr>
                <w:rFonts w:ascii="Calibri" w:hAnsi="Calibri"/>
                <w:b/>
                <w:i w:val="0"/>
                <w:color w:val="FFFFFF"/>
                <w:sz w:val="17"/>
              </w:rPr>
              <w:t>Scenario</w:t>
            </w:r>
          </w:p>
        </w:tc>
        <w:tc>
          <w:tcPr>
            <w:tcW w:type="dxa" w:w="2100"/>
            <w:tcMar>
              <w:top w:w="80" w:type="dxa"/>
              <w:start w:w="120" w:type="dxa"/>
              <w:bottom w:w="80" w:type="dxa"/>
              <w:end w:w="120" w:type="dxa"/>
            </w:tcMar>
            <w:shd w:fill="183B56"/>
            <w:vAlign w:val="center"/>
          </w:tcPr>
          <w:p>
            <w:pPr>
              <w:spacing w:after="0"/>
              <w:jc w:val="center"/>
            </w:pPr>
            <w:r>
              <w:rPr>
                <w:rFonts w:ascii="Calibri" w:hAnsi="Calibri"/>
                <w:b/>
                <w:i w:val="0"/>
                <w:color w:val="FFFFFF"/>
                <w:sz w:val="17"/>
              </w:rPr>
              <w:t>Terminal BTC</w:t>
            </w:r>
          </w:p>
        </w:tc>
        <w:tc>
          <w:tcPr>
            <w:tcW w:type="dxa" w:w="1700"/>
            <w:tcMar>
              <w:top w:w="80" w:type="dxa"/>
              <w:start w:w="120" w:type="dxa"/>
              <w:bottom w:w="80" w:type="dxa"/>
              <w:end w:w="120" w:type="dxa"/>
            </w:tcMar>
            <w:shd w:fill="183B56"/>
            <w:vAlign w:val="center"/>
          </w:tcPr>
          <w:p>
            <w:pPr>
              <w:spacing w:after="0"/>
              <w:jc w:val="center"/>
            </w:pPr>
            <w:r>
              <w:rPr>
                <w:rFonts w:ascii="Calibri" w:hAnsi="Calibri"/>
                <w:b/>
                <w:i w:val="0"/>
                <w:color w:val="FFFFFF"/>
                <w:sz w:val="17"/>
              </w:rPr>
              <w:t>BTC return</w:t>
            </w:r>
          </w:p>
        </w:tc>
        <w:tc>
          <w:tcPr>
            <w:tcW w:type="dxa" w:w="2100"/>
            <w:tcMar>
              <w:top w:w="80" w:type="dxa"/>
              <w:start w:w="120" w:type="dxa"/>
              <w:bottom w:w="80" w:type="dxa"/>
              <w:end w:w="120" w:type="dxa"/>
            </w:tcMar>
            <w:shd w:fill="183B56"/>
            <w:vAlign w:val="center"/>
          </w:tcPr>
          <w:p>
            <w:pPr>
              <w:spacing w:after="0"/>
              <w:jc w:val="center"/>
            </w:pPr>
            <w:r>
              <w:rPr>
                <w:rFonts w:ascii="Calibri" w:hAnsi="Calibri"/>
                <w:b/>
                <w:i w:val="0"/>
                <w:color w:val="FFFFFF"/>
                <w:sz w:val="17"/>
              </w:rPr>
              <w:t>Difficulty increase</w:t>
            </w:r>
          </w:p>
        </w:tc>
        <w:tc>
          <w:tcPr>
            <w:tcW w:type="dxa" w:w="1760"/>
            <w:tcMar>
              <w:top w:w="80" w:type="dxa"/>
              <w:start w:w="120" w:type="dxa"/>
              <w:bottom w:w="80" w:type="dxa"/>
              <w:end w:w="120" w:type="dxa"/>
            </w:tcMar>
            <w:shd w:fill="183B56"/>
            <w:vAlign w:val="center"/>
          </w:tcPr>
          <w:p>
            <w:pPr>
              <w:spacing w:after="0"/>
              <w:jc w:val="center"/>
            </w:pPr>
            <w:r>
              <w:rPr>
                <w:rFonts w:ascii="Calibri" w:hAnsi="Calibri"/>
                <w:b/>
                <w:i w:val="0"/>
                <w:color w:val="FFFFFF"/>
                <w:sz w:val="17"/>
              </w:rPr>
              <w:t>Horizon</w:t>
            </w:r>
          </w:p>
        </w:tc>
      </w:tr>
      <w:tr>
        <w:trPr>
          <w:cantSplit/>
        </w:trPr>
        <w:tc>
          <w:tcPr>
            <w:tcW w:type="dxa" w:w="1700"/>
            <w:vAlign w:val="center"/>
            <w:tcMar>
              <w:top w:w="80" w:type="dxa"/>
              <w:start w:w="120" w:type="dxa"/>
              <w:bottom w:w="80" w:type="dxa"/>
              <w:end w:w="120" w:type="dxa"/>
            </w:tcMar>
          </w:tcPr>
          <w:p>
            <w:pPr>
              <w:spacing w:after="0"/>
              <w:jc w:val="left"/>
            </w:pPr>
            <w:r>
              <w:rPr>
                <w:rFonts w:ascii="Calibri" w:hAnsi="Calibri"/>
                <w:b w:val="0"/>
                <w:i w:val="0"/>
                <w:color w:val="17212B"/>
                <w:sz w:val="17"/>
              </w:rPr>
              <w:t>BTC +50%</w:t>
            </w:r>
          </w:p>
        </w:tc>
        <w:tc>
          <w:tcPr>
            <w:tcW w:type="dxa" w:w="2100"/>
            <w:vAlign w:val="center"/>
            <w:tcMar>
              <w:top w:w="80" w:type="dxa"/>
              <w:start w:w="120" w:type="dxa"/>
              <w:bottom w:w="80" w:type="dxa"/>
              <w:end w:w="120" w:type="dxa"/>
            </w:tcMar>
          </w:tcPr>
          <w:p>
            <w:pPr>
              <w:spacing w:after="0"/>
              <w:jc w:val="center"/>
            </w:pPr>
            <w:r>
              <w:rPr>
                <w:rFonts w:ascii="Calibri" w:hAnsi="Calibri"/>
                <w:b w:val="0"/>
                <w:i w:val="0"/>
                <w:color w:val="17212B"/>
                <w:sz w:val="17"/>
              </w:rPr>
              <w:t>$117,766.85</w:t>
            </w:r>
          </w:p>
        </w:tc>
        <w:tc>
          <w:tcPr>
            <w:tcW w:type="dxa" w:w="1700"/>
            <w:vAlign w:val="center"/>
            <w:tcMar>
              <w:top w:w="80" w:type="dxa"/>
              <w:start w:w="120" w:type="dxa"/>
              <w:bottom w:w="80" w:type="dxa"/>
              <w:end w:w="120" w:type="dxa"/>
            </w:tcMar>
          </w:tcPr>
          <w:p>
            <w:pPr>
              <w:spacing w:after="0"/>
              <w:jc w:val="center"/>
            </w:pPr>
            <w:r>
              <w:rPr>
                <w:rFonts w:ascii="Calibri" w:hAnsi="Calibri"/>
                <w:b w:val="0"/>
                <w:i w:val="0"/>
                <w:color w:val="17212B"/>
                <w:sz w:val="17"/>
              </w:rPr>
              <w:t>+50%</w:t>
            </w:r>
          </w:p>
        </w:tc>
        <w:tc>
          <w:tcPr>
            <w:tcW w:type="dxa" w:w="2100"/>
            <w:vAlign w:val="center"/>
            <w:tcMar>
              <w:top w:w="80" w:type="dxa"/>
              <w:start w:w="120" w:type="dxa"/>
              <w:bottom w:w="80" w:type="dxa"/>
              <w:end w:w="120" w:type="dxa"/>
            </w:tcMar>
          </w:tcPr>
          <w:p>
            <w:pPr>
              <w:spacing w:after="0"/>
              <w:jc w:val="center"/>
            </w:pPr>
            <w:r>
              <w:rPr>
                <w:rFonts w:ascii="Calibri" w:hAnsi="Calibri"/>
                <w:b w:val="0"/>
                <w:i w:val="0"/>
                <w:color w:val="17212B"/>
                <w:sz w:val="17"/>
              </w:rPr>
              <w:t>+25%</w:t>
            </w:r>
          </w:p>
        </w:tc>
        <w:tc>
          <w:tcPr>
            <w:tcW w:type="dxa" w:w="1760"/>
            <w:vAlign w:val="center"/>
            <w:tcMar>
              <w:top w:w="80" w:type="dxa"/>
              <w:start w:w="120" w:type="dxa"/>
              <w:bottom w:w="80" w:type="dxa"/>
              <w:end w:w="120" w:type="dxa"/>
            </w:tcMar>
          </w:tcPr>
          <w:p>
            <w:pPr>
              <w:spacing w:after="0"/>
              <w:jc w:val="center"/>
            </w:pPr>
            <w:r>
              <w:rPr>
                <w:rFonts w:ascii="Calibri" w:hAnsi="Calibri"/>
                <w:b w:val="0"/>
                <w:i w:val="0"/>
                <w:color w:val="17212B"/>
                <w:sz w:val="17"/>
              </w:rPr>
              <w:t>24 months</w:t>
            </w:r>
          </w:p>
        </w:tc>
      </w:tr>
      <w:tr>
        <w:trPr>
          <w:cantSplit/>
        </w:trPr>
        <w:tc>
          <w:tcPr>
            <w:tcW w:type="dxa" w:w="1700"/>
            <w:shd w:fill="F4F6F9"/>
            <w:vAlign w:val="center"/>
            <w:tcMar>
              <w:top w:w="80" w:type="dxa"/>
              <w:start w:w="120" w:type="dxa"/>
              <w:bottom w:w="80" w:type="dxa"/>
              <w:end w:w="120" w:type="dxa"/>
            </w:tcMar>
          </w:tcPr>
          <w:p>
            <w:pPr>
              <w:spacing w:after="0"/>
              <w:jc w:val="left"/>
            </w:pPr>
            <w:r>
              <w:rPr>
                <w:rFonts w:ascii="Calibri" w:hAnsi="Calibri"/>
                <w:b w:val="0"/>
                <w:i w:val="0"/>
                <w:color w:val="17212B"/>
                <w:sz w:val="17"/>
              </w:rPr>
              <w:t>BTC +100%</w:t>
            </w:r>
          </w:p>
        </w:tc>
        <w:tc>
          <w:tcPr>
            <w:tcW w:type="dxa" w:w="2100"/>
            <w:shd w:fill="F4F6F9"/>
            <w:vAlign w:val="center"/>
            <w:tcMar>
              <w:top w:w="80" w:type="dxa"/>
              <w:start w:w="120" w:type="dxa"/>
              <w:bottom w:w="80" w:type="dxa"/>
              <w:end w:w="120" w:type="dxa"/>
            </w:tcMar>
          </w:tcPr>
          <w:p>
            <w:pPr>
              <w:spacing w:after="0"/>
              <w:jc w:val="center"/>
            </w:pPr>
            <w:r>
              <w:rPr>
                <w:rFonts w:ascii="Calibri" w:hAnsi="Calibri"/>
                <w:b w:val="0"/>
                <w:i w:val="0"/>
                <w:color w:val="17212B"/>
                <w:sz w:val="17"/>
              </w:rPr>
              <w:t>$157,022.46</w:t>
            </w:r>
          </w:p>
        </w:tc>
        <w:tc>
          <w:tcPr>
            <w:tcW w:type="dxa" w:w="1700"/>
            <w:shd w:fill="F4F6F9"/>
            <w:vAlign w:val="center"/>
            <w:tcMar>
              <w:top w:w="80" w:type="dxa"/>
              <w:start w:w="120" w:type="dxa"/>
              <w:bottom w:w="80" w:type="dxa"/>
              <w:end w:w="120" w:type="dxa"/>
            </w:tcMar>
          </w:tcPr>
          <w:p>
            <w:pPr>
              <w:spacing w:after="0"/>
              <w:jc w:val="center"/>
            </w:pPr>
            <w:r>
              <w:rPr>
                <w:rFonts w:ascii="Calibri" w:hAnsi="Calibri"/>
                <w:b w:val="0"/>
                <w:i w:val="0"/>
                <w:color w:val="17212B"/>
                <w:sz w:val="17"/>
              </w:rPr>
              <w:t>+100%</w:t>
            </w:r>
          </w:p>
        </w:tc>
        <w:tc>
          <w:tcPr>
            <w:tcW w:type="dxa" w:w="2100"/>
            <w:shd w:fill="F4F6F9"/>
            <w:vAlign w:val="center"/>
            <w:tcMar>
              <w:top w:w="80" w:type="dxa"/>
              <w:start w:w="120" w:type="dxa"/>
              <w:bottom w:w="80" w:type="dxa"/>
              <w:end w:w="120" w:type="dxa"/>
            </w:tcMar>
          </w:tcPr>
          <w:p>
            <w:pPr>
              <w:spacing w:after="0"/>
              <w:jc w:val="center"/>
            </w:pPr>
            <w:r>
              <w:rPr>
                <w:rFonts w:ascii="Calibri" w:hAnsi="Calibri"/>
                <w:b w:val="0"/>
                <w:i w:val="0"/>
                <w:color w:val="17212B"/>
                <w:sz w:val="17"/>
              </w:rPr>
              <w:t>+45%</w:t>
            </w:r>
          </w:p>
        </w:tc>
        <w:tc>
          <w:tcPr>
            <w:tcW w:type="dxa" w:w="1760"/>
            <w:shd w:fill="F4F6F9"/>
            <w:vAlign w:val="center"/>
            <w:tcMar>
              <w:top w:w="80" w:type="dxa"/>
              <w:start w:w="120" w:type="dxa"/>
              <w:bottom w:w="80" w:type="dxa"/>
              <w:end w:w="120" w:type="dxa"/>
            </w:tcMar>
          </w:tcPr>
          <w:p>
            <w:pPr>
              <w:spacing w:after="0"/>
              <w:jc w:val="center"/>
            </w:pPr>
            <w:r>
              <w:rPr>
                <w:rFonts w:ascii="Calibri" w:hAnsi="Calibri"/>
                <w:b w:val="0"/>
                <w:i w:val="0"/>
                <w:color w:val="17212B"/>
                <w:sz w:val="17"/>
              </w:rPr>
              <w:t>24 months</w:t>
            </w:r>
          </w:p>
        </w:tc>
      </w:tr>
      <w:tr>
        <w:trPr>
          <w:cantSplit/>
        </w:trPr>
        <w:tc>
          <w:tcPr>
            <w:tcW w:type="dxa" w:w="1700"/>
            <w:vAlign w:val="center"/>
            <w:tcMar>
              <w:top w:w="80" w:type="dxa"/>
              <w:start w:w="120" w:type="dxa"/>
              <w:bottom w:w="80" w:type="dxa"/>
              <w:end w:w="120" w:type="dxa"/>
            </w:tcMar>
          </w:tcPr>
          <w:p>
            <w:pPr>
              <w:spacing w:after="0"/>
              <w:jc w:val="left"/>
            </w:pPr>
            <w:r>
              <w:rPr>
                <w:rFonts w:ascii="Calibri" w:hAnsi="Calibri"/>
                <w:b w:val="0"/>
                <w:i w:val="0"/>
                <w:color w:val="17212B"/>
                <w:sz w:val="17"/>
              </w:rPr>
              <w:t>BTC +200%</w:t>
            </w:r>
          </w:p>
        </w:tc>
        <w:tc>
          <w:tcPr>
            <w:tcW w:type="dxa" w:w="2100"/>
            <w:vAlign w:val="center"/>
            <w:tcMar>
              <w:top w:w="80" w:type="dxa"/>
              <w:start w:w="120" w:type="dxa"/>
              <w:bottom w:w="80" w:type="dxa"/>
              <w:end w:w="120" w:type="dxa"/>
            </w:tcMar>
          </w:tcPr>
          <w:p>
            <w:pPr>
              <w:spacing w:after="0"/>
              <w:jc w:val="center"/>
            </w:pPr>
            <w:r>
              <w:rPr>
                <w:rFonts w:ascii="Calibri" w:hAnsi="Calibri"/>
                <w:b w:val="0"/>
                <w:i w:val="0"/>
                <w:color w:val="17212B"/>
                <w:sz w:val="17"/>
              </w:rPr>
              <w:t>$235,533.69</w:t>
            </w:r>
          </w:p>
        </w:tc>
        <w:tc>
          <w:tcPr>
            <w:tcW w:type="dxa" w:w="1700"/>
            <w:vAlign w:val="center"/>
            <w:tcMar>
              <w:top w:w="80" w:type="dxa"/>
              <w:start w:w="120" w:type="dxa"/>
              <w:bottom w:w="80" w:type="dxa"/>
              <w:end w:w="120" w:type="dxa"/>
            </w:tcMar>
          </w:tcPr>
          <w:p>
            <w:pPr>
              <w:spacing w:after="0"/>
              <w:jc w:val="center"/>
            </w:pPr>
            <w:r>
              <w:rPr>
                <w:rFonts w:ascii="Calibri" w:hAnsi="Calibri"/>
                <w:b w:val="0"/>
                <w:i w:val="0"/>
                <w:color w:val="17212B"/>
                <w:sz w:val="17"/>
              </w:rPr>
              <w:t>+200%</w:t>
            </w:r>
          </w:p>
        </w:tc>
        <w:tc>
          <w:tcPr>
            <w:tcW w:type="dxa" w:w="2100"/>
            <w:vAlign w:val="center"/>
            <w:tcMar>
              <w:top w:w="80" w:type="dxa"/>
              <w:start w:w="120" w:type="dxa"/>
              <w:bottom w:w="80" w:type="dxa"/>
              <w:end w:w="120" w:type="dxa"/>
            </w:tcMar>
          </w:tcPr>
          <w:p>
            <w:pPr>
              <w:spacing w:after="0"/>
              <w:jc w:val="center"/>
            </w:pPr>
            <w:r>
              <w:rPr>
                <w:rFonts w:ascii="Calibri" w:hAnsi="Calibri"/>
                <w:b w:val="0"/>
                <w:i w:val="0"/>
                <w:color w:val="17212B"/>
                <w:sz w:val="17"/>
              </w:rPr>
              <w:t>+80%</w:t>
            </w:r>
          </w:p>
        </w:tc>
        <w:tc>
          <w:tcPr>
            <w:tcW w:type="dxa" w:w="1760"/>
            <w:vAlign w:val="center"/>
            <w:tcMar>
              <w:top w:w="80" w:type="dxa"/>
              <w:start w:w="120" w:type="dxa"/>
              <w:bottom w:w="80" w:type="dxa"/>
              <w:end w:w="120" w:type="dxa"/>
            </w:tcMar>
          </w:tcPr>
          <w:p>
            <w:pPr>
              <w:spacing w:after="0"/>
              <w:jc w:val="center"/>
            </w:pPr>
            <w:r>
              <w:rPr>
                <w:rFonts w:ascii="Calibri" w:hAnsi="Calibri"/>
                <w:b w:val="0"/>
                <w:i w:val="0"/>
                <w:color w:val="17212B"/>
                <w:sz w:val="17"/>
              </w:rPr>
              <w:t>24 months</w:t>
            </w:r>
          </w:p>
        </w:tc>
      </w:tr>
    </w:tbl>
    <w:p>
      <w:pPr>
        <w:spacing w:before="0" w:after="60" w:line="264"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4F6F9"/>
            <w:vAlign w:val="center"/>
          </w:tcPr>
          <w:p>
            <w:pPr>
              <w:spacing w:after="0"/>
            </w:pPr>
            <w:r>
              <w:rPr>
                <w:rFonts w:ascii="Calibri" w:hAnsi="Calibri"/>
                <w:b/>
                <w:i w:val="0"/>
                <w:color w:val="B8860B"/>
                <w:sz w:val="21"/>
              </w:rPr>
              <w:t xml:space="preserve">Conservative design choice: </w:t>
            </w:r>
            <w:r>
              <w:rPr>
                <w:rFonts w:ascii="Calibri" w:hAnsi="Calibri"/>
                <w:b w:val="0"/>
                <w:i w:val="0"/>
                <w:color w:val="17212B"/>
                <w:sz w:val="21"/>
              </w:rPr>
              <w:t>Miner profitability does not scale one-for-one with Bitcoin. Rising price attracts hashrate and capital, so difficulty, cash cost, capex, and dilution are increased alongside BTC.</w:t>
            </w:r>
          </w:p>
        </w:tc>
      </w:tr>
    </w:tbl>
    <w:p>
      <w:pPr>
        <w:spacing w:before="0" w:after="80" w:line="264" w:lineRule="auto"/>
      </w:pPr>
    </w:p>
    <w:p>
      <w:pPr>
        <w:pStyle w:val="Heading2"/>
        <w:keepNext/>
      </w:pPr>
      <w:r>
        <w:t>Model validation and execution gate</w:t>
      </w:r>
    </w:p>
    <w:p>
      <w:pPr>
        <w:spacing w:before="0" w:after="120" w:line="264" w:lineRule="auto"/>
      </w:pPr>
      <w:r>
        <w:rPr>
          <w:rFonts w:ascii="Calibri" w:hAnsi="Calibri"/>
          <w:b w:val="0"/>
          <w:i w:val="0"/>
          <w:color w:val="17212B"/>
          <w:sz w:val="21"/>
        </w:rPr>
        <w:t>The workbook contains a visible Checks sheet and a separate calculation notebook. All twelve execution assertions pass: company count, scenario count, model-row count, populated targets, positive common equity, positive ending shares, representative return ties, sats/share ties, equity bridges, notebook calculations, and the Stage 4 completion gate.</w:t>
      </w:r>
    </w:p>
    <w:tbl>
      <w:tblPr>
        <w:tblStyle w:val="TableGrid"/>
        <w:tblW w:type="dxa" w:w="9360"/>
        <w:tblLayout w:type="fixed"/>
        <w:tblLook w:firstColumn="1" w:firstRow="1" w:lastColumn="0" w:lastRow="0" w:noHBand="0" w:noVBand="1" w:val="04A0"/>
        <w:jc w:val="left"/>
        <w:tblInd w:w="120" w:type="dxa"/>
      </w:tblPr>
      <w:tblGrid>
        <w:gridCol w:w="5200"/>
        <w:gridCol w:w="4160"/>
      </w:tblGrid>
      <w:tr>
        <w:trPr>
          <w:tblHeader w:val="true"/>
        </w:trPr>
        <w:tc>
          <w:tcPr>
            <w:tcW w:type="dxa" w:w="5200"/>
            <w:tcMar>
              <w:top w:w="80" w:type="dxa"/>
              <w:start w:w="120" w:type="dxa"/>
              <w:bottom w:w="80" w:type="dxa"/>
              <w:end w:w="120" w:type="dxa"/>
            </w:tcMar>
            <w:shd w:fill="183B56"/>
            <w:vAlign w:val="center"/>
          </w:tcPr>
          <w:p>
            <w:pPr>
              <w:spacing w:after="0"/>
              <w:jc w:val="left"/>
            </w:pPr>
            <w:r>
              <w:rPr>
                <w:rFonts w:ascii="Calibri" w:hAnsi="Calibri"/>
                <w:b/>
                <w:i w:val="0"/>
                <w:color w:val="FFFFFF"/>
                <w:sz w:val="17"/>
              </w:rPr>
              <w:t>Validation item</w:t>
            </w:r>
          </w:p>
        </w:tc>
        <w:tc>
          <w:tcPr>
            <w:tcW w:type="dxa" w:w="4160"/>
            <w:tcMar>
              <w:top w:w="80" w:type="dxa"/>
              <w:start w:w="120" w:type="dxa"/>
              <w:bottom w:w="80" w:type="dxa"/>
              <w:end w:w="120" w:type="dxa"/>
            </w:tcMar>
            <w:shd w:fill="183B56"/>
            <w:vAlign w:val="center"/>
          </w:tcPr>
          <w:p>
            <w:pPr>
              <w:spacing w:after="0"/>
              <w:jc w:val="center"/>
            </w:pPr>
            <w:r>
              <w:rPr>
                <w:rFonts w:ascii="Calibri" w:hAnsi="Calibri"/>
                <w:b/>
                <w:i w:val="0"/>
                <w:color w:val="FFFFFF"/>
                <w:sz w:val="17"/>
              </w:rPr>
              <w:t>Result</w:t>
            </w:r>
          </w:p>
        </w:tc>
      </w:tr>
      <w:tr>
        <w:trPr>
          <w:cantSplit/>
        </w:trPr>
        <w:tc>
          <w:tcPr>
            <w:tcW w:type="dxa" w:w="5200"/>
            <w:vAlign w:val="center"/>
            <w:tcMar>
              <w:top w:w="80" w:type="dxa"/>
              <w:start w:w="120" w:type="dxa"/>
              <w:bottom w:w="80" w:type="dxa"/>
              <w:end w:w="120" w:type="dxa"/>
            </w:tcMar>
          </w:tcPr>
          <w:p>
            <w:pPr>
              <w:spacing w:after="0"/>
              <w:jc w:val="left"/>
            </w:pPr>
            <w:r>
              <w:rPr>
                <w:rFonts w:ascii="Calibri" w:hAnsi="Calibri"/>
                <w:b w:val="0"/>
                <w:i w:val="0"/>
                <w:color w:val="17212B"/>
                <w:sz w:val="17"/>
              </w:rPr>
              <w:t>Model observations</w:t>
            </w:r>
          </w:p>
        </w:tc>
        <w:tc>
          <w:tcPr>
            <w:tcW w:type="dxa" w:w="4160"/>
            <w:vAlign w:val="center"/>
            <w:tcMar>
              <w:top w:w="80" w:type="dxa"/>
              <w:start w:w="120" w:type="dxa"/>
              <w:bottom w:w="80" w:type="dxa"/>
              <w:end w:w="120" w:type="dxa"/>
            </w:tcMar>
          </w:tcPr>
          <w:p>
            <w:pPr>
              <w:spacing w:after="0"/>
              <w:jc w:val="center"/>
            </w:pPr>
            <w:r>
              <w:rPr>
                <w:rFonts w:ascii="Calibri" w:hAnsi="Calibri"/>
                <w:b w:val="0"/>
                <w:i w:val="0"/>
                <w:color w:val="17212B"/>
                <w:sz w:val="17"/>
              </w:rPr>
              <w:t>18 of 18 rebuilt</w:t>
            </w:r>
          </w:p>
        </w:tc>
      </w:tr>
      <w:tr>
        <w:trPr>
          <w:cantSplit/>
        </w:trPr>
        <w:tc>
          <w:tcPr>
            <w:tcW w:type="dxa" w:w="5200"/>
            <w:shd w:fill="F4F6F9"/>
            <w:vAlign w:val="center"/>
            <w:tcMar>
              <w:top w:w="80" w:type="dxa"/>
              <w:start w:w="120" w:type="dxa"/>
              <w:bottom w:w="80" w:type="dxa"/>
              <w:end w:w="120" w:type="dxa"/>
            </w:tcMar>
          </w:tcPr>
          <w:p>
            <w:pPr>
              <w:spacing w:after="0"/>
              <w:jc w:val="left"/>
            </w:pPr>
            <w:r>
              <w:rPr>
                <w:rFonts w:ascii="Calibri" w:hAnsi="Calibri"/>
                <w:b w:val="0"/>
                <w:i w:val="0"/>
                <w:color w:val="17212B"/>
                <w:sz w:val="17"/>
              </w:rPr>
              <w:t>Missing target prices</w:t>
            </w:r>
          </w:p>
        </w:tc>
        <w:tc>
          <w:tcPr>
            <w:tcW w:type="dxa" w:w="4160"/>
            <w:shd w:fill="F4F6F9"/>
            <w:vAlign w:val="center"/>
            <w:tcMar>
              <w:top w:w="80" w:type="dxa"/>
              <w:start w:w="120" w:type="dxa"/>
              <w:bottom w:w="80" w:type="dxa"/>
              <w:end w:w="120" w:type="dxa"/>
            </w:tcMar>
          </w:tcPr>
          <w:p>
            <w:pPr>
              <w:spacing w:after="0"/>
              <w:jc w:val="center"/>
            </w:pPr>
            <w:r>
              <w:rPr>
                <w:rFonts w:ascii="Calibri" w:hAnsi="Calibri"/>
                <w:b w:val="0"/>
                <w:i w:val="0"/>
                <w:color w:val="17212B"/>
                <w:sz w:val="17"/>
              </w:rPr>
              <w:t>0</w:t>
            </w:r>
          </w:p>
        </w:tc>
      </w:tr>
      <w:tr>
        <w:trPr>
          <w:cantSplit/>
        </w:trPr>
        <w:tc>
          <w:tcPr>
            <w:tcW w:type="dxa" w:w="5200"/>
            <w:vAlign w:val="center"/>
            <w:tcMar>
              <w:top w:w="80" w:type="dxa"/>
              <w:start w:w="120" w:type="dxa"/>
              <w:bottom w:w="80" w:type="dxa"/>
              <w:end w:w="120" w:type="dxa"/>
            </w:tcMar>
          </w:tcPr>
          <w:p>
            <w:pPr>
              <w:spacing w:after="0"/>
              <w:jc w:val="left"/>
            </w:pPr>
            <w:r>
              <w:rPr>
                <w:rFonts w:ascii="Calibri" w:hAnsi="Calibri"/>
                <w:b w:val="0"/>
                <w:i w:val="0"/>
                <w:color w:val="17212B"/>
                <w:sz w:val="17"/>
              </w:rPr>
              <w:t>Formula errors</w:t>
            </w:r>
          </w:p>
        </w:tc>
        <w:tc>
          <w:tcPr>
            <w:tcW w:type="dxa" w:w="4160"/>
            <w:vAlign w:val="center"/>
            <w:tcMar>
              <w:top w:w="80" w:type="dxa"/>
              <w:start w:w="120" w:type="dxa"/>
              <w:bottom w:w="80" w:type="dxa"/>
              <w:end w:w="120" w:type="dxa"/>
            </w:tcMar>
          </w:tcPr>
          <w:p>
            <w:pPr>
              <w:spacing w:after="0"/>
              <w:jc w:val="center"/>
            </w:pPr>
            <w:r>
              <w:rPr>
                <w:rFonts w:ascii="Calibri" w:hAnsi="Calibri"/>
                <w:b w:val="0"/>
                <w:i w:val="0"/>
                <w:color w:val="17212B"/>
                <w:sz w:val="17"/>
              </w:rPr>
              <w:t>0 detected</w:t>
            </w:r>
          </w:p>
        </w:tc>
      </w:tr>
      <w:tr>
        <w:trPr>
          <w:cantSplit/>
        </w:trPr>
        <w:tc>
          <w:tcPr>
            <w:tcW w:type="dxa" w:w="5200"/>
            <w:shd w:fill="F4F6F9"/>
            <w:vAlign w:val="center"/>
            <w:tcMar>
              <w:top w:w="80" w:type="dxa"/>
              <w:start w:w="120" w:type="dxa"/>
              <w:bottom w:w="80" w:type="dxa"/>
              <w:end w:w="120" w:type="dxa"/>
            </w:tcMar>
          </w:tcPr>
          <w:p>
            <w:pPr>
              <w:spacing w:after="0"/>
              <w:jc w:val="left"/>
            </w:pPr>
            <w:r>
              <w:rPr>
                <w:rFonts w:ascii="Calibri" w:hAnsi="Calibri"/>
                <w:b w:val="0"/>
                <w:i w:val="0"/>
                <w:color w:val="17212B"/>
                <w:sz w:val="17"/>
              </w:rPr>
              <w:t>Independent notebook checks</w:t>
            </w:r>
          </w:p>
        </w:tc>
        <w:tc>
          <w:tcPr>
            <w:tcW w:type="dxa" w:w="4160"/>
            <w:shd w:fill="F4F6F9"/>
            <w:vAlign w:val="center"/>
            <w:tcMar>
              <w:top w:w="80" w:type="dxa"/>
              <w:start w:w="120" w:type="dxa"/>
              <w:bottom w:w="80" w:type="dxa"/>
              <w:end w:w="120" w:type="dxa"/>
            </w:tcMar>
          </w:tcPr>
          <w:p>
            <w:pPr>
              <w:spacing w:after="0"/>
              <w:jc w:val="center"/>
            </w:pPr>
            <w:r>
              <w:rPr>
                <w:rFonts w:ascii="Calibri" w:hAnsi="Calibri"/>
                <w:b w:val="0"/>
                <w:i w:val="0"/>
                <w:color w:val="17212B"/>
                <w:sz w:val="17"/>
              </w:rPr>
              <w:t>6 of 6 passed</w:t>
            </w:r>
          </w:p>
        </w:tc>
      </w:tr>
      <w:tr>
        <w:trPr>
          <w:cantSplit/>
        </w:trPr>
        <w:tc>
          <w:tcPr>
            <w:tcW w:type="dxa" w:w="5200"/>
            <w:vAlign w:val="center"/>
            <w:tcMar>
              <w:top w:w="80" w:type="dxa"/>
              <w:start w:w="120" w:type="dxa"/>
              <w:bottom w:w="80" w:type="dxa"/>
              <w:end w:w="120" w:type="dxa"/>
            </w:tcMar>
          </w:tcPr>
          <w:p>
            <w:pPr>
              <w:spacing w:after="0"/>
              <w:jc w:val="left"/>
            </w:pPr>
            <w:r>
              <w:rPr>
                <w:rFonts w:ascii="Calibri" w:hAnsi="Calibri"/>
                <w:b w:val="0"/>
                <w:i w:val="0"/>
                <w:color w:val="17212B"/>
                <w:sz w:val="17"/>
              </w:rPr>
              <w:t>Execution status</w:t>
            </w:r>
          </w:p>
        </w:tc>
        <w:tc>
          <w:tcPr>
            <w:tcW w:type="dxa" w:w="4160"/>
            <w:vAlign w:val="center"/>
            <w:tcMar>
              <w:top w:w="80" w:type="dxa"/>
              <w:start w:w="120" w:type="dxa"/>
              <w:bottom w:w="80" w:type="dxa"/>
              <w:end w:w="120" w:type="dxa"/>
            </w:tcMar>
          </w:tcPr>
          <w:p>
            <w:pPr>
              <w:spacing w:after="0"/>
              <w:jc w:val="center"/>
            </w:pPr>
            <w:r>
              <w:rPr>
                <w:rFonts w:ascii="Calibri" w:hAnsi="Calibri"/>
                <w:b w:val="0"/>
                <w:i w:val="0"/>
                <w:color w:val="17212B"/>
                <w:sz w:val="17"/>
              </w:rPr>
              <w:t>STAGE 4 COMPLETE</w:t>
            </w:r>
          </w:p>
        </w:tc>
      </w:tr>
    </w:tbl>
    <w:p>
      <w:pPr>
        <w:spacing w:before="0" w:after="60" w:line="264" w:lineRule="auto"/>
      </w:pPr>
    </w:p>
    <w:p>
      <w:pPr>
        <w:pStyle w:val="Heading1"/>
        <w:keepNext/>
      </w:pPr>
      <w:r>
        <w:t>Stage 4 results: only half the proxy universe beats Bitcoin</w:t>
      </w:r>
    </w:p>
    <w:p>
      <w:pPr>
        <w:spacing w:before="80" w:after="60"/>
        <w:jc w:val="center"/>
      </w:pPr>
      <w:r>
        <w:drawing>
          <wp:inline xmlns:a="http://schemas.openxmlformats.org/drawingml/2006/main" xmlns:pic="http://schemas.openxmlformats.org/drawingml/2006/picture">
            <wp:extent cx="5806440" cy="2966744"/>
            <wp:docPr id="2" name="Picture 2"/>
            <wp:cNvGraphicFramePr>
              <a:graphicFrameLocks noChangeAspect="1"/>
            </wp:cNvGraphicFramePr>
            <a:graphic>
              <a:graphicData uri="http://schemas.openxmlformats.org/drawingml/2006/picture">
                <pic:pic>
                  <pic:nvPicPr>
                    <pic:cNvPr id="0" name="chart_excess_returns.png"/>
                    <pic:cNvPicPr/>
                  </pic:nvPicPr>
                  <pic:blipFill>
                    <a:blip r:embed="rId12"/>
                    <a:stretch>
                      <a:fillRect/>
                    </a:stretch>
                  </pic:blipFill>
                  <pic:spPr>
                    <a:xfrm>
                      <a:off x="0" y="0"/>
                      <a:ext cx="5806440" cy="2966744"/>
                    </a:xfrm>
                    <a:prstGeom prst="rect"/>
                  </pic:spPr>
                </pic:pic>
              </a:graphicData>
            </a:graphic>
          </wp:inline>
        </w:drawing>
      </w:r>
    </w:p>
    <w:p>
      <w:pPr>
        <w:keepNext/>
        <w:spacing w:before="0" w:after="40" w:line="264" w:lineRule="auto"/>
        <w:jc w:val="center"/>
      </w:pPr>
      <w:r>
        <w:rPr>
          <w:rFonts w:ascii="Calibri" w:hAnsi="Calibri"/>
          <w:b w:val="0"/>
          <w:i/>
          <w:color w:val="586574"/>
          <w:sz w:val="17"/>
        </w:rPr>
        <w:t>Figure 2. Modeled stock return minus Bitcoin return across all three BTC scenarios.</w:t>
      </w:r>
    </w:p>
    <w:p>
      <w:pPr>
        <w:spacing w:before="0" w:after="140" w:line="264" w:lineRule="auto"/>
        <w:jc w:val="center"/>
      </w:pPr>
      <w:r>
        <w:rPr>
          <w:rFonts w:ascii="Calibri" w:hAnsi="Calibri"/>
          <w:b w:val="0"/>
          <w:i w:val="0"/>
          <w:color w:val="586574"/>
          <w:sz w:val="16"/>
        </w:rPr>
        <w:t>Source: Stage 4 rebuilt scenario model. Positive values indicate that accepting company risk is rewarded in the modeled case.</w:t>
      </w:r>
    </w:p>
    <w:tbl>
      <w:tblPr>
        <w:tblStyle w:val="TableGrid"/>
        <w:tblW w:type="dxa" w:w="9360"/>
        <w:tblLayout w:type="fixed"/>
        <w:tblLook w:firstColumn="1" w:firstRow="1" w:lastColumn="0" w:lastRow="0" w:noHBand="0" w:noVBand="1" w:val="04A0"/>
        <w:jc w:val="left"/>
        <w:tblInd w:w="120" w:type="dxa"/>
      </w:tblPr>
      <w:tblGrid>
        <w:gridCol w:w="1300"/>
        <w:gridCol w:w="1300"/>
        <w:gridCol w:w="1260"/>
        <w:gridCol w:w="1300"/>
        <w:gridCol w:w="1260"/>
        <w:gridCol w:w="1300"/>
        <w:gridCol w:w="1640"/>
      </w:tblGrid>
      <w:tr>
        <w:trPr>
          <w:tblHeader w:val="true"/>
        </w:trPr>
        <w:tc>
          <w:tcPr>
            <w:tcW w:type="dxa" w:w="1300"/>
            <w:tcMar>
              <w:top w:w="80" w:type="dxa"/>
              <w:start w:w="120" w:type="dxa"/>
              <w:bottom w:w="80" w:type="dxa"/>
              <w:end w:w="120" w:type="dxa"/>
            </w:tcMar>
            <w:shd w:fill="183B56"/>
            <w:vAlign w:val="center"/>
          </w:tcPr>
          <w:p>
            <w:pPr>
              <w:spacing w:after="0"/>
              <w:jc w:val="left"/>
            </w:pPr>
            <w:r>
              <w:rPr>
                <w:rFonts w:ascii="Calibri" w:hAnsi="Calibri"/>
                <w:b/>
                <w:i w:val="0"/>
                <w:color w:val="FFFFFF"/>
                <w:sz w:val="15"/>
              </w:rPr>
              <w:t>Company</w:t>
            </w:r>
          </w:p>
        </w:tc>
        <w:tc>
          <w:tcPr>
            <w:tcW w:type="dxa" w:w="1300"/>
            <w:tcMar>
              <w:top w:w="80" w:type="dxa"/>
              <w:start w:w="120" w:type="dxa"/>
              <w:bottom w:w="80" w:type="dxa"/>
              <w:end w:w="120" w:type="dxa"/>
            </w:tcMar>
            <w:shd w:fill="183B56"/>
            <w:vAlign w:val="center"/>
          </w:tcPr>
          <w:p>
            <w:pPr>
              <w:spacing w:after="0"/>
              <w:jc w:val="center"/>
            </w:pPr>
            <w:r>
              <w:rPr>
                <w:rFonts w:ascii="Calibri" w:hAnsi="Calibri"/>
                <w:b/>
                <w:i w:val="0"/>
                <w:color w:val="FFFFFF"/>
                <w:sz w:val="15"/>
              </w:rPr>
              <w:t>Target +50%</w:t>
            </w:r>
          </w:p>
        </w:tc>
        <w:tc>
          <w:tcPr>
            <w:tcW w:type="dxa" w:w="1260"/>
            <w:tcMar>
              <w:top w:w="80" w:type="dxa"/>
              <w:start w:w="120" w:type="dxa"/>
              <w:bottom w:w="80" w:type="dxa"/>
              <w:end w:w="120" w:type="dxa"/>
            </w:tcMar>
            <w:shd w:fill="183B56"/>
            <w:vAlign w:val="center"/>
          </w:tcPr>
          <w:p>
            <w:pPr>
              <w:spacing w:after="0"/>
              <w:jc w:val="center"/>
            </w:pPr>
            <w:r>
              <w:rPr>
                <w:rFonts w:ascii="Calibri" w:hAnsi="Calibri"/>
                <w:b/>
                <w:i w:val="0"/>
                <w:color w:val="FFFFFF"/>
                <w:sz w:val="15"/>
              </w:rPr>
              <w:t>Excess +50%</w:t>
            </w:r>
          </w:p>
        </w:tc>
        <w:tc>
          <w:tcPr>
            <w:tcW w:type="dxa" w:w="1300"/>
            <w:tcMar>
              <w:top w:w="80" w:type="dxa"/>
              <w:start w:w="120" w:type="dxa"/>
              <w:bottom w:w="80" w:type="dxa"/>
              <w:end w:w="120" w:type="dxa"/>
            </w:tcMar>
            <w:shd w:fill="183B56"/>
            <w:vAlign w:val="center"/>
          </w:tcPr>
          <w:p>
            <w:pPr>
              <w:spacing w:after="0"/>
              <w:jc w:val="center"/>
            </w:pPr>
            <w:r>
              <w:rPr>
                <w:rFonts w:ascii="Calibri" w:hAnsi="Calibri"/>
                <w:b/>
                <w:i w:val="0"/>
                <w:color w:val="FFFFFF"/>
                <w:sz w:val="15"/>
              </w:rPr>
              <w:t>Target +100%</w:t>
            </w:r>
          </w:p>
        </w:tc>
        <w:tc>
          <w:tcPr>
            <w:tcW w:type="dxa" w:w="1260"/>
            <w:tcMar>
              <w:top w:w="80" w:type="dxa"/>
              <w:start w:w="120" w:type="dxa"/>
              <w:bottom w:w="80" w:type="dxa"/>
              <w:end w:w="120" w:type="dxa"/>
            </w:tcMar>
            <w:shd w:fill="183B56"/>
            <w:vAlign w:val="center"/>
          </w:tcPr>
          <w:p>
            <w:pPr>
              <w:spacing w:after="0"/>
              <w:jc w:val="center"/>
            </w:pPr>
            <w:r>
              <w:rPr>
                <w:rFonts w:ascii="Calibri" w:hAnsi="Calibri"/>
                <w:b/>
                <w:i w:val="0"/>
                <w:color w:val="FFFFFF"/>
                <w:sz w:val="15"/>
              </w:rPr>
              <w:t>Excess +100%</w:t>
            </w:r>
          </w:p>
        </w:tc>
        <w:tc>
          <w:tcPr>
            <w:tcW w:type="dxa" w:w="1300"/>
            <w:tcMar>
              <w:top w:w="80" w:type="dxa"/>
              <w:start w:w="120" w:type="dxa"/>
              <w:bottom w:w="80" w:type="dxa"/>
              <w:end w:w="120" w:type="dxa"/>
            </w:tcMar>
            <w:shd w:fill="183B56"/>
            <w:vAlign w:val="center"/>
          </w:tcPr>
          <w:p>
            <w:pPr>
              <w:spacing w:after="0"/>
              <w:jc w:val="center"/>
            </w:pPr>
            <w:r>
              <w:rPr>
                <w:rFonts w:ascii="Calibri" w:hAnsi="Calibri"/>
                <w:b/>
                <w:i w:val="0"/>
                <w:color w:val="FFFFFF"/>
                <w:sz w:val="15"/>
              </w:rPr>
              <w:t>Target +200%</w:t>
            </w:r>
          </w:p>
        </w:tc>
        <w:tc>
          <w:tcPr>
            <w:tcW w:type="dxa" w:w="1640"/>
            <w:tcMar>
              <w:top w:w="80" w:type="dxa"/>
              <w:start w:w="120" w:type="dxa"/>
              <w:bottom w:w="80" w:type="dxa"/>
              <w:end w:w="120" w:type="dxa"/>
            </w:tcMar>
            <w:shd w:fill="183B56"/>
            <w:vAlign w:val="center"/>
          </w:tcPr>
          <w:p>
            <w:pPr>
              <w:spacing w:after="0"/>
              <w:jc w:val="center"/>
            </w:pPr>
            <w:r>
              <w:rPr>
                <w:rFonts w:ascii="Calibri" w:hAnsi="Calibri"/>
                <w:b/>
                <w:i w:val="0"/>
                <w:color w:val="FFFFFF"/>
                <w:sz w:val="15"/>
              </w:rPr>
              <w:t>Excess +200%</w:t>
            </w:r>
          </w:p>
        </w:tc>
      </w:tr>
      <w:tr>
        <w:trPr>
          <w:cantSplit/>
        </w:trPr>
        <w:tc>
          <w:tcPr>
            <w:tcW w:type="dxa" w:w="1300"/>
            <w:vAlign w:val="center"/>
            <w:tcMar>
              <w:top w:w="80" w:type="dxa"/>
              <w:start w:w="120" w:type="dxa"/>
              <w:bottom w:w="80" w:type="dxa"/>
              <w:end w:w="120" w:type="dxa"/>
            </w:tcMar>
          </w:tcPr>
          <w:p>
            <w:pPr>
              <w:spacing w:after="0"/>
              <w:jc w:val="left"/>
            </w:pPr>
            <w:r>
              <w:rPr>
                <w:rFonts w:ascii="Calibri" w:hAnsi="Calibri"/>
                <w:b w:val="0"/>
                <w:i w:val="0"/>
                <w:color w:val="17212B"/>
                <w:sz w:val="15"/>
              </w:rPr>
              <w:t>MSTR</w:t>
            </w:r>
          </w:p>
        </w:tc>
        <w:tc>
          <w:tcPr>
            <w:tcW w:type="dxa" w:w="1300"/>
            <w:vAlign w:val="center"/>
            <w:tcMar>
              <w:top w:w="80" w:type="dxa"/>
              <w:start w:w="120" w:type="dxa"/>
              <w:bottom w:w="80" w:type="dxa"/>
              <w:end w:w="120" w:type="dxa"/>
            </w:tcMar>
          </w:tcPr>
          <w:p>
            <w:pPr>
              <w:spacing w:after="0"/>
              <w:jc w:val="center"/>
            </w:pPr>
            <w:r>
              <w:rPr>
                <w:rFonts w:ascii="Calibri" w:hAnsi="Calibri"/>
                <w:b w:val="0"/>
                <w:i w:val="0"/>
                <w:color w:val="17212B"/>
                <w:sz w:val="15"/>
              </w:rPr>
              <w:t>$209.72</w:t>
            </w:r>
          </w:p>
        </w:tc>
        <w:tc>
          <w:tcPr>
            <w:tcW w:type="dxa" w:w="1260"/>
            <w:vAlign w:val="center"/>
            <w:tcMar>
              <w:top w:w="80" w:type="dxa"/>
              <w:start w:w="120" w:type="dxa"/>
              <w:bottom w:w="80" w:type="dxa"/>
              <w:end w:w="120" w:type="dxa"/>
            </w:tcMar>
          </w:tcPr>
          <w:p>
            <w:pPr>
              <w:spacing w:after="0"/>
              <w:jc w:val="center"/>
            </w:pPr>
            <w:r>
              <w:rPr>
                <w:rFonts w:ascii="Calibri" w:hAnsi="Calibri"/>
                <w:b w:val="0"/>
                <w:i w:val="0"/>
                <w:color w:val="17212B"/>
                <w:sz w:val="15"/>
              </w:rPr>
              <w:t>+15.4 pts</w:t>
            </w:r>
          </w:p>
        </w:tc>
        <w:tc>
          <w:tcPr>
            <w:tcW w:type="dxa" w:w="1300"/>
            <w:vAlign w:val="center"/>
            <w:tcMar>
              <w:top w:w="80" w:type="dxa"/>
              <w:start w:w="120" w:type="dxa"/>
              <w:bottom w:w="80" w:type="dxa"/>
              <w:end w:w="120" w:type="dxa"/>
            </w:tcMar>
          </w:tcPr>
          <w:p>
            <w:pPr>
              <w:spacing w:after="0"/>
              <w:jc w:val="center"/>
            </w:pPr>
            <w:r>
              <w:rPr>
                <w:rFonts w:ascii="Calibri" w:hAnsi="Calibri"/>
                <w:b w:val="0"/>
                <w:i w:val="0"/>
                <w:color w:val="17212B"/>
                <w:sz w:val="15"/>
              </w:rPr>
              <w:t>$289.65</w:t>
            </w:r>
          </w:p>
        </w:tc>
        <w:tc>
          <w:tcPr>
            <w:tcW w:type="dxa" w:w="1260"/>
            <w:vAlign w:val="center"/>
            <w:tcMar>
              <w:top w:w="80" w:type="dxa"/>
              <w:start w:w="120" w:type="dxa"/>
              <w:bottom w:w="80" w:type="dxa"/>
              <w:end w:w="120" w:type="dxa"/>
            </w:tcMar>
          </w:tcPr>
          <w:p>
            <w:pPr>
              <w:spacing w:after="0"/>
              <w:jc w:val="center"/>
            </w:pPr>
            <w:r>
              <w:rPr>
                <w:rFonts w:ascii="Calibri" w:hAnsi="Calibri"/>
                <w:b w:val="0"/>
                <w:i w:val="0"/>
                <w:color w:val="17212B"/>
                <w:sz w:val="15"/>
              </w:rPr>
              <w:t>+28.4 pts</w:t>
            </w:r>
          </w:p>
        </w:tc>
        <w:tc>
          <w:tcPr>
            <w:tcW w:type="dxa" w:w="1300"/>
            <w:vAlign w:val="center"/>
            <w:tcMar>
              <w:top w:w="80" w:type="dxa"/>
              <w:start w:w="120" w:type="dxa"/>
              <w:bottom w:w="80" w:type="dxa"/>
              <w:end w:w="120" w:type="dxa"/>
            </w:tcMar>
          </w:tcPr>
          <w:p>
            <w:pPr>
              <w:spacing w:after="0"/>
              <w:jc w:val="center"/>
            </w:pPr>
            <w:r>
              <w:rPr>
                <w:rFonts w:ascii="Calibri" w:hAnsi="Calibri"/>
                <w:b w:val="0"/>
                <w:i w:val="0"/>
                <w:color w:val="17212B"/>
                <w:sz w:val="15"/>
              </w:rPr>
              <w:t>$440.69</w:t>
            </w:r>
          </w:p>
        </w:tc>
        <w:tc>
          <w:tcPr>
            <w:tcW w:type="dxa" w:w="1640"/>
            <w:vAlign w:val="center"/>
            <w:tcMar>
              <w:top w:w="80" w:type="dxa"/>
              <w:start w:w="120" w:type="dxa"/>
              <w:bottom w:w="80" w:type="dxa"/>
              <w:end w:w="120" w:type="dxa"/>
            </w:tcMar>
          </w:tcPr>
          <w:p>
            <w:pPr>
              <w:spacing w:after="0"/>
              <w:jc w:val="center"/>
            </w:pPr>
            <w:r>
              <w:rPr>
                <w:rFonts w:ascii="Calibri" w:hAnsi="Calibri"/>
                <w:b w:val="0"/>
                <w:i w:val="0"/>
                <w:color w:val="17212B"/>
                <w:sz w:val="15"/>
              </w:rPr>
              <w:t>+47.5 pts</w:t>
            </w:r>
          </w:p>
        </w:tc>
      </w:tr>
      <w:tr>
        <w:trPr>
          <w:cantSplit/>
        </w:trPr>
        <w:tc>
          <w:tcPr>
            <w:tcW w:type="dxa" w:w="1300"/>
            <w:shd w:fill="F4F6F9"/>
            <w:vAlign w:val="center"/>
            <w:tcMar>
              <w:top w:w="80" w:type="dxa"/>
              <w:start w:w="120" w:type="dxa"/>
              <w:bottom w:w="80" w:type="dxa"/>
              <w:end w:w="120" w:type="dxa"/>
            </w:tcMar>
          </w:tcPr>
          <w:p>
            <w:pPr>
              <w:spacing w:after="0"/>
              <w:jc w:val="left"/>
            </w:pPr>
            <w:r>
              <w:rPr>
                <w:rFonts w:ascii="Calibri" w:hAnsi="Calibri"/>
                <w:b w:val="0"/>
                <w:i w:val="0"/>
                <w:color w:val="17212B"/>
                <w:sz w:val="15"/>
              </w:rPr>
              <w:t>Metaplanet*</w:t>
            </w:r>
          </w:p>
        </w:tc>
        <w:tc>
          <w:tcPr>
            <w:tcW w:type="dxa" w:w="1300"/>
            <w:shd w:fill="F4F6F9"/>
            <w:vAlign w:val="center"/>
            <w:tcMar>
              <w:top w:w="80" w:type="dxa"/>
              <w:start w:w="120" w:type="dxa"/>
              <w:bottom w:w="80" w:type="dxa"/>
              <w:end w:w="120" w:type="dxa"/>
            </w:tcMar>
          </w:tcPr>
          <w:p>
            <w:pPr>
              <w:spacing w:after="0"/>
              <w:jc w:val="center"/>
            </w:pPr>
            <w:r>
              <w:rPr>
                <w:rFonts w:ascii="Calibri" w:hAnsi="Calibri"/>
                <w:b w:val="0"/>
                <w:i w:val="0"/>
                <w:color w:val="17212B"/>
                <w:sz w:val="15"/>
              </w:rPr>
              <w:t>$3.40</w:t>
            </w:r>
          </w:p>
        </w:tc>
        <w:tc>
          <w:tcPr>
            <w:tcW w:type="dxa" w:w="1260"/>
            <w:shd w:fill="F4F6F9"/>
            <w:vAlign w:val="center"/>
            <w:tcMar>
              <w:top w:w="80" w:type="dxa"/>
              <w:start w:w="120" w:type="dxa"/>
              <w:bottom w:w="80" w:type="dxa"/>
              <w:end w:w="120" w:type="dxa"/>
            </w:tcMar>
          </w:tcPr>
          <w:p>
            <w:pPr>
              <w:spacing w:after="0"/>
              <w:jc w:val="center"/>
            </w:pPr>
            <w:r>
              <w:rPr>
                <w:rFonts w:ascii="Calibri" w:hAnsi="Calibri"/>
                <w:b w:val="0"/>
                <w:i w:val="0"/>
                <w:color w:val="17212B"/>
                <w:sz w:val="15"/>
              </w:rPr>
              <w:t>+14.2 pts</w:t>
            </w:r>
          </w:p>
        </w:tc>
        <w:tc>
          <w:tcPr>
            <w:tcW w:type="dxa" w:w="1300"/>
            <w:shd w:fill="F4F6F9"/>
            <w:vAlign w:val="center"/>
            <w:tcMar>
              <w:top w:w="80" w:type="dxa"/>
              <w:start w:w="120" w:type="dxa"/>
              <w:bottom w:w="80" w:type="dxa"/>
              <w:end w:w="120" w:type="dxa"/>
            </w:tcMar>
          </w:tcPr>
          <w:p>
            <w:pPr>
              <w:spacing w:after="0"/>
              <w:jc w:val="center"/>
            </w:pPr>
            <w:r>
              <w:rPr>
                <w:rFonts w:ascii="Calibri" w:hAnsi="Calibri"/>
                <w:b w:val="0"/>
                <w:i w:val="0"/>
                <w:color w:val="17212B"/>
                <w:sz w:val="15"/>
              </w:rPr>
              <w:t>$4.66</w:t>
            </w:r>
          </w:p>
        </w:tc>
        <w:tc>
          <w:tcPr>
            <w:tcW w:type="dxa" w:w="1260"/>
            <w:shd w:fill="F4F6F9"/>
            <w:vAlign w:val="center"/>
            <w:tcMar>
              <w:top w:w="80" w:type="dxa"/>
              <w:start w:w="120" w:type="dxa"/>
              <w:bottom w:w="80" w:type="dxa"/>
              <w:end w:w="120" w:type="dxa"/>
            </w:tcMar>
          </w:tcPr>
          <w:p>
            <w:pPr>
              <w:spacing w:after="0"/>
              <w:jc w:val="center"/>
            </w:pPr>
            <w:r>
              <w:rPr>
                <w:rFonts w:ascii="Calibri" w:hAnsi="Calibri"/>
                <w:b w:val="0"/>
                <w:i w:val="0"/>
                <w:color w:val="17212B"/>
                <w:sz w:val="15"/>
              </w:rPr>
              <w:t>+24.9 pts</w:t>
            </w:r>
          </w:p>
        </w:tc>
        <w:tc>
          <w:tcPr>
            <w:tcW w:type="dxa" w:w="1300"/>
            <w:shd w:fill="F4F6F9"/>
            <w:vAlign w:val="center"/>
            <w:tcMar>
              <w:top w:w="80" w:type="dxa"/>
              <w:start w:w="120" w:type="dxa"/>
              <w:bottom w:w="80" w:type="dxa"/>
              <w:end w:w="120" w:type="dxa"/>
            </w:tcMar>
          </w:tcPr>
          <w:p>
            <w:pPr>
              <w:spacing w:after="0"/>
              <w:jc w:val="center"/>
            </w:pPr>
            <w:r>
              <w:rPr>
                <w:rFonts w:ascii="Calibri" w:hAnsi="Calibri"/>
                <w:b w:val="0"/>
                <w:i w:val="0"/>
                <w:color w:val="17212B"/>
                <w:sz w:val="15"/>
              </w:rPr>
              <w:t>$6.97</w:t>
            </w:r>
          </w:p>
        </w:tc>
        <w:tc>
          <w:tcPr>
            <w:tcW w:type="dxa" w:w="1640"/>
            <w:shd w:fill="F4F6F9"/>
            <w:vAlign w:val="center"/>
            <w:tcMar>
              <w:top w:w="80" w:type="dxa"/>
              <w:start w:w="120" w:type="dxa"/>
              <w:bottom w:w="80" w:type="dxa"/>
              <w:end w:w="120" w:type="dxa"/>
            </w:tcMar>
          </w:tcPr>
          <w:p>
            <w:pPr>
              <w:spacing w:after="0"/>
              <w:jc w:val="center"/>
            </w:pPr>
            <w:r>
              <w:rPr>
                <w:rFonts w:ascii="Calibri" w:hAnsi="Calibri"/>
                <w:b w:val="0"/>
                <w:i w:val="0"/>
                <w:color w:val="17212B"/>
                <w:sz w:val="15"/>
              </w:rPr>
              <w:t>+36.4 pts</w:t>
            </w:r>
          </w:p>
        </w:tc>
      </w:tr>
      <w:tr>
        <w:trPr>
          <w:cantSplit/>
        </w:trPr>
        <w:tc>
          <w:tcPr>
            <w:tcW w:type="dxa" w:w="1300"/>
            <w:vAlign w:val="center"/>
            <w:tcMar>
              <w:top w:w="80" w:type="dxa"/>
              <w:start w:w="120" w:type="dxa"/>
              <w:bottom w:w="80" w:type="dxa"/>
              <w:end w:w="120" w:type="dxa"/>
            </w:tcMar>
          </w:tcPr>
          <w:p>
            <w:pPr>
              <w:spacing w:after="0"/>
              <w:jc w:val="left"/>
            </w:pPr>
            <w:r>
              <w:rPr>
                <w:rFonts w:ascii="Calibri" w:hAnsi="Calibri"/>
                <w:b w:val="0"/>
                <w:i w:val="0"/>
                <w:color w:val="17212B"/>
                <w:sz w:val="15"/>
              </w:rPr>
              <w:t>XXI</w:t>
            </w:r>
          </w:p>
        </w:tc>
        <w:tc>
          <w:tcPr>
            <w:tcW w:type="dxa" w:w="1300"/>
            <w:vAlign w:val="center"/>
            <w:tcMar>
              <w:top w:w="80" w:type="dxa"/>
              <w:start w:w="120" w:type="dxa"/>
              <w:bottom w:w="80" w:type="dxa"/>
              <w:end w:w="120" w:type="dxa"/>
            </w:tcMar>
          </w:tcPr>
          <w:p>
            <w:pPr>
              <w:spacing w:after="0"/>
              <w:jc w:val="center"/>
            </w:pPr>
            <w:r>
              <w:rPr>
                <w:rFonts w:ascii="Calibri" w:hAnsi="Calibri"/>
                <w:b w:val="0"/>
                <w:i w:val="0"/>
                <w:color w:val="17212B"/>
                <w:sz w:val="15"/>
              </w:rPr>
              <w:t>$9.47</w:t>
            </w:r>
          </w:p>
        </w:tc>
        <w:tc>
          <w:tcPr>
            <w:tcW w:type="dxa" w:w="1260"/>
            <w:vAlign w:val="center"/>
            <w:tcMar>
              <w:top w:w="80" w:type="dxa"/>
              <w:start w:w="120" w:type="dxa"/>
              <w:bottom w:w="80" w:type="dxa"/>
              <w:end w:w="120" w:type="dxa"/>
            </w:tcMar>
          </w:tcPr>
          <w:p>
            <w:pPr>
              <w:spacing w:after="0"/>
              <w:jc w:val="center"/>
            </w:pPr>
            <w:r>
              <w:rPr>
                <w:rFonts w:ascii="Calibri" w:hAnsi="Calibri"/>
                <w:b w:val="0"/>
                <w:i w:val="0"/>
                <w:color w:val="17212B"/>
                <w:sz w:val="15"/>
              </w:rPr>
              <w:t>-4.5 pts</w:t>
            </w:r>
          </w:p>
        </w:tc>
        <w:tc>
          <w:tcPr>
            <w:tcW w:type="dxa" w:w="1300"/>
            <w:vAlign w:val="center"/>
            <w:tcMar>
              <w:top w:w="80" w:type="dxa"/>
              <w:start w:w="120" w:type="dxa"/>
              <w:bottom w:w="80" w:type="dxa"/>
              <w:end w:w="120" w:type="dxa"/>
            </w:tcMar>
          </w:tcPr>
          <w:p>
            <w:pPr>
              <w:spacing w:after="0"/>
              <w:jc w:val="center"/>
            </w:pPr>
            <w:r>
              <w:rPr>
                <w:rFonts w:ascii="Calibri" w:hAnsi="Calibri"/>
                <w:b w:val="0"/>
                <w:i w:val="0"/>
                <w:color w:val="17212B"/>
                <w:sz w:val="15"/>
              </w:rPr>
              <w:t>$12.63</w:t>
            </w:r>
          </w:p>
        </w:tc>
        <w:tc>
          <w:tcPr>
            <w:tcW w:type="dxa" w:w="1260"/>
            <w:vAlign w:val="center"/>
            <w:tcMar>
              <w:top w:w="80" w:type="dxa"/>
              <w:start w:w="120" w:type="dxa"/>
              <w:bottom w:w="80" w:type="dxa"/>
              <w:end w:w="120" w:type="dxa"/>
            </w:tcMar>
          </w:tcPr>
          <w:p>
            <w:pPr>
              <w:spacing w:after="0"/>
              <w:jc w:val="center"/>
            </w:pPr>
            <w:r>
              <w:rPr>
                <w:rFonts w:ascii="Calibri" w:hAnsi="Calibri"/>
                <w:b w:val="0"/>
                <w:i w:val="0"/>
                <w:color w:val="17212B"/>
                <w:sz w:val="15"/>
              </w:rPr>
              <w:t>-6.1 pts</w:t>
            </w:r>
          </w:p>
        </w:tc>
        <w:tc>
          <w:tcPr>
            <w:tcW w:type="dxa" w:w="1300"/>
            <w:vAlign w:val="center"/>
            <w:tcMar>
              <w:top w:w="80" w:type="dxa"/>
              <w:start w:w="120" w:type="dxa"/>
              <w:bottom w:w="80" w:type="dxa"/>
              <w:end w:w="120" w:type="dxa"/>
            </w:tcMar>
          </w:tcPr>
          <w:p>
            <w:pPr>
              <w:spacing w:after="0"/>
              <w:jc w:val="center"/>
            </w:pPr>
            <w:r>
              <w:rPr>
                <w:rFonts w:ascii="Calibri" w:hAnsi="Calibri"/>
                <w:b w:val="0"/>
                <w:i w:val="0"/>
                <w:color w:val="17212B"/>
                <w:sz w:val="15"/>
              </w:rPr>
              <w:t>$17.96</w:t>
            </w:r>
          </w:p>
        </w:tc>
        <w:tc>
          <w:tcPr>
            <w:tcW w:type="dxa" w:w="1640"/>
            <w:vAlign w:val="center"/>
            <w:tcMar>
              <w:top w:w="80" w:type="dxa"/>
              <w:start w:w="120" w:type="dxa"/>
              <w:bottom w:w="80" w:type="dxa"/>
              <w:end w:w="120" w:type="dxa"/>
            </w:tcMar>
          </w:tcPr>
          <w:p>
            <w:pPr>
              <w:spacing w:after="0"/>
              <w:jc w:val="center"/>
            </w:pPr>
            <w:r>
              <w:rPr>
                <w:rFonts w:ascii="Calibri" w:hAnsi="Calibri"/>
                <w:b w:val="0"/>
                <w:i w:val="0"/>
                <w:color w:val="17212B"/>
                <w:sz w:val="15"/>
              </w:rPr>
              <w:t>-24.1 pts</w:t>
            </w:r>
          </w:p>
        </w:tc>
      </w:tr>
      <w:tr>
        <w:trPr>
          <w:cantSplit/>
        </w:trPr>
        <w:tc>
          <w:tcPr>
            <w:tcW w:type="dxa" w:w="1300"/>
            <w:shd w:fill="F4F6F9"/>
            <w:vAlign w:val="center"/>
            <w:tcMar>
              <w:top w:w="80" w:type="dxa"/>
              <w:start w:w="120" w:type="dxa"/>
              <w:bottom w:w="80" w:type="dxa"/>
              <w:end w:w="120" w:type="dxa"/>
            </w:tcMar>
          </w:tcPr>
          <w:p>
            <w:pPr>
              <w:spacing w:after="0"/>
              <w:jc w:val="left"/>
            </w:pPr>
            <w:r>
              <w:rPr>
                <w:rFonts w:ascii="Calibri" w:hAnsi="Calibri"/>
                <w:b w:val="0"/>
                <w:i w:val="0"/>
                <w:color w:val="17212B"/>
                <w:sz w:val="15"/>
              </w:rPr>
              <w:t>ABTC</w:t>
            </w:r>
          </w:p>
        </w:tc>
        <w:tc>
          <w:tcPr>
            <w:tcW w:type="dxa" w:w="1300"/>
            <w:shd w:fill="F4F6F9"/>
            <w:vAlign w:val="center"/>
            <w:tcMar>
              <w:top w:w="80" w:type="dxa"/>
              <w:start w:w="120" w:type="dxa"/>
              <w:bottom w:w="80" w:type="dxa"/>
              <w:end w:w="120" w:type="dxa"/>
            </w:tcMar>
          </w:tcPr>
          <w:p>
            <w:pPr>
              <w:spacing w:after="0"/>
              <w:jc w:val="center"/>
            </w:pPr>
            <w:r>
              <w:rPr>
                <w:rFonts w:ascii="Calibri" w:hAnsi="Calibri"/>
                <w:b w:val="0"/>
                <w:i w:val="0"/>
                <w:color w:val="17212B"/>
                <w:sz w:val="15"/>
              </w:rPr>
              <w:t>$24.09</w:t>
            </w:r>
          </w:p>
        </w:tc>
        <w:tc>
          <w:tcPr>
            <w:tcW w:type="dxa" w:w="1260"/>
            <w:shd w:fill="F4F6F9"/>
            <w:vAlign w:val="center"/>
            <w:tcMar>
              <w:top w:w="80" w:type="dxa"/>
              <w:start w:w="120" w:type="dxa"/>
              <w:bottom w:w="80" w:type="dxa"/>
              <w:end w:w="120" w:type="dxa"/>
            </w:tcMar>
          </w:tcPr>
          <w:p>
            <w:pPr>
              <w:spacing w:after="0"/>
              <w:jc w:val="center"/>
            </w:pPr>
            <w:r>
              <w:rPr>
                <w:rFonts w:ascii="Calibri" w:hAnsi="Calibri"/>
                <w:b w:val="0"/>
                <w:i w:val="0"/>
                <w:color w:val="17212B"/>
                <w:sz w:val="15"/>
              </w:rPr>
              <w:t>+110.7 pts</w:t>
            </w:r>
          </w:p>
        </w:tc>
        <w:tc>
          <w:tcPr>
            <w:tcW w:type="dxa" w:w="1300"/>
            <w:shd w:fill="F4F6F9"/>
            <w:vAlign w:val="center"/>
            <w:tcMar>
              <w:top w:w="80" w:type="dxa"/>
              <w:start w:w="120" w:type="dxa"/>
              <w:bottom w:w="80" w:type="dxa"/>
              <w:end w:w="120" w:type="dxa"/>
            </w:tcMar>
          </w:tcPr>
          <w:p>
            <w:pPr>
              <w:spacing w:after="0"/>
              <w:jc w:val="center"/>
            </w:pPr>
            <w:r>
              <w:rPr>
                <w:rFonts w:ascii="Calibri" w:hAnsi="Calibri"/>
                <w:b w:val="0"/>
                <w:i w:val="0"/>
                <w:color w:val="17212B"/>
                <w:sz w:val="15"/>
              </w:rPr>
              <w:t>$32.02</w:t>
            </w:r>
          </w:p>
        </w:tc>
        <w:tc>
          <w:tcPr>
            <w:tcW w:type="dxa" w:w="1260"/>
            <w:shd w:fill="F4F6F9"/>
            <w:vAlign w:val="center"/>
            <w:tcMar>
              <w:top w:w="80" w:type="dxa"/>
              <w:start w:w="120" w:type="dxa"/>
              <w:bottom w:w="80" w:type="dxa"/>
              <w:end w:w="120" w:type="dxa"/>
            </w:tcMar>
          </w:tcPr>
          <w:p>
            <w:pPr>
              <w:spacing w:after="0"/>
              <w:jc w:val="center"/>
            </w:pPr>
            <w:r>
              <w:rPr>
                <w:rFonts w:ascii="Calibri" w:hAnsi="Calibri"/>
                <w:b w:val="0"/>
                <w:i w:val="0"/>
                <w:color w:val="17212B"/>
                <w:sz w:val="15"/>
              </w:rPr>
              <w:t>+146.5 pts</w:t>
            </w:r>
          </w:p>
        </w:tc>
        <w:tc>
          <w:tcPr>
            <w:tcW w:type="dxa" w:w="1300"/>
            <w:shd w:fill="F4F6F9"/>
            <w:vAlign w:val="center"/>
            <w:tcMar>
              <w:top w:w="80" w:type="dxa"/>
              <w:start w:w="120" w:type="dxa"/>
              <w:bottom w:w="80" w:type="dxa"/>
              <w:end w:w="120" w:type="dxa"/>
            </w:tcMar>
          </w:tcPr>
          <w:p>
            <w:pPr>
              <w:spacing w:after="0"/>
              <w:jc w:val="center"/>
            </w:pPr>
            <w:r>
              <w:rPr>
                <w:rFonts w:ascii="Calibri" w:hAnsi="Calibri"/>
                <w:b w:val="0"/>
                <w:i w:val="0"/>
                <w:color w:val="17212B"/>
                <w:sz w:val="15"/>
              </w:rPr>
              <w:t>$48.20</w:t>
            </w:r>
          </w:p>
        </w:tc>
        <w:tc>
          <w:tcPr>
            <w:tcW w:type="dxa" w:w="1640"/>
            <w:shd w:fill="F4F6F9"/>
            <w:vAlign w:val="center"/>
            <w:tcMar>
              <w:top w:w="80" w:type="dxa"/>
              <w:start w:w="120" w:type="dxa"/>
              <w:bottom w:w="80" w:type="dxa"/>
              <w:end w:w="120" w:type="dxa"/>
            </w:tcMar>
          </w:tcPr>
          <w:p>
            <w:pPr>
              <w:spacing w:after="0"/>
              <w:jc w:val="center"/>
            </w:pPr>
            <w:r>
              <w:rPr>
                <w:rFonts w:ascii="Calibri" w:hAnsi="Calibri"/>
                <w:b w:val="0"/>
                <w:i w:val="0"/>
                <w:color w:val="17212B"/>
                <w:sz w:val="15"/>
              </w:rPr>
              <w:t>+221.6 pts</w:t>
            </w:r>
          </w:p>
        </w:tc>
      </w:tr>
      <w:tr>
        <w:trPr>
          <w:cantSplit/>
        </w:trPr>
        <w:tc>
          <w:tcPr>
            <w:tcW w:type="dxa" w:w="1300"/>
            <w:vAlign w:val="center"/>
            <w:tcMar>
              <w:top w:w="80" w:type="dxa"/>
              <w:start w:w="120" w:type="dxa"/>
              <w:bottom w:w="80" w:type="dxa"/>
              <w:end w:w="120" w:type="dxa"/>
            </w:tcMar>
          </w:tcPr>
          <w:p>
            <w:pPr>
              <w:spacing w:after="0"/>
              <w:jc w:val="left"/>
            </w:pPr>
            <w:r>
              <w:rPr>
                <w:rFonts w:ascii="Calibri" w:hAnsi="Calibri"/>
                <w:b w:val="0"/>
                <w:i w:val="0"/>
                <w:color w:val="17212B"/>
                <w:sz w:val="15"/>
              </w:rPr>
              <w:t>CLSK</w:t>
            </w:r>
          </w:p>
        </w:tc>
        <w:tc>
          <w:tcPr>
            <w:tcW w:type="dxa" w:w="1300"/>
            <w:vAlign w:val="center"/>
            <w:tcMar>
              <w:top w:w="80" w:type="dxa"/>
              <w:start w:w="120" w:type="dxa"/>
              <w:bottom w:w="80" w:type="dxa"/>
              <w:end w:w="120" w:type="dxa"/>
            </w:tcMar>
          </w:tcPr>
          <w:p>
            <w:pPr>
              <w:spacing w:after="0"/>
              <w:jc w:val="center"/>
            </w:pPr>
            <w:r>
              <w:rPr>
                <w:rFonts w:ascii="Calibri" w:hAnsi="Calibri"/>
                <w:b w:val="0"/>
                <w:i w:val="0"/>
                <w:color w:val="17212B"/>
                <w:sz w:val="15"/>
              </w:rPr>
              <w:t>$12.09</w:t>
            </w:r>
          </w:p>
        </w:tc>
        <w:tc>
          <w:tcPr>
            <w:tcW w:type="dxa" w:w="1260"/>
            <w:vAlign w:val="center"/>
            <w:tcMar>
              <w:top w:w="80" w:type="dxa"/>
              <w:start w:w="120" w:type="dxa"/>
              <w:bottom w:w="80" w:type="dxa"/>
              <w:end w:w="120" w:type="dxa"/>
            </w:tcMar>
          </w:tcPr>
          <w:p>
            <w:pPr>
              <w:spacing w:after="0"/>
              <w:jc w:val="center"/>
            </w:pPr>
            <w:r>
              <w:rPr>
                <w:rFonts w:ascii="Calibri" w:hAnsi="Calibri"/>
                <w:b w:val="0"/>
                <w:i w:val="0"/>
                <w:color w:val="17212B"/>
                <w:sz w:val="15"/>
              </w:rPr>
              <w:t>-54.9 pts</w:t>
            </w:r>
          </w:p>
        </w:tc>
        <w:tc>
          <w:tcPr>
            <w:tcW w:type="dxa" w:w="1300"/>
            <w:vAlign w:val="center"/>
            <w:tcMar>
              <w:top w:w="80" w:type="dxa"/>
              <w:start w:w="120" w:type="dxa"/>
              <w:bottom w:w="80" w:type="dxa"/>
              <w:end w:w="120" w:type="dxa"/>
            </w:tcMar>
          </w:tcPr>
          <w:p>
            <w:pPr>
              <w:spacing w:after="0"/>
              <w:jc w:val="center"/>
            </w:pPr>
            <w:r>
              <w:rPr>
                <w:rFonts w:ascii="Calibri" w:hAnsi="Calibri"/>
                <w:b w:val="0"/>
                <w:i w:val="0"/>
                <w:color w:val="17212B"/>
                <w:sz w:val="15"/>
              </w:rPr>
              <w:t>$16.89</w:t>
            </w:r>
          </w:p>
        </w:tc>
        <w:tc>
          <w:tcPr>
            <w:tcW w:type="dxa" w:w="1260"/>
            <w:vAlign w:val="center"/>
            <w:tcMar>
              <w:top w:w="80" w:type="dxa"/>
              <w:start w:w="120" w:type="dxa"/>
              <w:bottom w:w="80" w:type="dxa"/>
              <w:end w:w="120" w:type="dxa"/>
            </w:tcMar>
          </w:tcPr>
          <w:p>
            <w:pPr>
              <w:spacing w:after="0"/>
              <w:jc w:val="center"/>
            </w:pPr>
            <w:r>
              <w:rPr>
                <w:rFonts w:ascii="Calibri" w:hAnsi="Calibri"/>
                <w:b w:val="0"/>
                <w:i w:val="0"/>
                <w:color w:val="17212B"/>
                <w:sz w:val="15"/>
              </w:rPr>
              <w:t>-67.1 pts</w:t>
            </w:r>
          </w:p>
        </w:tc>
        <w:tc>
          <w:tcPr>
            <w:tcW w:type="dxa" w:w="1300"/>
            <w:vAlign w:val="center"/>
            <w:tcMar>
              <w:top w:w="80" w:type="dxa"/>
              <w:start w:w="120" w:type="dxa"/>
              <w:bottom w:w="80" w:type="dxa"/>
              <w:end w:w="120" w:type="dxa"/>
            </w:tcMar>
          </w:tcPr>
          <w:p>
            <w:pPr>
              <w:spacing w:after="0"/>
              <w:jc w:val="center"/>
            </w:pPr>
            <w:r>
              <w:rPr>
                <w:rFonts w:ascii="Calibri" w:hAnsi="Calibri"/>
                <w:b w:val="0"/>
                <w:i w:val="0"/>
                <w:color w:val="17212B"/>
                <w:sz w:val="15"/>
              </w:rPr>
              <w:t>$25.54</w:t>
            </w:r>
          </w:p>
        </w:tc>
        <w:tc>
          <w:tcPr>
            <w:tcW w:type="dxa" w:w="1640"/>
            <w:vAlign w:val="center"/>
            <w:tcMar>
              <w:top w:w="80" w:type="dxa"/>
              <w:start w:w="120" w:type="dxa"/>
              <w:bottom w:w="80" w:type="dxa"/>
              <w:end w:w="120" w:type="dxa"/>
            </w:tcMar>
          </w:tcPr>
          <w:p>
            <w:pPr>
              <w:spacing w:after="0"/>
              <w:jc w:val="center"/>
            </w:pPr>
            <w:r>
              <w:rPr>
                <w:rFonts w:ascii="Calibri" w:hAnsi="Calibri"/>
                <w:b w:val="0"/>
                <w:i w:val="0"/>
                <w:color w:val="17212B"/>
                <w:sz w:val="15"/>
              </w:rPr>
              <w:t>-99.0 pts</w:t>
            </w:r>
          </w:p>
        </w:tc>
      </w:tr>
      <w:tr>
        <w:trPr>
          <w:cantSplit/>
        </w:trPr>
        <w:tc>
          <w:tcPr>
            <w:tcW w:type="dxa" w:w="1300"/>
            <w:shd w:fill="F4F6F9"/>
            <w:vAlign w:val="center"/>
            <w:tcMar>
              <w:top w:w="80" w:type="dxa"/>
              <w:start w:w="120" w:type="dxa"/>
              <w:bottom w:w="80" w:type="dxa"/>
              <w:end w:w="120" w:type="dxa"/>
            </w:tcMar>
          </w:tcPr>
          <w:p>
            <w:pPr>
              <w:spacing w:after="0"/>
              <w:jc w:val="left"/>
            </w:pPr>
            <w:r>
              <w:rPr>
                <w:rFonts w:ascii="Calibri" w:hAnsi="Calibri"/>
                <w:b w:val="0"/>
                <w:i w:val="0"/>
                <w:color w:val="17212B"/>
                <w:sz w:val="15"/>
              </w:rPr>
              <w:t>MARA</w:t>
            </w:r>
          </w:p>
        </w:tc>
        <w:tc>
          <w:tcPr>
            <w:tcW w:type="dxa" w:w="1300"/>
            <w:shd w:fill="F4F6F9"/>
            <w:vAlign w:val="center"/>
            <w:tcMar>
              <w:top w:w="80" w:type="dxa"/>
              <w:start w:w="120" w:type="dxa"/>
              <w:bottom w:w="80" w:type="dxa"/>
              <w:end w:w="120" w:type="dxa"/>
            </w:tcMar>
          </w:tcPr>
          <w:p>
            <w:pPr>
              <w:spacing w:after="0"/>
              <w:jc w:val="center"/>
            </w:pPr>
            <w:r>
              <w:rPr>
                <w:rFonts w:ascii="Calibri" w:hAnsi="Calibri"/>
                <w:b w:val="0"/>
                <w:i w:val="0"/>
                <w:color w:val="17212B"/>
                <w:sz w:val="15"/>
              </w:rPr>
              <w:t>$12.81</w:t>
            </w:r>
          </w:p>
        </w:tc>
        <w:tc>
          <w:tcPr>
            <w:tcW w:type="dxa" w:w="1260"/>
            <w:shd w:fill="F4F6F9"/>
            <w:vAlign w:val="center"/>
            <w:tcMar>
              <w:top w:w="80" w:type="dxa"/>
              <w:start w:w="120" w:type="dxa"/>
              <w:bottom w:w="80" w:type="dxa"/>
              <w:end w:w="120" w:type="dxa"/>
            </w:tcMar>
          </w:tcPr>
          <w:p>
            <w:pPr>
              <w:spacing w:after="0"/>
              <w:jc w:val="center"/>
            </w:pPr>
            <w:r>
              <w:rPr>
                <w:rFonts w:ascii="Calibri" w:hAnsi="Calibri"/>
                <w:b w:val="0"/>
                <w:i w:val="0"/>
                <w:color w:val="17212B"/>
                <w:sz w:val="15"/>
              </w:rPr>
              <w:t>-41.7 pts</w:t>
            </w:r>
          </w:p>
        </w:tc>
        <w:tc>
          <w:tcPr>
            <w:tcW w:type="dxa" w:w="1300"/>
            <w:shd w:fill="F4F6F9"/>
            <w:vAlign w:val="center"/>
            <w:tcMar>
              <w:top w:w="80" w:type="dxa"/>
              <w:start w:w="120" w:type="dxa"/>
              <w:bottom w:w="80" w:type="dxa"/>
              <w:end w:w="120" w:type="dxa"/>
            </w:tcMar>
          </w:tcPr>
          <w:p>
            <w:pPr>
              <w:spacing w:after="0"/>
              <w:jc w:val="center"/>
            </w:pPr>
            <w:r>
              <w:rPr>
                <w:rFonts w:ascii="Calibri" w:hAnsi="Calibri"/>
                <w:b w:val="0"/>
                <w:i w:val="0"/>
                <w:color w:val="17212B"/>
                <w:sz w:val="15"/>
              </w:rPr>
              <w:t>$18.55</w:t>
            </w:r>
          </w:p>
        </w:tc>
        <w:tc>
          <w:tcPr>
            <w:tcW w:type="dxa" w:w="1260"/>
            <w:shd w:fill="F4F6F9"/>
            <w:vAlign w:val="center"/>
            <w:tcMar>
              <w:top w:w="80" w:type="dxa"/>
              <w:start w:w="120" w:type="dxa"/>
              <w:bottom w:w="80" w:type="dxa"/>
              <w:end w:w="120" w:type="dxa"/>
            </w:tcMar>
          </w:tcPr>
          <w:p>
            <w:pPr>
              <w:spacing w:after="0"/>
              <w:jc w:val="center"/>
            </w:pPr>
            <w:r>
              <w:rPr>
                <w:rFonts w:ascii="Calibri" w:hAnsi="Calibri"/>
                <w:b w:val="0"/>
                <w:i w:val="0"/>
                <w:color w:val="17212B"/>
                <w:sz w:val="15"/>
              </w:rPr>
              <w:t>-43.2 pts</w:t>
            </w:r>
          </w:p>
        </w:tc>
        <w:tc>
          <w:tcPr>
            <w:tcW w:type="dxa" w:w="1300"/>
            <w:shd w:fill="F4F6F9"/>
            <w:vAlign w:val="center"/>
            <w:tcMar>
              <w:top w:w="80" w:type="dxa"/>
              <w:start w:w="120" w:type="dxa"/>
              <w:bottom w:w="80" w:type="dxa"/>
              <w:end w:w="120" w:type="dxa"/>
            </w:tcMar>
          </w:tcPr>
          <w:p>
            <w:pPr>
              <w:spacing w:after="0"/>
              <w:jc w:val="center"/>
            </w:pPr>
            <w:r>
              <w:rPr>
                <w:rFonts w:ascii="Calibri" w:hAnsi="Calibri"/>
                <w:b w:val="0"/>
                <w:i w:val="0"/>
                <w:color w:val="17212B"/>
                <w:sz w:val="15"/>
              </w:rPr>
              <w:t>$28.90</w:t>
            </w:r>
          </w:p>
        </w:tc>
        <w:tc>
          <w:tcPr>
            <w:tcW w:type="dxa" w:w="1640"/>
            <w:shd w:fill="F4F6F9"/>
            <w:vAlign w:val="center"/>
            <w:tcMar>
              <w:top w:w="80" w:type="dxa"/>
              <w:start w:w="120" w:type="dxa"/>
              <w:bottom w:w="80" w:type="dxa"/>
              <w:end w:w="120" w:type="dxa"/>
            </w:tcMar>
          </w:tcPr>
          <w:p>
            <w:pPr>
              <w:spacing w:after="0"/>
              <w:jc w:val="center"/>
            </w:pPr>
            <w:r>
              <w:rPr>
                <w:rFonts w:ascii="Calibri" w:hAnsi="Calibri"/>
                <w:b w:val="0"/>
                <w:i w:val="0"/>
                <w:color w:val="17212B"/>
                <w:sz w:val="15"/>
              </w:rPr>
              <w:t>-55.7 pts</w:t>
            </w:r>
          </w:p>
        </w:tc>
      </w:tr>
    </w:tbl>
    <w:p>
      <w:pPr>
        <w:spacing w:before="0" w:after="60" w:line="264" w:lineRule="auto"/>
      </w:pPr>
    </w:p>
    <w:p>
      <w:pPr>
        <w:spacing w:before="0" w:after="120" w:line="264" w:lineRule="auto"/>
      </w:pPr>
      <w:r>
        <w:rPr>
          <w:rFonts w:ascii="Calibri" w:hAnsi="Calibri"/>
          <w:b w:val="0"/>
          <w:i/>
          <w:color w:val="586574"/>
          <w:sz w:val="16"/>
        </w:rPr>
        <w:t>*Metaplanet targets are shown in USD equivalent using the model's same-date FX conversion. Local-market presentation should use the corresponding JPY values after refreshing FX.</w:t>
      </w:r>
    </w:p>
    <w:p>
      <w:pPr>
        <w:pStyle w:val="Heading1"/>
        <w:keepNext/>
      </w:pPr>
      <w:r>
        <w:t>Per-share exposure explains why headline BTC growth is insufficient</w:t>
      </w:r>
    </w:p>
    <w:p>
      <w:pPr>
        <w:spacing w:before="80" w:after="60"/>
        <w:jc w:val="center"/>
      </w:pPr>
      <w:r>
        <w:drawing>
          <wp:inline xmlns:a="http://schemas.openxmlformats.org/drawingml/2006/main" xmlns:pic="http://schemas.openxmlformats.org/drawingml/2006/picture">
            <wp:extent cx="5806440" cy="2933370"/>
            <wp:docPr id="3" name="Picture 3"/>
            <wp:cNvGraphicFramePr>
              <a:graphicFrameLocks noChangeAspect="1"/>
            </wp:cNvGraphicFramePr>
            <a:graphic>
              <a:graphicData uri="http://schemas.openxmlformats.org/drawingml/2006/picture">
                <pic:pic>
                  <pic:nvPicPr>
                    <pic:cNvPr id="0" name="chart_sats_change.png"/>
                    <pic:cNvPicPr/>
                  </pic:nvPicPr>
                  <pic:blipFill>
                    <a:blip r:embed="rId13"/>
                    <a:stretch>
                      <a:fillRect/>
                    </a:stretch>
                  </pic:blipFill>
                  <pic:spPr>
                    <a:xfrm>
                      <a:off x="0" y="0"/>
                      <a:ext cx="5806440" cy="2933370"/>
                    </a:xfrm>
                    <a:prstGeom prst="rect"/>
                  </pic:spPr>
                </pic:pic>
              </a:graphicData>
            </a:graphic>
          </wp:inline>
        </w:drawing>
      </w:r>
    </w:p>
    <w:p>
      <w:pPr>
        <w:keepNext/>
        <w:spacing w:before="0" w:after="40" w:line="264" w:lineRule="auto"/>
        <w:jc w:val="center"/>
      </w:pPr>
      <w:r>
        <w:rPr>
          <w:rFonts w:ascii="Calibri" w:hAnsi="Calibri"/>
          <w:b w:val="0"/>
          <w:i/>
          <w:color w:val="586574"/>
          <w:sz w:val="17"/>
        </w:rPr>
        <w:t>Figure 3. Change in modeled sats per diluted share in the BTC +100% scenario.</w:t>
      </w:r>
    </w:p>
    <w:p>
      <w:pPr>
        <w:spacing w:before="0" w:after="140" w:line="264" w:lineRule="auto"/>
        <w:jc w:val="center"/>
      </w:pPr>
      <w:r>
        <w:rPr>
          <w:rFonts w:ascii="Calibri" w:hAnsi="Calibri"/>
          <w:b w:val="0"/>
          <w:i w:val="0"/>
          <w:color w:val="586574"/>
          <w:sz w:val="16"/>
        </w:rPr>
        <w:t>Source: Stage 4 rebuilt model and normalized starting denominators.</w:t>
      </w:r>
    </w:p>
    <w:p>
      <w:pPr>
        <w:spacing w:before="0" w:after="120" w:line="264" w:lineRule="auto"/>
      </w:pPr>
      <w:r>
        <w:rPr>
          <w:rFonts w:ascii="Calibri" w:hAnsi="Calibri"/>
          <w:b w:val="0"/>
          <w:i w:val="0"/>
          <w:color w:val="17212B"/>
          <w:sz w:val="21"/>
        </w:rPr>
        <w:t>ABTC is the only candidate combining large modeled stock outperformance with substantial growth in BTC per diluted share. MSTR and Metaplanet still outperform because fixed-claim leverage and financing mechanics offset modest dilution. CLSK produces slight sats/share growth but fails to translate it into superior equity returns after capital intensity. MARA's falling BTC-per-share profile is the weakest transmission mechanism in the group.</w:t>
      </w:r>
    </w:p>
    <w:p>
      <w:r>
        <w:br w:type="page"/>
      </w:r>
    </w:p>
    <w:p>
      <w:pPr>
        <w:pStyle w:val="Heading1"/>
        <w:keepNext/>
      </w:pPr>
      <w:r>
        <w:t>Company interpretation</w:t>
      </w:r>
    </w:p>
    <w:p>
      <w:pPr>
        <w:pStyle w:val="Heading2"/>
        <w:keepNext/>
      </w:pPr>
      <w:r>
        <w:t>1. MSTR - highest-confidence leveraged Bitcoin</w:t>
      </w:r>
    </w:p>
    <w:p>
      <w:pPr>
        <w:spacing w:before="0" w:after="120" w:line="264" w:lineRule="auto"/>
      </w:pPr>
      <w:r>
        <w:rPr>
          <w:rFonts w:ascii="Calibri" w:hAnsi="Calibri"/>
          <w:b w:val="0"/>
          <w:i w:val="0"/>
          <w:color w:val="17212B"/>
          <w:sz w:val="21"/>
        </w:rPr>
        <w:t>MSTR beats Bitcoin in all three scenarios. Its excess return rises from 15.4 points in the +50% case to 47.5 points in the +200% case. The mechanism is straightforward: a large BTC asset base appreciates while debt, preferred claims, and other fixed obligations do not rise proportionally. Strategy also has the most proven capital-markets execution platform in the group.</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4F6F9"/>
            <w:vAlign w:val="center"/>
          </w:tcPr>
          <w:p>
            <w:pPr>
              <w:spacing w:after="0"/>
            </w:pPr>
            <w:r>
              <w:rPr>
                <w:rFonts w:ascii="Calibri" w:hAnsi="Calibri"/>
                <w:b/>
                <w:i w:val="0"/>
                <w:color w:val="8B3A3A"/>
                <w:sz w:val="21"/>
              </w:rPr>
              <w:t xml:space="preserve">What could break the thesis: </w:t>
            </w:r>
            <w:r>
              <w:rPr>
                <w:rFonts w:ascii="Calibri" w:hAnsi="Calibri"/>
                <w:b w:val="0"/>
                <w:i w:val="0"/>
                <w:color w:val="17212B"/>
                <w:sz w:val="21"/>
              </w:rPr>
              <w:t>Continued issuance that reduces BTC per share, expensive preferred financing, cash held rather than deployed, or a lower NAV multiple.</w:t>
            </w:r>
          </w:p>
        </w:tc>
      </w:tr>
    </w:tbl>
    <w:p>
      <w:pPr>
        <w:spacing w:before="0" w:after="80" w:line="264" w:lineRule="auto"/>
      </w:pPr>
    </w:p>
    <w:p>
      <w:pPr>
        <w:pStyle w:val="Heading2"/>
        <w:keepNext/>
      </w:pPr>
      <w:r>
        <w:t>2. Metaplanet - strongest valuation and quality asymmetry</w:t>
      </w:r>
    </w:p>
    <w:p>
      <w:pPr>
        <w:spacing w:before="0" w:after="120" w:line="264" w:lineRule="auto"/>
      </w:pPr>
      <w:r>
        <w:rPr>
          <w:rFonts w:ascii="Calibri" w:hAnsi="Calibri"/>
          <w:b w:val="0"/>
          <w:i w:val="0"/>
          <w:color w:val="17212B"/>
          <w:sz w:val="21"/>
        </w:rPr>
        <w:t>Metaplanet also beats Bitcoin in all three modeled cases, with slightly lower excess return than MSTR. The attraction is the combination of BTC exposure, fixed-claim leverage, and a more favorable starting valuation. It becomes the leading risk-adjusted alternative if BTC-per-share growth continues and its full capital stack confirms the implied NAV bridge.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4F6F9"/>
            <w:vAlign w:val="center"/>
          </w:tcPr>
          <w:p>
            <w:pPr>
              <w:spacing w:after="0"/>
            </w:pPr>
            <w:r>
              <w:rPr>
                <w:rFonts w:ascii="Calibri" w:hAnsi="Calibri"/>
                <w:b/>
                <w:i w:val="0"/>
                <w:color w:val="8B3A3A"/>
                <w:sz w:val="21"/>
              </w:rPr>
              <w:t xml:space="preserve">What could break the thesis: </w:t>
            </w:r>
            <w:r>
              <w:rPr>
                <w:rFonts w:ascii="Calibri" w:hAnsi="Calibri"/>
                <w:b w:val="0"/>
                <w:i w:val="0"/>
                <w:color w:val="17212B"/>
                <w:sz w:val="21"/>
              </w:rPr>
              <w:t>An incomplete cash/liability bridge, warrant or preferred dilution, derivative losses, FX changes, or persistent NAV discount.</w:t>
            </w:r>
          </w:p>
        </w:tc>
      </w:tr>
    </w:tbl>
    <w:p>
      <w:pPr>
        <w:spacing w:before="0" w:after="80" w:line="264" w:lineRule="auto"/>
      </w:pPr>
    </w:p>
    <w:p>
      <w:pPr>
        <w:pStyle w:val="Heading2"/>
        <w:keepNext/>
      </w:pPr>
      <w:r>
        <w:t>3. American Bitcoin - maximum fundamental convexity</w:t>
      </w:r>
    </w:p>
    <w:p>
      <w:pPr>
        <w:spacing w:before="0" w:after="120" w:line="264" w:lineRule="auto"/>
      </w:pPr>
      <w:r>
        <w:rPr>
          <w:rFonts w:ascii="Calibri" w:hAnsi="Calibri"/>
          <w:b w:val="0"/>
          <w:i w:val="0"/>
          <w:color w:val="17212B"/>
          <w:sz w:val="21"/>
        </w:rPr>
        <w:t>ABTC is the numerical winner. In the +100% BTC scenario the stock rises 246.5%, beating Bitcoin by 146.5 percentage points. It combines treasury appreciation, mining-margin expansion, and a relatively small starting equity denominator. Modeled sats per share rise 11.7% in that scenario.</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4F6F9"/>
            <w:vAlign w:val="center"/>
          </w:tcPr>
          <w:p>
            <w:pPr>
              <w:spacing w:after="0"/>
            </w:pPr>
            <w:r>
              <w:rPr>
                <w:rFonts w:ascii="Calibri" w:hAnsi="Calibri"/>
                <w:b/>
                <w:i w:val="0"/>
                <w:color w:val="8B3A3A"/>
                <w:sz w:val="21"/>
              </w:rPr>
              <w:t xml:space="preserve">What could break the thesis: </w:t>
            </w:r>
            <w:r>
              <w:rPr>
                <w:rFonts w:ascii="Calibri" w:hAnsi="Calibri"/>
                <w:b w:val="0"/>
                <w:i w:val="0"/>
                <w:color w:val="17212B"/>
                <w:sz w:val="21"/>
              </w:rPr>
              <w:t>The $2.1 billion ATM program, higher difficulty, equipment and lease obligations, pledged BTC, fleet obsolescence, or costs above model assumptions.</w:t>
            </w:r>
          </w:p>
        </w:tc>
      </w:tr>
    </w:tbl>
    <w:p>
      <w:pPr>
        <w:spacing w:before="0" w:after="80" w:line="264" w:lineRule="auto"/>
      </w:pPr>
    </w:p>
    <w:p>
      <w:pPr>
        <w:pStyle w:val="Heading2"/>
        <w:keepNext/>
      </w:pPr>
      <w:r>
        <w:t>4. Twenty One Capital - discounted Bitcoin without proven compounding</w:t>
      </w:r>
    </w:p>
    <w:p>
      <w:pPr>
        <w:spacing w:before="0" w:after="120" w:line="264" w:lineRule="auto"/>
      </w:pPr>
      <w:r>
        <w:rPr>
          <w:rFonts w:ascii="Calibri" w:hAnsi="Calibri"/>
          <w:b w:val="0"/>
          <w:i w:val="0"/>
          <w:color w:val="17212B"/>
          <w:sz w:val="21"/>
        </w:rPr>
        <w:t>XXI remains a potentially attractive NAV-discount special situation, but the rebuilt model reverses the earlier outperformance thesis. Once conversion and share-count mechanics are incorporated, it underperforms Bitcoin in all three scenarios. Discount closure is a market rerating assumption, not demonstrated operating value creation.</w:t>
      </w:r>
    </w:p>
    <w:p>
      <w:pPr>
        <w:pStyle w:val="Heading2"/>
        <w:keepNext/>
      </w:pPr>
      <w:r>
        <w:t>5. CleanSpark - a stronger company than Bitcoin proxy</w:t>
      </w:r>
    </w:p>
    <w:p>
      <w:pPr>
        <w:spacing w:before="0" w:after="120" w:line="264" w:lineRule="auto"/>
      </w:pPr>
      <w:r>
        <w:rPr>
          <w:rFonts w:ascii="Calibri" w:hAnsi="Calibri"/>
          <w:b w:val="0"/>
          <w:i w:val="0"/>
          <w:color w:val="17212B"/>
          <w:sz w:val="21"/>
        </w:rPr>
        <w:t>CLSK may be the strongest diversified operator among the miners, but that is not the same as being the strongest BTC proxy. Difficulty, capex, debt, dilution, and HPC funding absorb too much of the modeled BTC upside. HPC can add independent value, while simultaneously reducing the purity of the Bitcoin exposure.</w:t>
      </w:r>
    </w:p>
    <w:p>
      <w:pPr>
        <w:pStyle w:val="Heading2"/>
        <w:keepNext/>
      </w:pPr>
      <w:r>
        <w:t>6. MARA - high beta with the weakest per-share transmission</w:t>
      </w:r>
    </w:p>
    <w:p>
      <w:pPr>
        <w:spacing w:before="0" w:after="120" w:line="264" w:lineRule="auto"/>
      </w:pPr>
      <w:r>
        <w:rPr>
          <w:rFonts w:ascii="Calibri" w:hAnsi="Calibri"/>
          <w:b w:val="0"/>
          <w:i w:val="0"/>
          <w:color w:val="17212B"/>
          <w:sz w:val="21"/>
        </w:rPr>
        <w:t>MARA can remain a powerful trading vehicle, but the fundamental model does not show reliable BTC outperformance. BTC sales, debt, ATM issuance, infrastructure spending, and a 16.6% modeled decline in sats per share in the +100% scenario weaken the link between Bitcoin's success and common-share value.</w:t>
      </w:r>
    </w:p>
    <w:p>
      <w:r>
        <w:br w:type="page"/>
      </w:r>
    </w:p>
    <w:p>
      <w:pPr>
        <w:pStyle w:val="Heading1"/>
        <w:keepNext/>
      </w:pPr>
      <w:r>
        <w:t>Stage 5 - Finish: interpret the evidence and make the decision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5FB"/>
            <w:vAlign w:val="center"/>
          </w:tcPr>
          <w:p>
            <w:pPr>
              <w:spacing w:after="0"/>
            </w:pPr>
            <w:r>
              <w:rPr>
                <w:rFonts w:ascii="Calibri" w:hAnsi="Calibri"/>
                <w:b/>
                <w:i w:val="0"/>
                <w:color w:val="3D8DFF"/>
                <w:sz w:val="21"/>
              </w:rPr>
              <w:t xml:space="preserve">Final decision: </w:t>
            </w:r>
            <w:r>
              <w:rPr>
                <w:rFonts w:ascii="Calibri" w:hAnsi="Calibri"/>
                <w:b w:val="0"/>
                <w:i w:val="0"/>
                <w:color w:val="17212B"/>
                <w:sz w:val="21"/>
              </w:rPr>
              <w:t>Choose Decision B selectively. Use MSTR as the primary proxy when the goal is the highest credible probability of outperforming Bitcoin. Use ABTC only when maximum upside is more important than dilution and execution risk. Metaplanet is the strongest middle ground.</w:t>
            </w:r>
          </w:p>
        </w:tc>
      </w:tr>
    </w:tbl>
    <w:p>
      <w:pPr>
        <w:spacing w:before="0" w:after="80" w:line="264" w:lineRule="auto"/>
      </w:pPr>
    </w:p>
    <w:tbl>
      <w:tblPr>
        <w:tblStyle w:val="TableGrid"/>
        <w:tblW w:type="dxa" w:w="9360"/>
        <w:tblLayout w:type="fixed"/>
        <w:tblLook w:firstColumn="1" w:firstRow="1" w:lastColumn="0" w:lastRow="0" w:noHBand="0" w:noVBand="1" w:val="04A0"/>
        <w:jc w:val="left"/>
        <w:tblInd w:w="120" w:type="dxa"/>
      </w:tblPr>
      <w:tblGrid>
        <w:gridCol w:w="600"/>
        <w:gridCol w:w="1250"/>
        <w:gridCol w:w="2850"/>
        <w:gridCol w:w="2500"/>
        <w:gridCol w:w="2160"/>
      </w:tblGrid>
      <w:tr>
        <w:trPr>
          <w:tblHeader w:val="true"/>
        </w:trPr>
        <w:tc>
          <w:tcPr>
            <w:tcW w:type="dxa" w:w="600"/>
            <w:tcMar>
              <w:top w:w="80" w:type="dxa"/>
              <w:start w:w="120" w:type="dxa"/>
              <w:bottom w:w="80" w:type="dxa"/>
              <w:end w:w="120" w:type="dxa"/>
            </w:tcMar>
            <w:shd w:fill="183B56"/>
            <w:vAlign w:val="center"/>
          </w:tcPr>
          <w:p>
            <w:pPr>
              <w:spacing w:after="0"/>
              <w:jc w:val="left"/>
            </w:pPr>
            <w:r>
              <w:rPr>
                <w:rFonts w:ascii="Calibri" w:hAnsi="Calibri"/>
                <w:b/>
                <w:i w:val="0"/>
                <w:color w:val="FFFFFF"/>
                <w:sz w:val="16"/>
              </w:rPr>
              <w:t>Rank</w:t>
            </w:r>
          </w:p>
        </w:tc>
        <w:tc>
          <w:tcPr>
            <w:tcW w:type="dxa" w:w="1250"/>
            <w:tcMar>
              <w:top w:w="80" w:type="dxa"/>
              <w:start w:w="120" w:type="dxa"/>
              <w:bottom w:w="80" w:type="dxa"/>
              <w:end w:w="120" w:type="dxa"/>
            </w:tcMar>
            <w:shd w:fill="183B56"/>
            <w:vAlign w:val="center"/>
          </w:tcPr>
          <w:p>
            <w:pPr>
              <w:spacing w:after="0"/>
              <w:jc w:val="center"/>
            </w:pPr>
            <w:r>
              <w:rPr>
                <w:rFonts w:ascii="Calibri" w:hAnsi="Calibri"/>
                <w:b/>
                <w:i w:val="0"/>
                <w:color w:val="FFFFFF"/>
                <w:sz w:val="16"/>
              </w:rPr>
              <w:t>Company</w:t>
            </w:r>
          </w:p>
        </w:tc>
        <w:tc>
          <w:tcPr>
            <w:tcW w:type="dxa" w:w="2850"/>
            <w:tcMar>
              <w:top w:w="80" w:type="dxa"/>
              <w:start w:w="120" w:type="dxa"/>
              <w:bottom w:w="80" w:type="dxa"/>
              <w:end w:w="120" w:type="dxa"/>
            </w:tcMar>
            <w:shd w:fill="183B56"/>
            <w:vAlign w:val="center"/>
          </w:tcPr>
          <w:p>
            <w:pPr>
              <w:spacing w:after="0"/>
              <w:jc w:val="center"/>
            </w:pPr>
            <w:r>
              <w:rPr>
                <w:rFonts w:ascii="Calibri" w:hAnsi="Calibri"/>
                <w:b/>
                <w:i w:val="0"/>
                <w:color w:val="FFFFFF"/>
                <w:sz w:val="16"/>
              </w:rPr>
              <w:t>Investment role</w:t>
            </w:r>
          </w:p>
        </w:tc>
        <w:tc>
          <w:tcPr>
            <w:tcW w:type="dxa" w:w="2500"/>
            <w:tcMar>
              <w:top w:w="80" w:type="dxa"/>
              <w:start w:w="120" w:type="dxa"/>
              <w:bottom w:w="80" w:type="dxa"/>
              <w:end w:w="120" w:type="dxa"/>
            </w:tcMar>
            <w:shd w:fill="183B56"/>
            <w:vAlign w:val="center"/>
          </w:tcPr>
          <w:p>
            <w:pPr>
              <w:spacing w:after="0"/>
              <w:jc w:val="center"/>
            </w:pPr>
            <w:r>
              <w:rPr>
                <w:rFonts w:ascii="Calibri" w:hAnsi="Calibri"/>
                <w:b/>
                <w:i w:val="0"/>
                <w:color w:val="FFFFFF"/>
                <w:sz w:val="16"/>
              </w:rPr>
              <w:t>Estimated probability of beating BTC*</w:t>
            </w:r>
          </w:p>
        </w:tc>
        <w:tc>
          <w:tcPr>
            <w:tcW w:type="dxa" w:w="2160"/>
            <w:tcMar>
              <w:top w:w="80" w:type="dxa"/>
              <w:start w:w="120" w:type="dxa"/>
              <w:bottom w:w="80" w:type="dxa"/>
              <w:end w:w="120" w:type="dxa"/>
            </w:tcMar>
            <w:shd w:fill="183B56"/>
            <w:vAlign w:val="center"/>
          </w:tcPr>
          <w:p>
            <w:pPr>
              <w:spacing w:after="0"/>
              <w:jc w:val="center"/>
            </w:pPr>
            <w:r>
              <w:rPr>
                <w:rFonts w:ascii="Calibri" w:hAnsi="Calibri"/>
                <w:b/>
                <w:i w:val="0"/>
                <w:color w:val="FFFFFF"/>
                <w:sz w:val="16"/>
              </w:rPr>
              <w:t>Decision</w:t>
            </w:r>
          </w:p>
        </w:tc>
      </w:tr>
      <w:tr>
        <w:trPr>
          <w:cantSplit/>
        </w:trPr>
        <w:tc>
          <w:tcPr>
            <w:tcW w:type="dxa" w:w="600"/>
            <w:vAlign w:val="center"/>
            <w:tcMar>
              <w:top w:w="80" w:type="dxa"/>
              <w:start w:w="120" w:type="dxa"/>
              <w:bottom w:w="80" w:type="dxa"/>
              <w:end w:w="120" w:type="dxa"/>
            </w:tcMar>
          </w:tcPr>
          <w:p>
            <w:pPr>
              <w:spacing w:after="0"/>
              <w:jc w:val="left"/>
            </w:pPr>
            <w:r>
              <w:rPr>
                <w:rFonts w:ascii="Calibri" w:hAnsi="Calibri"/>
                <w:b w:val="0"/>
                <w:i w:val="0"/>
                <w:color w:val="17212B"/>
                <w:sz w:val="16"/>
              </w:rPr>
              <w:t>1</w:t>
            </w:r>
          </w:p>
        </w:tc>
        <w:tc>
          <w:tcPr>
            <w:tcW w:type="dxa" w:w="1250"/>
            <w:vAlign w:val="center"/>
            <w:tcMar>
              <w:top w:w="80" w:type="dxa"/>
              <w:start w:w="120" w:type="dxa"/>
              <w:bottom w:w="80" w:type="dxa"/>
              <w:end w:w="120" w:type="dxa"/>
            </w:tcMar>
          </w:tcPr>
          <w:p>
            <w:pPr>
              <w:spacing w:after="0"/>
              <w:jc w:val="center"/>
            </w:pPr>
            <w:r>
              <w:rPr>
                <w:rFonts w:ascii="Calibri" w:hAnsi="Calibri"/>
                <w:b w:val="0"/>
                <w:i w:val="0"/>
                <w:color w:val="17212B"/>
                <w:sz w:val="16"/>
              </w:rPr>
              <w:t>MSTR</w:t>
            </w:r>
          </w:p>
        </w:tc>
        <w:tc>
          <w:tcPr>
            <w:tcW w:type="dxa" w:w="2850"/>
            <w:vAlign w:val="center"/>
            <w:tcMar>
              <w:top w:w="80" w:type="dxa"/>
              <w:start w:w="120" w:type="dxa"/>
              <w:bottom w:w="80" w:type="dxa"/>
              <w:end w:w="120" w:type="dxa"/>
            </w:tcMar>
          </w:tcPr>
          <w:p>
            <w:pPr>
              <w:spacing w:after="0"/>
              <w:jc w:val="center"/>
            </w:pPr>
            <w:r>
              <w:rPr>
                <w:rFonts w:ascii="Calibri" w:hAnsi="Calibri"/>
                <w:b w:val="0"/>
                <w:i w:val="0"/>
                <w:color w:val="17212B"/>
                <w:sz w:val="16"/>
              </w:rPr>
              <w:t>Highest-confidence leveraged BTC</w:t>
            </w:r>
          </w:p>
        </w:tc>
        <w:tc>
          <w:tcPr>
            <w:tcW w:type="dxa" w:w="2500"/>
            <w:vAlign w:val="center"/>
            <w:tcMar>
              <w:top w:w="80" w:type="dxa"/>
              <w:start w:w="120" w:type="dxa"/>
              <w:bottom w:w="80" w:type="dxa"/>
              <w:end w:w="120" w:type="dxa"/>
            </w:tcMar>
          </w:tcPr>
          <w:p>
            <w:pPr>
              <w:spacing w:after="0"/>
              <w:jc w:val="center"/>
            </w:pPr>
            <w:r>
              <w:rPr>
                <w:rFonts w:ascii="Calibri" w:hAnsi="Calibri"/>
                <w:b w:val="0"/>
                <w:i w:val="0"/>
                <w:color w:val="17212B"/>
                <w:sz w:val="16"/>
              </w:rPr>
              <w:t>60-70%</w:t>
            </w:r>
          </w:p>
        </w:tc>
        <w:tc>
          <w:tcPr>
            <w:tcW w:type="dxa" w:w="2160"/>
            <w:vAlign w:val="center"/>
            <w:tcMar>
              <w:top w:w="80" w:type="dxa"/>
              <w:start w:w="120" w:type="dxa"/>
              <w:bottom w:w="80" w:type="dxa"/>
              <w:end w:w="120" w:type="dxa"/>
            </w:tcMar>
          </w:tcPr>
          <w:p>
            <w:pPr>
              <w:spacing w:after="0"/>
              <w:jc w:val="center"/>
            </w:pPr>
            <w:r>
              <w:rPr>
                <w:rFonts w:ascii="Calibri" w:hAnsi="Calibri"/>
                <w:b w:val="0"/>
                <w:i w:val="0"/>
                <w:color w:val="17212B"/>
                <w:sz w:val="16"/>
              </w:rPr>
              <w:t>Primary proxy</w:t>
            </w:r>
          </w:p>
        </w:tc>
      </w:tr>
      <w:tr>
        <w:trPr>
          <w:cantSplit/>
        </w:trPr>
        <w:tc>
          <w:tcPr>
            <w:tcW w:type="dxa" w:w="600"/>
            <w:shd w:fill="F4F6F9"/>
            <w:vAlign w:val="center"/>
            <w:tcMar>
              <w:top w:w="80" w:type="dxa"/>
              <w:start w:w="120" w:type="dxa"/>
              <w:bottom w:w="80" w:type="dxa"/>
              <w:end w:w="120" w:type="dxa"/>
            </w:tcMar>
          </w:tcPr>
          <w:p>
            <w:pPr>
              <w:spacing w:after="0"/>
              <w:jc w:val="left"/>
            </w:pPr>
            <w:r>
              <w:rPr>
                <w:rFonts w:ascii="Calibri" w:hAnsi="Calibri"/>
                <w:b w:val="0"/>
                <w:i w:val="0"/>
                <w:color w:val="17212B"/>
                <w:sz w:val="16"/>
              </w:rPr>
              <w:t>2</w:t>
            </w:r>
          </w:p>
        </w:tc>
        <w:tc>
          <w:tcPr>
            <w:tcW w:type="dxa" w:w="125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Metaplanet</w:t>
            </w:r>
          </w:p>
        </w:tc>
        <w:tc>
          <w:tcPr>
            <w:tcW w:type="dxa" w:w="285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Best valuation/quality asymmetry</w:t>
            </w:r>
          </w:p>
        </w:tc>
        <w:tc>
          <w:tcPr>
            <w:tcW w:type="dxa" w:w="250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55-65%</w:t>
            </w:r>
          </w:p>
        </w:tc>
        <w:tc>
          <w:tcPr>
            <w:tcW w:type="dxa" w:w="216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Risk-adjusted alternative</w:t>
            </w:r>
          </w:p>
        </w:tc>
      </w:tr>
      <w:tr>
        <w:trPr>
          <w:cantSplit/>
        </w:trPr>
        <w:tc>
          <w:tcPr>
            <w:tcW w:type="dxa" w:w="600"/>
            <w:vAlign w:val="center"/>
            <w:tcMar>
              <w:top w:w="80" w:type="dxa"/>
              <w:start w:w="120" w:type="dxa"/>
              <w:bottom w:w="80" w:type="dxa"/>
              <w:end w:w="120" w:type="dxa"/>
            </w:tcMar>
          </w:tcPr>
          <w:p>
            <w:pPr>
              <w:spacing w:after="0"/>
              <w:jc w:val="left"/>
            </w:pPr>
            <w:r>
              <w:rPr>
                <w:rFonts w:ascii="Calibri" w:hAnsi="Calibri"/>
                <w:b w:val="0"/>
                <w:i w:val="0"/>
                <w:color w:val="17212B"/>
                <w:sz w:val="16"/>
              </w:rPr>
              <w:t>3</w:t>
            </w:r>
          </w:p>
        </w:tc>
        <w:tc>
          <w:tcPr>
            <w:tcW w:type="dxa" w:w="1250"/>
            <w:vAlign w:val="center"/>
            <w:tcMar>
              <w:top w:w="80" w:type="dxa"/>
              <w:start w:w="120" w:type="dxa"/>
              <w:bottom w:w="80" w:type="dxa"/>
              <w:end w:w="120" w:type="dxa"/>
            </w:tcMar>
          </w:tcPr>
          <w:p>
            <w:pPr>
              <w:spacing w:after="0"/>
              <w:jc w:val="center"/>
            </w:pPr>
            <w:r>
              <w:rPr>
                <w:rFonts w:ascii="Calibri" w:hAnsi="Calibri"/>
                <w:b w:val="0"/>
                <w:i w:val="0"/>
                <w:color w:val="17212B"/>
                <w:sz w:val="16"/>
              </w:rPr>
              <w:t>ABTC</w:t>
            </w:r>
          </w:p>
        </w:tc>
        <w:tc>
          <w:tcPr>
            <w:tcW w:type="dxa" w:w="2850"/>
            <w:vAlign w:val="center"/>
            <w:tcMar>
              <w:top w:w="80" w:type="dxa"/>
              <w:start w:w="120" w:type="dxa"/>
              <w:bottom w:w="80" w:type="dxa"/>
              <w:end w:w="120" w:type="dxa"/>
            </w:tcMar>
          </w:tcPr>
          <w:p>
            <w:pPr>
              <w:spacing w:after="0"/>
              <w:jc w:val="center"/>
            </w:pPr>
            <w:r>
              <w:rPr>
                <w:rFonts w:ascii="Calibri" w:hAnsi="Calibri"/>
                <w:b w:val="0"/>
                <w:i w:val="0"/>
                <w:color w:val="17212B"/>
                <w:sz w:val="16"/>
              </w:rPr>
              <w:t>Maximum convexity</w:t>
            </w:r>
          </w:p>
        </w:tc>
        <w:tc>
          <w:tcPr>
            <w:tcW w:type="dxa" w:w="2500"/>
            <w:vAlign w:val="center"/>
            <w:tcMar>
              <w:top w:w="80" w:type="dxa"/>
              <w:start w:w="120" w:type="dxa"/>
              <w:bottom w:w="80" w:type="dxa"/>
              <w:end w:w="120" w:type="dxa"/>
            </w:tcMar>
          </w:tcPr>
          <w:p>
            <w:pPr>
              <w:spacing w:after="0"/>
              <w:jc w:val="center"/>
            </w:pPr>
            <w:r>
              <w:rPr>
                <w:rFonts w:ascii="Calibri" w:hAnsi="Calibri"/>
                <w:b w:val="0"/>
                <w:i w:val="0"/>
                <w:color w:val="17212B"/>
                <w:sz w:val="16"/>
              </w:rPr>
              <w:t>50-60%</w:t>
            </w:r>
          </w:p>
        </w:tc>
        <w:tc>
          <w:tcPr>
            <w:tcW w:type="dxa" w:w="2160"/>
            <w:vAlign w:val="center"/>
            <w:tcMar>
              <w:top w:w="80" w:type="dxa"/>
              <w:start w:w="120" w:type="dxa"/>
              <w:bottom w:w="80" w:type="dxa"/>
              <w:end w:w="120" w:type="dxa"/>
            </w:tcMar>
          </w:tcPr>
          <w:p>
            <w:pPr>
              <w:spacing w:after="0"/>
              <w:jc w:val="center"/>
            </w:pPr>
            <w:r>
              <w:rPr>
                <w:rFonts w:ascii="Calibri" w:hAnsi="Calibri"/>
                <w:b w:val="0"/>
                <w:i w:val="0"/>
                <w:color w:val="17212B"/>
                <w:sz w:val="16"/>
              </w:rPr>
              <w:t>Aggressive allocation only</w:t>
            </w:r>
          </w:p>
        </w:tc>
      </w:tr>
      <w:tr>
        <w:trPr>
          <w:cantSplit/>
        </w:trPr>
        <w:tc>
          <w:tcPr>
            <w:tcW w:type="dxa" w:w="600"/>
            <w:shd w:fill="F4F6F9"/>
            <w:vAlign w:val="center"/>
            <w:tcMar>
              <w:top w:w="80" w:type="dxa"/>
              <w:start w:w="120" w:type="dxa"/>
              <w:bottom w:w="80" w:type="dxa"/>
              <w:end w:w="120" w:type="dxa"/>
            </w:tcMar>
          </w:tcPr>
          <w:p>
            <w:pPr>
              <w:spacing w:after="0"/>
              <w:jc w:val="left"/>
            </w:pPr>
            <w:r>
              <w:rPr>
                <w:rFonts w:ascii="Calibri" w:hAnsi="Calibri"/>
                <w:b w:val="0"/>
                <w:i w:val="0"/>
                <w:color w:val="17212B"/>
                <w:sz w:val="16"/>
              </w:rPr>
              <w:t>4</w:t>
            </w:r>
          </w:p>
        </w:tc>
        <w:tc>
          <w:tcPr>
            <w:tcW w:type="dxa" w:w="125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XXI</w:t>
            </w:r>
          </w:p>
        </w:tc>
        <w:tc>
          <w:tcPr>
            <w:tcW w:type="dxa" w:w="285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Discount special situation</w:t>
            </w:r>
          </w:p>
        </w:tc>
        <w:tc>
          <w:tcPr>
            <w:tcW w:type="dxa" w:w="250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35-45%</w:t>
            </w:r>
          </w:p>
        </w:tc>
        <w:tc>
          <w:tcPr>
            <w:tcW w:type="dxa" w:w="216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Watchlist</w:t>
            </w:r>
          </w:p>
        </w:tc>
      </w:tr>
      <w:tr>
        <w:trPr>
          <w:cantSplit/>
        </w:trPr>
        <w:tc>
          <w:tcPr>
            <w:tcW w:type="dxa" w:w="600"/>
            <w:vAlign w:val="center"/>
            <w:tcMar>
              <w:top w:w="80" w:type="dxa"/>
              <w:start w:w="120" w:type="dxa"/>
              <w:bottom w:w="80" w:type="dxa"/>
              <w:end w:w="120" w:type="dxa"/>
            </w:tcMar>
          </w:tcPr>
          <w:p>
            <w:pPr>
              <w:spacing w:after="0"/>
              <w:jc w:val="left"/>
            </w:pPr>
            <w:r>
              <w:rPr>
                <w:rFonts w:ascii="Calibri" w:hAnsi="Calibri"/>
                <w:b w:val="0"/>
                <w:i w:val="0"/>
                <w:color w:val="17212B"/>
                <w:sz w:val="16"/>
              </w:rPr>
              <w:t>5</w:t>
            </w:r>
          </w:p>
        </w:tc>
        <w:tc>
          <w:tcPr>
            <w:tcW w:type="dxa" w:w="1250"/>
            <w:vAlign w:val="center"/>
            <w:tcMar>
              <w:top w:w="80" w:type="dxa"/>
              <w:start w:w="120" w:type="dxa"/>
              <w:bottom w:w="80" w:type="dxa"/>
              <w:end w:w="120" w:type="dxa"/>
            </w:tcMar>
          </w:tcPr>
          <w:p>
            <w:pPr>
              <w:spacing w:after="0"/>
              <w:jc w:val="center"/>
            </w:pPr>
            <w:r>
              <w:rPr>
                <w:rFonts w:ascii="Calibri" w:hAnsi="Calibri"/>
                <w:b w:val="0"/>
                <w:i w:val="0"/>
                <w:color w:val="17212B"/>
                <w:sz w:val="16"/>
              </w:rPr>
              <w:t>CLSK</w:t>
            </w:r>
          </w:p>
        </w:tc>
        <w:tc>
          <w:tcPr>
            <w:tcW w:type="dxa" w:w="2850"/>
            <w:vAlign w:val="center"/>
            <w:tcMar>
              <w:top w:w="80" w:type="dxa"/>
              <w:start w:w="120" w:type="dxa"/>
              <w:bottom w:w="80" w:type="dxa"/>
              <w:end w:w="120" w:type="dxa"/>
            </w:tcMar>
          </w:tcPr>
          <w:p>
            <w:pPr>
              <w:spacing w:after="0"/>
              <w:jc w:val="center"/>
            </w:pPr>
            <w:r>
              <w:rPr>
                <w:rFonts w:ascii="Calibri" w:hAnsi="Calibri"/>
                <w:b w:val="0"/>
                <w:i w:val="0"/>
                <w:color w:val="17212B"/>
                <w:sz w:val="16"/>
              </w:rPr>
              <w:t>Diversified mining/HPC</w:t>
            </w:r>
          </w:p>
        </w:tc>
        <w:tc>
          <w:tcPr>
            <w:tcW w:type="dxa" w:w="2500"/>
            <w:vAlign w:val="center"/>
            <w:tcMar>
              <w:top w:w="80" w:type="dxa"/>
              <w:start w:w="120" w:type="dxa"/>
              <w:bottom w:w="80" w:type="dxa"/>
              <w:end w:w="120" w:type="dxa"/>
            </w:tcMar>
          </w:tcPr>
          <w:p>
            <w:pPr>
              <w:spacing w:after="0"/>
              <w:jc w:val="center"/>
            </w:pPr>
            <w:r>
              <w:rPr>
                <w:rFonts w:ascii="Calibri" w:hAnsi="Calibri"/>
                <w:b w:val="0"/>
                <w:i w:val="0"/>
                <w:color w:val="17212B"/>
                <w:sz w:val="16"/>
              </w:rPr>
              <w:t>30-40%</w:t>
            </w:r>
          </w:p>
        </w:tc>
        <w:tc>
          <w:tcPr>
            <w:tcW w:type="dxa" w:w="2160"/>
            <w:vAlign w:val="center"/>
            <w:tcMar>
              <w:top w:w="80" w:type="dxa"/>
              <w:start w:w="120" w:type="dxa"/>
              <w:bottom w:w="80" w:type="dxa"/>
              <w:end w:w="120" w:type="dxa"/>
            </w:tcMar>
          </w:tcPr>
          <w:p>
            <w:pPr>
              <w:spacing w:after="0"/>
              <w:jc w:val="center"/>
            </w:pPr>
            <w:r>
              <w:rPr>
                <w:rFonts w:ascii="Calibri" w:hAnsi="Calibri"/>
                <w:b w:val="0"/>
                <w:i w:val="0"/>
                <w:color w:val="17212B"/>
                <w:sz w:val="16"/>
              </w:rPr>
              <w:t>Good company, weak benchmark fit</w:t>
            </w:r>
          </w:p>
        </w:tc>
      </w:tr>
      <w:tr>
        <w:trPr>
          <w:cantSplit/>
        </w:trPr>
        <w:tc>
          <w:tcPr>
            <w:tcW w:type="dxa" w:w="600"/>
            <w:shd w:fill="F4F6F9"/>
            <w:vAlign w:val="center"/>
            <w:tcMar>
              <w:top w:w="80" w:type="dxa"/>
              <w:start w:w="120" w:type="dxa"/>
              <w:bottom w:w="80" w:type="dxa"/>
              <w:end w:w="120" w:type="dxa"/>
            </w:tcMar>
          </w:tcPr>
          <w:p>
            <w:pPr>
              <w:spacing w:after="0"/>
              <w:jc w:val="left"/>
            </w:pPr>
            <w:r>
              <w:rPr>
                <w:rFonts w:ascii="Calibri" w:hAnsi="Calibri"/>
                <w:b w:val="0"/>
                <w:i w:val="0"/>
                <w:color w:val="17212B"/>
                <w:sz w:val="16"/>
              </w:rPr>
              <w:t>6</w:t>
            </w:r>
          </w:p>
        </w:tc>
        <w:tc>
          <w:tcPr>
            <w:tcW w:type="dxa" w:w="125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MARA</w:t>
            </w:r>
          </w:p>
        </w:tc>
        <w:tc>
          <w:tcPr>
            <w:tcW w:type="dxa" w:w="285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High-beta BTC trade</w:t>
            </w:r>
          </w:p>
        </w:tc>
        <w:tc>
          <w:tcPr>
            <w:tcW w:type="dxa" w:w="250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25-35%</w:t>
            </w:r>
          </w:p>
        </w:tc>
        <w:tc>
          <w:tcPr>
            <w:tcW w:type="dxa" w:w="216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Reject for fundamental proxy thesis</w:t>
            </w:r>
          </w:p>
        </w:tc>
      </w:tr>
    </w:tbl>
    <w:p>
      <w:pPr>
        <w:spacing w:before="0" w:after="60" w:line="264" w:lineRule="auto"/>
      </w:pPr>
    </w:p>
    <w:p>
      <w:pPr>
        <w:spacing w:before="0" w:after="120" w:line="264" w:lineRule="auto"/>
      </w:pPr>
      <w:r>
        <w:rPr>
          <w:rFonts w:ascii="Calibri" w:hAnsi="Calibri"/>
          <w:b w:val="0"/>
          <w:i/>
          <w:color w:val="586574"/>
          <w:sz w:val="16"/>
        </w:rPr>
        <w:t>*Probability bands are structured forward-looking judgments, not statistical estimates. Historical adjusted-price data were insufficient for a defensible empirical probability model.</w:t>
      </w:r>
    </w:p>
    <w:p>
      <w:pPr>
        <w:pStyle w:val="Heading2"/>
        <w:keepNext/>
      </w:pPr>
      <w:r>
        <w:t>What would change the ranking</w:t>
      </w:r>
    </w:p>
    <w:p>
      <w:pPr>
        <w:pStyle w:val="ListBullet"/>
        <w:spacing w:after="80" w:line="264" w:lineRule="auto"/>
        <w:ind w:left="720" w:hanging="360"/>
      </w:pPr>
      <w:r>
        <w:rPr>
          <w:rFonts w:ascii="Calibri" w:hAnsi="Calibri"/>
          <w:b w:val="0"/>
          <w:i w:val="0"/>
          <w:color w:val="17212B"/>
          <w:sz w:val="20"/>
        </w:rPr>
        <w:t>Move Metaplanet ahead of MSTR if its capital stack is fully reconciled and BTC per diluted share continues growing while MSTR's declines.</w:t>
      </w:r>
    </w:p>
    <w:p>
      <w:pPr>
        <w:pStyle w:val="ListBullet"/>
        <w:spacing w:after="80" w:line="264" w:lineRule="auto"/>
        <w:ind w:left="720" w:hanging="360"/>
      </w:pPr>
      <w:r>
        <w:rPr>
          <w:rFonts w:ascii="Calibri" w:hAnsi="Calibri"/>
          <w:b w:val="0"/>
          <w:i w:val="0"/>
          <w:color w:val="17212B"/>
          <w:sz w:val="20"/>
        </w:rPr>
        <w:t>Move ABTC toward the top if it uses the ATM selectively, sustains BTC-per-share accretion, and outgrows network difficulty without cost deterioration.</w:t>
      </w:r>
    </w:p>
    <w:p>
      <w:pPr>
        <w:pStyle w:val="ListBullet"/>
        <w:spacing w:after="80" w:line="264" w:lineRule="auto"/>
        <w:ind w:left="720" w:hanging="360"/>
      </w:pPr>
      <w:r>
        <w:rPr>
          <w:rFonts w:ascii="Calibri" w:hAnsi="Calibri"/>
          <w:b w:val="0"/>
          <w:i w:val="0"/>
          <w:color w:val="17212B"/>
          <w:sz w:val="20"/>
        </w:rPr>
        <w:t>Upgrade XXI only after a price-dependent diluted cap table is confirmed and management demonstrates sustained BTC-per-share growth.</w:t>
      </w:r>
    </w:p>
    <w:p>
      <w:pPr>
        <w:pStyle w:val="ListBullet"/>
        <w:spacing w:after="80" w:line="264" w:lineRule="auto"/>
        <w:ind w:left="720" w:hanging="360"/>
      </w:pPr>
      <w:r>
        <w:rPr>
          <w:rFonts w:ascii="Calibri" w:hAnsi="Calibri"/>
          <w:b w:val="0"/>
          <w:i w:val="0"/>
          <w:color w:val="17212B"/>
          <w:sz w:val="20"/>
        </w:rPr>
        <w:t>Upgrade miners only when hashrate growth, efficiency, power economics, and financing jointly support free-cash-flow accretion per share.</w:t>
      </w:r>
    </w:p>
    <w:p>
      <w:pPr>
        <w:pStyle w:val="ListBullet"/>
        <w:spacing w:after="80" w:line="264" w:lineRule="auto"/>
        <w:ind w:left="720" w:hanging="360"/>
      </w:pPr>
      <w:r>
        <w:rPr>
          <w:rFonts w:ascii="Calibri" w:hAnsi="Calibri"/>
          <w:b w:val="0"/>
          <w:i w:val="0"/>
          <w:color w:val="17212B"/>
          <w:sz w:val="20"/>
        </w:rPr>
        <w:t>Default back to direct BTC if proxy valuation, capital allocation, or disclosure quality makes the excess-return mechanism too dependent on unverified assumptions.</w:t>
      </w:r>
    </w:p>
    <w:p>
      <w:pPr>
        <w:pStyle w:val="Heading1"/>
        <w:keepNext/>
      </w:pPr>
      <w:r>
        <w:t>Limitations, uncertainty, and robustness</w:t>
      </w:r>
    </w:p>
    <w:p>
      <w:pPr>
        <w:spacing w:before="0" w:after="120" w:line="264" w:lineRule="auto"/>
      </w:pPr>
      <w:r>
        <w:rPr>
          <w:rFonts w:ascii="Calibri" w:hAnsi="Calibri"/>
          <w:b w:val="0"/>
          <w:i w:val="0"/>
          <w:color w:val="17212B"/>
          <w:sz w:val="21"/>
        </w:rPr>
        <w:t>The analysis is ready to share with caveats. The calculations reconcile, but the forecasts are not company guidance and do not establish a statistical probability distribution. The conclusions are conditional on the explicit 24-month BTC, difficulty, financing, dilution, cost, and valuation assumptions.</w:t>
      </w:r>
    </w:p>
    <w:tbl>
      <w:tblPr>
        <w:tblStyle w:val="TableGrid"/>
        <w:tblW w:type="dxa" w:w="9360"/>
        <w:tblLayout w:type="fixed"/>
        <w:tblLook w:firstColumn="1" w:firstRow="1" w:lastColumn="0" w:lastRow="0" w:noHBand="0" w:noVBand="1" w:val="04A0"/>
        <w:jc w:val="left"/>
        <w:tblInd w:w="120" w:type="dxa"/>
      </w:tblPr>
      <w:tblGrid>
        <w:gridCol w:w="3200"/>
        <w:gridCol w:w="1900"/>
        <w:gridCol w:w="4260"/>
      </w:tblGrid>
      <w:tr>
        <w:trPr>
          <w:tblHeader w:val="true"/>
        </w:trPr>
        <w:tc>
          <w:tcPr>
            <w:tcW w:type="dxa" w:w="3200"/>
            <w:tcMar>
              <w:top w:w="80" w:type="dxa"/>
              <w:start w:w="120" w:type="dxa"/>
              <w:bottom w:w="80" w:type="dxa"/>
              <w:end w:w="120" w:type="dxa"/>
            </w:tcMar>
            <w:shd w:fill="183B56"/>
            <w:vAlign w:val="center"/>
          </w:tcPr>
          <w:p>
            <w:pPr>
              <w:spacing w:after="0"/>
              <w:jc w:val="left"/>
            </w:pPr>
            <w:r>
              <w:rPr>
                <w:rFonts w:ascii="Calibri" w:hAnsi="Calibri"/>
                <w:b/>
                <w:i w:val="0"/>
                <w:color w:val="FFFFFF"/>
                <w:sz w:val="16"/>
              </w:rPr>
              <w:t>Issue</w:t>
            </w:r>
          </w:p>
        </w:tc>
        <w:tc>
          <w:tcPr>
            <w:tcW w:type="dxa" w:w="1900"/>
            <w:tcMar>
              <w:top w:w="80" w:type="dxa"/>
              <w:start w:w="120" w:type="dxa"/>
              <w:bottom w:w="80" w:type="dxa"/>
              <w:end w:w="120" w:type="dxa"/>
            </w:tcMar>
            <w:shd w:fill="183B56"/>
            <w:vAlign w:val="center"/>
          </w:tcPr>
          <w:p>
            <w:pPr>
              <w:spacing w:after="0"/>
              <w:jc w:val="center"/>
            </w:pPr>
            <w:r>
              <w:rPr>
                <w:rFonts w:ascii="Calibri" w:hAnsi="Calibri"/>
                <w:b/>
                <w:i w:val="0"/>
                <w:color w:val="FFFFFF"/>
                <w:sz w:val="16"/>
              </w:rPr>
              <w:t>Status</w:t>
            </w:r>
          </w:p>
        </w:tc>
        <w:tc>
          <w:tcPr>
            <w:tcW w:type="dxa" w:w="4260"/>
            <w:tcMar>
              <w:top w:w="80" w:type="dxa"/>
              <w:start w:w="120" w:type="dxa"/>
              <w:bottom w:w="80" w:type="dxa"/>
              <w:end w:w="120" w:type="dxa"/>
            </w:tcMar>
            <w:shd w:fill="183B56"/>
            <w:vAlign w:val="center"/>
          </w:tcPr>
          <w:p>
            <w:pPr>
              <w:spacing w:after="0"/>
              <w:jc w:val="center"/>
            </w:pPr>
            <w:r>
              <w:rPr>
                <w:rFonts w:ascii="Calibri" w:hAnsi="Calibri"/>
                <w:b/>
                <w:i w:val="0"/>
                <w:color w:val="FFFFFF"/>
                <w:sz w:val="16"/>
              </w:rPr>
              <w:t>Decision impact</w:t>
            </w:r>
          </w:p>
        </w:tc>
      </w:tr>
      <w:tr>
        <w:trPr>
          <w:cantSplit/>
        </w:trPr>
        <w:tc>
          <w:tcPr>
            <w:tcW w:type="dxa" w:w="3200"/>
            <w:vAlign w:val="center"/>
            <w:tcMar>
              <w:top w:w="80" w:type="dxa"/>
              <w:start w:w="120" w:type="dxa"/>
              <w:bottom w:w="80" w:type="dxa"/>
              <w:end w:w="120" w:type="dxa"/>
            </w:tcMar>
          </w:tcPr>
          <w:p>
            <w:pPr>
              <w:spacing w:after="0"/>
              <w:jc w:val="left"/>
            </w:pPr>
            <w:r>
              <w:rPr>
                <w:rFonts w:ascii="Calibri" w:hAnsi="Calibri"/>
                <w:b w:val="0"/>
                <w:i w:val="0"/>
                <w:color w:val="17212B"/>
                <w:sz w:val="16"/>
              </w:rPr>
              <w:t>Metaplanet full cash and liability bridge</w:t>
            </w:r>
          </w:p>
        </w:tc>
        <w:tc>
          <w:tcPr>
            <w:tcW w:type="dxa" w:w="1900"/>
            <w:vAlign w:val="center"/>
            <w:tcMar>
              <w:top w:w="80" w:type="dxa"/>
              <w:start w:w="120" w:type="dxa"/>
              <w:bottom w:w="80" w:type="dxa"/>
              <w:end w:w="120" w:type="dxa"/>
            </w:tcMar>
          </w:tcPr>
          <w:p>
            <w:pPr>
              <w:spacing w:after="0"/>
              <w:jc w:val="center"/>
            </w:pPr>
            <w:r>
              <w:rPr>
                <w:rFonts w:ascii="Calibri" w:hAnsi="Calibri"/>
                <w:b w:val="0"/>
                <w:i w:val="0"/>
                <w:color w:val="17212B"/>
                <w:sz w:val="16"/>
              </w:rPr>
              <w:t>Partial</w:t>
            </w:r>
          </w:p>
        </w:tc>
        <w:tc>
          <w:tcPr>
            <w:tcW w:type="dxa" w:w="4260"/>
            <w:vAlign w:val="center"/>
            <w:tcMar>
              <w:top w:w="80" w:type="dxa"/>
              <w:start w:w="120" w:type="dxa"/>
              <w:bottom w:w="80" w:type="dxa"/>
              <w:end w:w="120" w:type="dxa"/>
            </w:tcMar>
          </w:tcPr>
          <w:p>
            <w:pPr>
              <w:spacing w:after="0"/>
              <w:jc w:val="center"/>
            </w:pPr>
            <w:r>
              <w:rPr>
                <w:rFonts w:ascii="Calibri" w:hAnsi="Calibri"/>
                <w:b w:val="0"/>
                <w:i w:val="0"/>
                <w:color w:val="17212B"/>
                <w:sz w:val="16"/>
              </w:rPr>
              <w:t>Could change NAV and ranking</w:t>
            </w:r>
          </w:p>
        </w:tc>
      </w:tr>
      <w:tr>
        <w:trPr>
          <w:cantSplit/>
        </w:trPr>
        <w:tc>
          <w:tcPr>
            <w:tcW w:type="dxa" w:w="3200"/>
            <w:shd w:fill="F4F6F9"/>
            <w:vAlign w:val="center"/>
            <w:tcMar>
              <w:top w:w="80" w:type="dxa"/>
              <w:start w:w="120" w:type="dxa"/>
              <w:bottom w:w="80" w:type="dxa"/>
              <w:end w:w="120" w:type="dxa"/>
            </w:tcMar>
          </w:tcPr>
          <w:p>
            <w:pPr>
              <w:spacing w:after="0"/>
              <w:jc w:val="left"/>
            </w:pPr>
            <w:r>
              <w:rPr>
                <w:rFonts w:ascii="Calibri" w:hAnsi="Calibri"/>
                <w:b w:val="0"/>
                <w:i w:val="0"/>
                <w:color w:val="17212B"/>
                <w:sz w:val="16"/>
              </w:rPr>
              <w:t>Miner 24-month operating guidance</w:t>
            </w:r>
          </w:p>
        </w:tc>
        <w:tc>
          <w:tcPr>
            <w:tcW w:type="dxa" w:w="190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Modeled assumptions</w:t>
            </w:r>
          </w:p>
        </w:tc>
        <w:tc>
          <w:tcPr>
            <w:tcW w:type="dxa" w:w="426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Could materially change production, cost, and EBITDA</w:t>
            </w:r>
          </w:p>
        </w:tc>
      </w:tr>
      <w:tr>
        <w:trPr>
          <w:cantSplit/>
        </w:trPr>
        <w:tc>
          <w:tcPr>
            <w:tcW w:type="dxa" w:w="3200"/>
            <w:vAlign w:val="center"/>
            <w:tcMar>
              <w:top w:w="80" w:type="dxa"/>
              <w:start w:w="120" w:type="dxa"/>
              <w:bottom w:w="80" w:type="dxa"/>
              <w:end w:w="120" w:type="dxa"/>
            </w:tcMar>
          </w:tcPr>
          <w:p>
            <w:pPr>
              <w:spacing w:after="0"/>
              <w:jc w:val="left"/>
            </w:pPr>
            <w:r>
              <w:rPr>
                <w:rFonts w:ascii="Calibri" w:hAnsi="Calibri"/>
                <w:b w:val="0"/>
                <w:i w:val="0"/>
                <w:color w:val="17212B"/>
                <w:sz w:val="16"/>
              </w:rPr>
              <w:t>Historical return distributions</w:t>
            </w:r>
          </w:p>
        </w:tc>
        <w:tc>
          <w:tcPr>
            <w:tcW w:type="dxa" w:w="1900"/>
            <w:vAlign w:val="center"/>
            <w:tcMar>
              <w:top w:w="80" w:type="dxa"/>
              <w:start w:w="120" w:type="dxa"/>
              <w:bottom w:w="80" w:type="dxa"/>
              <w:end w:w="120" w:type="dxa"/>
            </w:tcMar>
          </w:tcPr>
          <w:p>
            <w:pPr>
              <w:spacing w:after="0"/>
              <w:jc w:val="center"/>
            </w:pPr>
            <w:r>
              <w:rPr>
                <w:rFonts w:ascii="Calibri" w:hAnsi="Calibri"/>
                <w:b w:val="0"/>
                <w:i w:val="0"/>
                <w:color w:val="17212B"/>
                <w:sz w:val="16"/>
              </w:rPr>
              <w:t>Partial</w:t>
            </w:r>
          </w:p>
        </w:tc>
        <w:tc>
          <w:tcPr>
            <w:tcW w:type="dxa" w:w="4260"/>
            <w:vAlign w:val="center"/>
            <w:tcMar>
              <w:top w:w="80" w:type="dxa"/>
              <w:start w:w="120" w:type="dxa"/>
              <w:bottom w:w="80" w:type="dxa"/>
              <w:end w:w="120" w:type="dxa"/>
            </w:tcMar>
          </w:tcPr>
          <w:p>
            <w:pPr>
              <w:spacing w:after="0"/>
              <w:jc w:val="center"/>
            </w:pPr>
            <w:r>
              <w:rPr>
                <w:rFonts w:ascii="Calibri" w:hAnsi="Calibri"/>
                <w:b w:val="0"/>
                <w:i w:val="0"/>
                <w:color w:val="17212B"/>
                <w:sz w:val="16"/>
              </w:rPr>
              <w:t>Probability bands remain subjective</w:t>
            </w:r>
          </w:p>
        </w:tc>
      </w:tr>
      <w:tr>
        <w:trPr>
          <w:cantSplit/>
        </w:trPr>
        <w:tc>
          <w:tcPr>
            <w:tcW w:type="dxa" w:w="3200"/>
            <w:shd w:fill="F4F6F9"/>
            <w:vAlign w:val="center"/>
            <w:tcMar>
              <w:top w:w="80" w:type="dxa"/>
              <w:start w:w="120" w:type="dxa"/>
              <w:bottom w:w="80" w:type="dxa"/>
              <w:end w:w="120" w:type="dxa"/>
            </w:tcMar>
          </w:tcPr>
          <w:p>
            <w:pPr>
              <w:spacing w:after="0"/>
              <w:jc w:val="left"/>
            </w:pPr>
            <w:r>
              <w:rPr>
                <w:rFonts w:ascii="Calibri" w:hAnsi="Calibri"/>
                <w:b w:val="0"/>
                <w:i w:val="0"/>
                <w:color w:val="17212B"/>
                <w:sz w:val="16"/>
              </w:rPr>
              <w:t>HPC contract timing and funding</w:t>
            </w:r>
          </w:p>
        </w:tc>
        <w:tc>
          <w:tcPr>
            <w:tcW w:type="dxa" w:w="190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Modeled separately</w:t>
            </w:r>
          </w:p>
        </w:tc>
        <w:tc>
          <w:tcPr>
            <w:tcW w:type="dxa" w:w="426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Could change CLSK/MARA value but not proxy purity</w:t>
            </w:r>
          </w:p>
        </w:tc>
      </w:tr>
      <w:tr>
        <w:trPr>
          <w:cantSplit/>
        </w:trPr>
        <w:tc>
          <w:tcPr>
            <w:tcW w:type="dxa" w:w="3200"/>
            <w:vAlign w:val="center"/>
            <w:tcMar>
              <w:top w:w="80" w:type="dxa"/>
              <w:start w:w="120" w:type="dxa"/>
              <w:bottom w:w="80" w:type="dxa"/>
              <w:end w:w="120" w:type="dxa"/>
            </w:tcMar>
          </w:tcPr>
          <w:p>
            <w:pPr>
              <w:spacing w:after="0"/>
              <w:jc w:val="left"/>
            </w:pPr>
            <w:r>
              <w:rPr>
                <w:rFonts w:ascii="Calibri" w:hAnsi="Calibri"/>
                <w:b w:val="0"/>
                <w:i w:val="0"/>
                <w:color w:val="17212B"/>
                <w:sz w:val="16"/>
              </w:rPr>
              <w:t>Taxes and jurisdiction</w:t>
            </w:r>
          </w:p>
        </w:tc>
        <w:tc>
          <w:tcPr>
            <w:tcW w:type="dxa" w:w="1900"/>
            <w:vAlign w:val="center"/>
            <w:tcMar>
              <w:top w:w="80" w:type="dxa"/>
              <w:start w:w="120" w:type="dxa"/>
              <w:bottom w:w="80" w:type="dxa"/>
              <w:end w:w="120" w:type="dxa"/>
            </w:tcMar>
          </w:tcPr>
          <w:p>
            <w:pPr>
              <w:spacing w:after="0"/>
              <w:jc w:val="center"/>
            </w:pPr>
            <w:r>
              <w:rPr>
                <w:rFonts w:ascii="Calibri" w:hAnsi="Calibri"/>
                <w:b w:val="0"/>
                <w:i w:val="0"/>
                <w:color w:val="17212B"/>
                <w:sz w:val="16"/>
              </w:rPr>
              <w:t>Not fully modeled</w:t>
            </w:r>
          </w:p>
        </w:tc>
        <w:tc>
          <w:tcPr>
            <w:tcW w:type="dxa" w:w="4260"/>
            <w:vAlign w:val="center"/>
            <w:tcMar>
              <w:top w:w="80" w:type="dxa"/>
              <w:start w:w="120" w:type="dxa"/>
              <w:bottom w:w="80" w:type="dxa"/>
              <w:end w:w="120" w:type="dxa"/>
            </w:tcMar>
          </w:tcPr>
          <w:p>
            <w:pPr>
              <w:spacing w:after="0"/>
              <w:jc w:val="center"/>
            </w:pPr>
            <w:r>
              <w:rPr>
                <w:rFonts w:ascii="Calibri" w:hAnsi="Calibri"/>
                <w:b w:val="0"/>
                <w:i w:val="0"/>
                <w:color w:val="17212B"/>
                <w:sz w:val="16"/>
              </w:rPr>
              <w:t>May affect after-tax comparability</w:t>
            </w:r>
          </w:p>
        </w:tc>
      </w:tr>
      <w:tr>
        <w:trPr>
          <w:cantSplit/>
        </w:trPr>
        <w:tc>
          <w:tcPr>
            <w:tcW w:type="dxa" w:w="3200"/>
            <w:shd w:fill="F4F6F9"/>
            <w:vAlign w:val="center"/>
            <w:tcMar>
              <w:top w:w="80" w:type="dxa"/>
              <w:start w:w="120" w:type="dxa"/>
              <w:bottom w:w="80" w:type="dxa"/>
              <w:end w:w="120" w:type="dxa"/>
            </w:tcMar>
          </w:tcPr>
          <w:p>
            <w:pPr>
              <w:spacing w:after="0"/>
              <w:jc w:val="left"/>
            </w:pPr>
            <w:r>
              <w:rPr>
                <w:rFonts w:ascii="Calibri" w:hAnsi="Calibri"/>
                <w:b w:val="0"/>
                <w:i w:val="0"/>
                <w:color w:val="17212B"/>
                <w:sz w:val="16"/>
              </w:rPr>
              <w:t>Rapidly changing prices and capital structures</w:t>
            </w:r>
          </w:p>
        </w:tc>
        <w:tc>
          <w:tcPr>
            <w:tcW w:type="dxa" w:w="190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Refresh required</w:t>
            </w:r>
          </w:p>
        </w:tc>
        <w:tc>
          <w:tcPr>
            <w:tcW w:type="dxa" w:w="4260"/>
            <w:shd w:fill="F4F6F9"/>
            <w:vAlign w:val="center"/>
            <w:tcMar>
              <w:top w:w="80" w:type="dxa"/>
              <w:start w:w="120" w:type="dxa"/>
              <w:bottom w:w="80" w:type="dxa"/>
              <w:end w:w="120" w:type="dxa"/>
            </w:tcMar>
          </w:tcPr>
          <w:p>
            <w:pPr>
              <w:spacing w:after="0"/>
              <w:jc w:val="center"/>
            </w:pPr>
            <w:r>
              <w:rPr>
                <w:rFonts w:ascii="Calibri" w:hAnsi="Calibri"/>
                <w:b w:val="0"/>
                <w:i w:val="0"/>
                <w:color w:val="17212B"/>
                <w:sz w:val="16"/>
              </w:rPr>
              <w:t>Targets and ranking can move materially</w:t>
            </w:r>
          </w:p>
        </w:tc>
      </w:tr>
    </w:tbl>
    <w:p>
      <w:pPr>
        <w:spacing w:before="0" w:after="60" w:line="264" w:lineRule="auto"/>
      </w:pPr>
    </w:p>
    <w:p>
      <w:pPr>
        <w:pStyle w:val="Heading1"/>
        <w:keepNext/>
      </w:pPr>
      <w:r>
        <w:t>Portfolio capabilities demonstrated</w:t>
      </w:r>
    </w:p>
    <w:tbl>
      <w:tblPr>
        <w:tblStyle w:val="TableGrid"/>
        <w:tblW w:type="dxa" w:w="9360"/>
        <w:tblLayout w:type="fixed"/>
        <w:tblLook w:firstColumn="1" w:firstRow="1" w:lastColumn="0" w:lastRow="0" w:noHBand="0" w:noVBand="1" w:val="04A0"/>
        <w:jc w:val="left"/>
        <w:tblInd w:w="120" w:type="dxa"/>
      </w:tblPr>
      <w:tblGrid>
        <w:gridCol w:w="2600"/>
        <w:gridCol w:w="6760"/>
      </w:tblGrid>
      <w:tr>
        <w:trPr>
          <w:tblHeader w:val="true"/>
        </w:trPr>
        <w:tc>
          <w:tcPr>
            <w:tcW w:type="dxa" w:w="2600"/>
            <w:tcMar>
              <w:top w:w="80" w:type="dxa"/>
              <w:start w:w="120" w:type="dxa"/>
              <w:bottom w:w="80" w:type="dxa"/>
              <w:end w:w="120" w:type="dxa"/>
            </w:tcMar>
            <w:shd w:fill="183B56"/>
            <w:vAlign w:val="center"/>
          </w:tcPr>
          <w:p>
            <w:pPr>
              <w:spacing w:after="0"/>
              <w:jc w:val="left"/>
            </w:pPr>
            <w:r>
              <w:rPr>
                <w:rFonts w:ascii="Calibri" w:hAnsi="Calibri"/>
                <w:b/>
                <w:i w:val="0"/>
                <w:color w:val="FFFFFF"/>
                <w:sz w:val="17"/>
              </w:rPr>
              <w:t>Capability</w:t>
            </w:r>
          </w:p>
        </w:tc>
        <w:tc>
          <w:tcPr>
            <w:tcW w:type="dxa" w:w="6760"/>
            <w:tcMar>
              <w:top w:w="80" w:type="dxa"/>
              <w:start w:w="120" w:type="dxa"/>
              <w:bottom w:w="80" w:type="dxa"/>
              <w:end w:w="120" w:type="dxa"/>
            </w:tcMar>
            <w:shd w:fill="183B56"/>
            <w:vAlign w:val="center"/>
          </w:tcPr>
          <w:p>
            <w:pPr>
              <w:spacing w:after="0"/>
              <w:jc w:val="center"/>
            </w:pPr>
            <w:r>
              <w:rPr>
                <w:rFonts w:ascii="Calibri" w:hAnsi="Calibri"/>
                <w:b/>
                <w:i w:val="0"/>
                <w:color w:val="FFFFFF"/>
                <w:sz w:val="17"/>
              </w:rPr>
              <w:t>Demonstrated work</w:t>
            </w:r>
          </w:p>
        </w:tc>
      </w:tr>
      <w:tr>
        <w:trPr>
          <w:cantSplit/>
        </w:trPr>
        <w:tc>
          <w:tcPr>
            <w:tcW w:type="dxa" w:w="2600"/>
            <w:vAlign w:val="center"/>
            <w:tcMar>
              <w:top w:w="80" w:type="dxa"/>
              <w:start w:w="120" w:type="dxa"/>
              <w:bottom w:w="80" w:type="dxa"/>
              <w:end w:w="120" w:type="dxa"/>
            </w:tcMar>
          </w:tcPr>
          <w:p>
            <w:pPr>
              <w:spacing w:after="0"/>
              <w:jc w:val="left"/>
            </w:pPr>
            <w:r>
              <w:rPr>
                <w:rFonts w:ascii="Calibri" w:hAnsi="Calibri"/>
                <w:b w:val="0"/>
                <w:i w:val="0"/>
                <w:color w:val="17212B"/>
                <w:sz w:val="17"/>
              </w:rPr>
              <w:t>Decision framing</w:t>
            </w:r>
          </w:p>
        </w:tc>
        <w:tc>
          <w:tcPr>
            <w:tcW w:type="dxa" w:w="6760"/>
            <w:vAlign w:val="center"/>
            <w:tcMar>
              <w:top w:w="80" w:type="dxa"/>
              <w:start w:w="120" w:type="dxa"/>
              <w:bottom w:w="80" w:type="dxa"/>
              <w:end w:w="120" w:type="dxa"/>
            </w:tcMar>
          </w:tcPr>
          <w:p>
            <w:pPr>
              <w:spacing w:after="0"/>
              <w:jc w:val="center"/>
            </w:pPr>
            <w:r>
              <w:rPr>
                <w:rFonts w:ascii="Calibri" w:hAnsi="Calibri"/>
                <w:b w:val="0"/>
                <w:i w:val="0"/>
                <w:color w:val="17212B"/>
                <w:sz w:val="17"/>
              </w:rPr>
              <w:t>Converted a vague 'best Bitcoin proxy' request into three alternatives and one benchmarked analytical question</w:t>
            </w:r>
          </w:p>
        </w:tc>
      </w:tr>
      <w:tr>
        <w:trPr>
          <w:cantSplit/>
        </w:trPr>
        <w:tc>
          <w:tcPr>
            <w:tcW w:type="dxa" w:w="2600"/>
            <w:shd w:fill="F4F6F9"/>
            <w:vAlign w:val="center"/>
            <w:tcMar>
              <w:top w:w="80" w:type="dxa"/>
              <w:start w:w="120" w:type="dxa"/>
              <w:bottom w:w="80" w:type="dxa"/>
              <w:end w:w="120" w:type="dxa"/>
            </w:tcMar>
          </w:tcPr>
          <w:p>
            <w:pPr>
              <w:spacing w:after="0"/>
              <w:jc w:val="left"/>
            </w:pPr>
            <w:r>
              <w:rPr>
                <w:rFonts w:ascii="Calibri" w:hAnsi="Calibri"/>
                <w:b w:val="0"/>
                <w:i w:val="0"/>
                <w:color w:val="17212B"/>
                <w:sz w:val="17"/>
              </w:rPr>
              <w:t>Metric design</w:t>
            </w:r>
          </w:p>
        </w:tc>
        <w:tc>
          <w:tcPr>
            <w:tcW w:type="dxa" w:w="6760"/>
            <w:shd w:fill="F4F6F9"/>
            <w:vAlign w:val="center"/>
            <w:tcMar>
              <w:top w:w="80" w:type="dxa"/>
              <w:start w:w="120" w:type="dxa"/>
              <w:bottom w:w="80" w:type="dxa"/>
              <w:end w:w="120" w:type="dxa"/>
            </w:tcMar>
          </w:tcPr>
          <w:p>
            <w:pPr>
              <w:spacing w:after="0"/>
              <w:jc w:val="center"/>
            </w:pPr>
            <w:r>
              <w:rPr>
                <w:rFonts w:ascii="Calibri" w:hAnsi="Calibri"/>
                <w:b w:val="0"/>
                <w:i w:val="0"/>
                <w:color w:val="17212B"/>
                <w:sz w:val="17"/>
              </w:rPr>
              <w:t>Defined excess return vs BTC as the primary KPI and per-share capital economics as the controlling unit</w:t>
            </w:r>
          </w:p>
        </w:tc>
      </w:tr>
      <w:tr>
        <w:trPr>
          <w:cantSplit/>
        </w:trPr>
        <w:tc>
          <w:tcPr>
            <w:tcW w:type="dxa" w:w="2600"/>
            <w:vAlign w:val="center"/>
            <w:tcMar>
              <w:top w:w="80" w:type="dxa"/>
              <w:start w:w="120" w:type="dxa"/>
              <w:bottom w:w="80" w:type="dxa"/>
              <w:end w:w="120" w:type="dxa"/>
            </w:tcMar>
          </w:tcPr>
          <w:p>
            <w:pPr>
              <w:spacing w:after="0"/>
              <w:jc w:val="left"/>
            </w:pPr>
            <w:r>
              <w:rPr>
                <w:rFonts w:ascii="Calibri" w:hAnsi="Calibri"/>
                <w:b w:val="0"/>
                <w:i w:val="0"/>
                <w:color w:val="17212B"/>
                <w:sz w:val="17"/>
              </w:rPr>
              <w:t>Research synthesis</w:t>
            </w:r>
          </w:p>
        </w:tc>
        <w:tc>
          <w:tcPr>
            <w:tcW w:type="dxa" w:w="6760"/>
            <w:vAlign w:val="center"/>
            <w:tcMar>
              <w:top w:w="80" w:type="dxa"/>
              <w:start w:w="120" w:type="dxa"/>
              <w:bottom w:w="80" w:type="dxa"/>
              <w:end w:w="120" w:type="dxa"/>
            </w:tcMar>
          </w:tcPr>
          <w:p>
            <w:pPr>
              <w:spacing w:after="0"/>
              <w:jc w:val="center"/>
            </w:pPr>
            <w:r>
              <w:rPr>
                <w:rFonts w:ascii="Calibri" w:hAnsi="Calibri"/>
                <w:b w:val="0"/>
                <w:i w:val="0"/>
                <w:color w:val="17212B"/>
                <w:sz w:val="17"/>
              </w:rPr>
              <w:t>Combined market, network, filings, IR, capital structure, mining, and HPC evidence</w:t>
            </w:r>
          </w:p>
        </w:tc>
      </w:tr>
      <w:tr>
        <w:trPr>
          <w:cantSplit/>
        </w:trPr>
        <w:tc>
          <w:tcPr>
            <w:tcW w:type="dxa" w:w="2600"/>
            <w:shd w:fill="F4F6F9"/>
            <w:vAlign w:val="center"/>
            <w:tcMar>
              <w:top w:w="80" w:type="dxa"/>
              <w:start w:w="120" w:type="dxa"/>
              <w:bottom w:w="80" w:type="dxa"/>
              <w:end w:w="120" w:type="dxa"/>
            </w:tcMar>
          </w:tcPr>
          <w:p>
            <w:pPr>
              <w:spacing w:after="0"/>
              <w:jc w:val="left"/>
            </w:pPr>
            <w:r>
              <w:rPr>
                <w:rFonts w:ascii="Calibri" w:hAnsi="Calibri"/>
                <w:b w:val="0"/>
                <w:i w:val="0"/>
                <w:color w:val="17212B"/>
                <w:sz w:val="17"/>
              </w:rPr>
              <w:t>Data normalization</w:t>
            </w:r>
          </w:p>
        </w:tc>
        <w:tc>
          <w:tcPr>
            <w:tcW w:type="dxa" w:w="6760"/>
            <w:shd w:fill="F4F6F9"/>
            <w:vAlign w:val="center"/>
            <w:tcMar>
              <w:top w:w="80" w:type="dxa"/>
              <w:start w:w="120" w:type="dxa"/>
              <w:bottom w:w="80" w:type="dxa"/>
              <w:end w:w="120" w:type="dxa"/>
            </w:tcMar>
          </w:tcPr>
          <w:p>
            <w:pPr>
              <w:spacing w:after="0"/>
              <w:jc w:val="center"/>
            </w:pPr>
            <w:r>
              <w:rPr>
                <w:rFonts w:ascii="Calibri" w:hAnsi="Calibri"/>
                <w:b w:val="0"/>
                <w:i w:val="0"/>
                <w:color w:val="17212B"/>
                <w:sz w:val="17"/>
              </w:rPr>
              <w:t>Corrected denominator conflicts and distinguished basic, diluted, and economic share counts</w:t>
            </w:r>
          </w:p>
        </w:tc>
      </w:tr>
      <w:tr>
        <w:trPr>
          <w:cantSplit/>
        </w:trPr>
        <w:tc>
          <w:tcPr>
            <w:tcW w:type="dxa" w:w="2600"/>
            <w:vAlign w:val="center"/>
            <w:tcMar>
              <w:top w:w="80" w:type="dxa"/>
              <w:start w:w="120" w:type="dxa"/>
              <w:bottom w:w="80" w:type="dxa"/>
              <w:end w:w="120" w:type="dxa"/>
            </w:tcMar>
          </w:tcPr>
          <w:p>
            <w:pPr>
              <w:spacing w:after="0"/>
              <w:jc w:val="left"/>
            </w:pPr>
            <w:r>
              <w:rPr>
                <w:rFonts w:ascii="Calibri" w:hAnsi="Calibri"/>
                <w:b w:val="0"/>
                <w:i w:val="0"/>
                <w:color w:val="17212B"/>
                <w:sz w:val="17"/>
              </w:rPr>
              <w:t>Financial modeling</w:t>
            </w:r>
          </w:p>
        </w:tc>
        <w:tc>
          <w:tcPr>
            <w:tcW w:type="dxa" w:w="6760"/>
            <w:vAlign w:val="center"/>
            <w:tcMar>
              <w:top w:w="80" w:type="dxa"/>
              <w:start w:w="120" w:type="dxa"/>
              <w:bottom w:w="80" w:type="dxa"/>
              <w:end w:w="120" w:type="dxa"/>
            </w:tcMar>
          </w:tcPr>
          <w:p>
            <w:pPr>
              <w:spacing w:after="0"/>
              <w:jc w:val="center"/>
            </w:pPr>
            <w:r>
              <w:rPr>
                <w:rFonts w:ascii="Calibri" w:hAnsi="Calibri"/>
                <w:b w:val="0"/>
                <w:i w:val="0"/>
                <w:color w:val="17212B"/>
                <w:sz w:val="17"/>
              </w:rPr>
              <w:t>Built company-specific treasury, mining, conversion, dilution, and sum-of-parts mechanics</w:t>
            </w:r>
          </w:p>
        </w:tc>
      </w:tr>
      <w:tr>
        <w:trPr>
          <w:cantSplit/>
        </w:trPr>
        <w:tc>
          <w:tcPr>
            <w:tcW w:type="dxa" w:w="2600"/>
            <w:shd w:fill="F4F6F9"/>
            <w:vAlign w:val="center"/>
            <w:tcMar>
              <w:top w:w="80" w:type="dxa"/>
              <w:start w:w="120" w:type="dxa"/>
              <w:bottom w:w="80" w:type="dxa"/>
              <w:end w:w="120" w:type="dxa"/>
            </w:tcMar>
          </w:tcPr>
          <w:p>
            <w:pPr>
              <w:spacing w:after="0"/>
              <w:jc w:val="left"/>
            </w:pPr>
            <w:r>
              <w:rPr>
                <w:rFonts w:ascii="Calibri" w:hAnsi="Calibri"/>
                <w:b w:val="0"/>
                <w:i w:val="0"/>
                <w:color w:val="17212B"/>
                <w:sz w:val="17"/>
              </w:rPr>
              <w:t>Reproducibility</w:t>
            </w:r>
          </w:p>
        </w:tc>
        <w:tc>
          <w:tcPr>
            <w:tcW w:type="dxa" w:w="6760"/>
            <w:shd w:fill="F4F6F9"/>
            <w:vAlign w:val="center"/>
            <w:tcMar>
              <w:top w:w="80" w:type="dxa"/>
              <w:start w:w="120" w:type="dxa"/>
              <w:bottom w:w="80" w:type="dxa"/>
              <w:end w:w="120" w:type="dxa"/>
            </w:tcMar>
          </w:tcPr>
          <w:p>
            <w:pPr>
              <w:spacing w:after="0"/>
              <w:jc w:val="center"/>
            </w:pPr>
            <w:r>
              <w:rPr>
                <w:rFonts w:ascii="Calibri" w:hAnsi="Calibri"/>
                <w:b w:val="0"/>
                <w:i w:val="0"/>
                <w:color w:val="17212B"/>
                <w:sz w:val="17"/>
              </w:rPr>
              <w:t>Delivered a formula-driven workbook and executed calculation notebook with explicit checks</w:t>
            </w:r>
          </w:p>
        </w:tc>
      </w:tr>
      <w:tr>
        <w:trPr>
          <w:cantSplit/>
        </w:trPr>
        <w:tc>
          <w:tcPr>
            <w:tcW w:type="dxa" w:w="2600"/>
            <w:vAlign w:val="center"/>
            <w:tcMar>
              <w:top w:w="80" w:type="dxa"/>
              <w:start w:w="120" w:type="dxa"/>
              <w:bottom w:w="80" w:type="dxa"/>
              <w:end w:w="120" w:type="dxa"/>
            </w:tcMar>
          </w:tcPr>
          <w:p>
            <w:pPr>
              <w:spacing w:after="0"/>
              <w:jc w:val="left"/>
            </w:pPr>
            <w:r>
              <w:rPr>
                <w:rFonts w:ascii="Calibri" w:hAnsi="Calibri"/>
                <w:b w:val="0"/>
                <w:i w:val="0"/>
                <w:color w:val="17212B"/>
                <w:sz w:val="17"/>
              </w:rPr>
              <w:t>Validation</w:t>
            </w:r>
          </w:p>
        </w:tc>
        <w:tc>
          <w:tcPr>
            <w:tcW w:type="dxa" w:w="6760"/>
            <w:vAlign w:val="center"/>
            <w:tcMar>
              <w:top w:w="80" w:type="dxa"/>
              <w:start w:w="120" w:type="dxa"/>
              <w:bottom w:w="80" w:type="dxa"/>
              <w:end w:w="120" w:type="dxa"/>
            </w:tcMar>
          </w:tcPr>
          <w:p>
            <w:pPr>
              <w:spacing w:after="0"/>
              <w:jc w:val="center"/>
            </w:pPr>
            <w:r>
              <w:rPr>
                <w:rFonts w:ascii="Calibri" w:hAnsi="Calibri"/>
                <w:b w:val="0"/>
                <w:i w:val="0"/>
                <w:color w:val="17212B"/>
                <w:sz w:val="17"/>
              </w:rPr>
              <w:t>Ran formula, bridge, denominator, target-price, and notebook tie-outs before interpretation</w:t>
            </w:r>
          </w:p>
        </w:tc>
      </w:tr>
      <w:tr>
        <w:trPr>
          <w:cantSplit/>
        </w:trPr>
        <w:tc>
          <w:tcPr>
            <w:tcW w:type="dxa" w:w="2600"/>
            <w:shd w:fill="F4F6F9"/>
            <w:vAlign w:val="center"/>
            <w:tcMar>
              <w:top w:w="80" w:type="dxa"/>
              <w:start w:w="120" w:type="dxa"/>
              <w:bottom w:w="80" w:type="dxa"/>
              <w:end w:w="120" w:type="dxa"/>
            </w:tcMar>
          </w:tcPr>
          <w:p>
            <w:pPr>
              <w:spacing w:after="0"/>
              <w:jc w:val="left"/>
            </w:pPr>
            <w:r>
              <w:rPr>
                <w:rFonts w:ascii="Calibri" w:hAnsi="Calibri"/>
                <w:b w:val="0"/>
                <w:i w:val="0"/>
                <w:color w:val="17212B"/>
                <w:sz w:val="17"/>
              </w:rPr>
              <w:t>Executive communication</w:t>
            </w:r>
          </w:p>
        </w:tc>
        <w:tc>
          <w:tcPr>
            <w:tcW w:type="dxa" w:w="6760"/>
            <w:shd w:fill="F4F6F9"/>
            <w:vAlign w:val="center"/>
            <w:tcMar>
              <w:top w:w="80" w:type="dxa"/>
              <w:start w:w="120" w:type="dxa"/>
              <w:bottom w:w="80" w:type="dxa"/>
              <w:end w:w="120" w:type="dxa"/>
            </w:tcMar>
          </w:tcPr>
          <w:p>
            <w:pPr>
              <w:spacing w:after="0"/>
              <w:jc w:val="center"/>
            </w:pPr>
            <w:r>
              <w:rPr>
                <w:rFonts w:ascii="Calibri" w:hAnsi="Calibri"/>
                <w:b w:val="0"/>
                <w:i w:val="0"/>
                <w:color w:val="17212B"/>
                <w:sz w:val="17"/>
              </w:rPr>
              <w:t>Separated highest upside from highest probability and translated evidence into a clear decision</w:t>
            </w:r>
          </w:p>
        </w:tc>
      </w:tr>
      <w:tr>
        <w:trPr>
          <w:cantSplit/>
        </w:trPr>
        <w:tc>
          <w:tcPr>
            <w:tcW w:type="dxa" w:w="2600"/>
            <w:vAlign w:val="center"/>
            <w:tcMar>
              <w:top w:w="80" w:type="dxa"/>
              <w:start w:w="120" w:type="dxa"/>
              <w:bottom w:w="80" w:type="dxa"/>
              <w:end w:w="120" w:type="dxa"/>
            </w:tcMar>
          </w:tcPr>
          <w:p>
            <w:pPr>
              <w:spacing w:after="0"/>
              <w:jc w:val="left"/>
            </w:pPr>
            <w:r>
              <w:rPr>
                <w:rFonts w:ascii="Calibri" w:hAnsi="Calibri"/>
                <w:b w:val="0"/>
                <w:i w:val="0"/>
                <w:color w:val="17212B"/>
                <w:sz w:val="17"/>
              </w:rPr>
              <w:t>AI augmentation</w:t>
            </w:r>
          </w:p>
        </w:tc>
        <w:tc>
          <w:tcPr>
            <w:tcW w:type="dxa" w:w="6760"/>
            <w:vAlign w:val="center"/>
            <w:tcMar>
              <w:top w:w="80" w:type="dxa"/>
              <w:start w:w="120" w:type="dxa"/>
              <w:bottom w:w="80" w:type="dxa"/>
              <w:end w:w="120" w:type="dxa"/>
            </w:tcMar>
          </w:tcPr>
          <w:p>
            <w:pPr>
              <w:spacing w:after="0"/>
              <w:jc w:val="center"/>
            </w:pPr>
            <w:r>
              <w:rPr>
                <w:rFonts w:ascii="Calibri" w:hAnsi="Calibri"/>
                <w:b w:val="0"/>
                <w:i w:val="0"/>
                <w:color w:val="17212B"/>
                <w:sz w:val="17"/>
              </w:rPr>
              <w:t>Used ChatGPT to orchestrate the five-stage process while preserving human judgment and auditability</w:t>
            </w:r>
          </w:p>
        </w:tc>
      </w:tr>
    </w:tbl>
    <w:p>
      <w:pPr>
        <w:spacing w:before="0" w:after="60" w:line="264" w:lineRule="auto"/>
      </w:pPr>
    </w:p>
    <w:p>
      <w:pPr>
        <w:pStyle w:val="Heading1"/>
        <w:keepNext/>
      </w:pPr>
      <w:r>
        <w:t>Reproducibility and project artifacts</w:t>
      </w:r>
    </w:p>
    <w:p>
      <w:pPr>
        <w:spacing w:before="0" w:after="120" w:line="264" w:lineRule="auto"/>
      </w:pPr>
      <w:r>
        <w:rPr>
          <w:rFonts w:ascii="Calibri" w:hAnsi="Calibri"/>
          <w:b w:val="0"/>
          <w:i w:val="0"/>
          <w:color w:val="17212B"/>
          <w:sz w:val="21"/>
        </w:rPr>
        <w:t>The project is designed as a connected portfolio package rather than a single presentation. Each artifact has a distinct analytical role:</w:t>
      </w:r>
    </w:p>
    <w:p>
      <w:pPr>
        <w:pStyle w:val="ListBullet"/>
        <w:spacing w:after="80" w:line="264" w:lineRule="auto"/>
        <w:ind w:left="720" w:hanging="360"/>
      </w:pPr>
      <w:r>
        <w:rPr>
          <w:rFonts w:ascii="Calibri" w:hAnsi="Calibri"/>
          <w:b w:val="0"/>
          <w:i w:val="0"/>
          <w:color w:val="17212B"/>
          <w:sz w:val="20"/>
        </w:rPr>
        <w:t>Bitcoin_Proxy_Stage5_Input.xlsx - normalized evidence, model assumptions, 18 scenario rows, summary outputs, gaps, sources, and checks.</w:t>
      </w:r>
    </w:p>
    <w:p>
      <w:pPr>
        <w:pStyle w:val="ListBullet"/>
        <w:spacing w:after="80" w:line="264" w:lineRule="auto"/>
        <w:ind w:left="720" w:hanging="360"/>
      </w:pPr>
      <w:r>
        <w:rPr>
          <w:rFonts w:ascii="Calibri" w:hAnsi="Calibri"/>
          <w:b w:val="0"/>
          <w:i w:val="0"/>
          <w:color w:val="17212B"/>
          <w:sz w:val="20"/>
        </w:rPr>
        <w:t>Stage4_Model_Rebuild.ipynb - reproducible companion calculations and independent validation checks.</w:t>
      </w:r>
    </w:p>
    <w:p>
      <w:pPr>
        <w:pStyle w:val="ListBullet"/>
        <w:spacing w:after="80" w:line="264" w:lineRule="auto"/>
        <w:ind w:left="720" w:hanging="360"/>
      </w:pPr>
      <w:r>
        <w:rPr>
          <w:rFonts w:ascii="Calibri" w:hAnsi="Calibri"/>
          <w:b w:val="0"/>
          <w:i w:val="0"/>
          <w:color w:val="17212B"/>
          <w:sz w:val="20"/>
        </w:rPr>
        <w:t>AI_Augmented_Bitcoin_Proxy_Analysis_Report.pdf - detailed employer-facing case study.</w:t>
      </w:r>
    </w:p>
    <w:p>
      <w:pPr>
        <w:pStyle w:val="ListBullet"/>
        <w:spacing w:after="80" w:line="264" w:lineRule="auto"/>
        <w:ind w:left="720" w:hanging="360"/>
      </w:pPr>
      <w:r>
        <w:rPr>
          <w:rFonts w:ascii="Calibri" w:hAnsi="Calibri"/>
          <w:b w:val="0"/>
          <w:i w:val="0"/>
          <w:color w:val="17212B"/>
          <w:sz w:val="20"/>
        </w:rPr>
        <w:t>AI_Augmented_Bitcoin_Proxy_Analysis_Presentation.pptx - concise interview and LinkedIn/GitHub presentation.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5FB"/>
            <w:vAlign w:val="center"/>
          </w:tcPr>
          <w:p>
            <w:pPr>
              <w:spacing w:after="0"/>
            </w:pPr>
            <w:r>
              <w:rPr>
                <w:rFonts w:ascii="Calibri" w:hAnsi="Calibri"/>
                <w:b/>
                <w:i w:val="0"/>
                <w:color w:val="3D8DFF"/>
                <w:sz w:val="21"/>
              </w:rPr>
              <w:t xml:space="preserve">Recommended repository structure: </w:t>
            </w:r>
            <w:r>
              <w:rPr>
                <w:rFonts w:ascii="Calibri" w:hAnsi="Calibri"/>
                <w:b w:val="0"/>
                <w:i w:val="0"/>
                <w:color w:val="17212B"/>
                <w:sz w:val="21"/>
              </w:rPr>
              <w:t>README overview -&gt; report and deck -&gt; workbook and notebook -&gt; data/source notes. The AI-augmented redevelopment should appear in the README and both deliverables, not only in a comment.</w:t>
            </w:r>
          </w:p>
        </w:tc>
      </w:tr>
    </w:tbl>
    <w:p>
      <w:pPr>
        <w:spacing w:before="0" w:after="80" w:line="264" w:lineRule="auto"/>
      </w:pPr>
    </w:p>
    <w:p>
      <w:pPr>
        <w:pStyle w:val="Heading1"/>
        <w:keepNext/>
      </w:pPr>
      <w:r>
        <w:t>Source and audit trail</w:t>
      </w:r>
    </w:p>
    <w:p>
      <w:pPr>
        <w:spacing w:after="80"/>
      </w:pPr>
      <w:r>
        <w:rPr>
          <w:rFonts w:ascii="Calibri" w:hAnsi="Calibri"/>
          <w:b w:val="0"/>
          <w:i w:val="0"/>
          <w:color w:val="17212B"/>
          <w:sz w:val="17"/>
        </w:rPr>
        <w:t xml:space="preserve">Bitcoin market metrics (2026-08-25) - Token Terminal: </w:t>
      </w:r>
      <w:hyperlink r:id="rId14">
        <w:r>
          <w:rPr>
            <w:color w:val="3D8DFF"/>
            <w:u w:val="single"/>
          </w:rPr>
          <w:t>https://tokenterminal.com/terminal/projects/bitcoin/metrics</w:t>
        </w:r>
      </w:hyperlink>
    </w:p>
    <w:p>
      <w:pPr>
        <w:spacing w:after="80"/>
      </w:pPr>
      <w:r>
        <w:rPr>
          <w:rFonts w:ascii="Calibri" w:hAnsi="Calibri"/>
          <w:b w:val="0"/>
          <w:i w:val="0"/>
          <w:color w:val="17212B"/>
          <w:sz w:val="17"/>
        </w:rPr>
        <w:t xml:space="preserve">Bitcoin network data (2026-08-14 to 2026-08-21) - Mempool: </w:t>
      </w:r>
      <w:hyperlink r:id="rId15">
        <w:r>
          <w:rPr>
            <w:color w:val="3D8DFF"/>
            <w:u w:val="single"/>
          </w:rPr>
          <w:t>https://mempool.space/</w:t>
        </w:r>
      </w:hyperlink>
    </w:p>
    <w:p>
      <w:pPr>
        <w:spacing w:after="80"/>
      </w:pPr>
      <w:r>
        <w:rPr>
          <w:rFonts w:ascii="Calibri" w:hAnsi="Calibri"/>
          <w:b w:val="0"/>
          <w:i w:val="0"/>
          <w:color w:val="17212B"/>
          <w:sz w:val="17"/>
        </w:rPr>
        <w:t xml:space="preserve">Strategy filings and investor materials (2026-08-23) - Strategy IR: </w:t>
      </w:r>
      <w:hyperlink r:id="rId16">
        <w:r>
          <w:rPr>
            <w:color w:val="3D8DFF"/>
            <w:u w:val="single"/>
          </w:rPr>
          <w:t>https://www.strategy.com/investor-relations</w:t>
        </w:r>
      </w:hyperlink>
    </w:p>
    <w:p>
      <w:pPr>
        <w:spacing w:after="80"/>
      </w:pPr>
      <w:r>
        <w:rPr>
          <w:rFonts w:ascii="Calibri" w:hAnsi="Calibri"/>
          <w:b w:val="0"/>
          <w:i w:val="0"/>
          <w:color w:val="17212B"/>
          <w:sz w:val="17"/>
        </w:rPr>
        <w:t xml:space="preserve">Metaplanet filings and shareholder materials (2026 Q2/H1) - Metaplanet IR: </w:t>
      </w:r>
      <w:hyperlink r:id="rId17">
        <w:r>
          <w:rPr>
            <w:color w:val="3D8DFF"/>
            <w:u w:val="single"/>
          </w:rPr>
          <w:t>https://metaplanet.jp/en/shareholders</w:t>
        </w:r>
      </w:hyperlink>
    </w:p>
    <w:p>
      <w:pPr>
        <w:spacing w:after="80"/>
      </w:pPr>
      <w:r>
        <w:rPr>
          <w:rFonts w:ascii="Calibri" w:hAnsi="Calibri"/>
          <w:b w:val="0"/>
          <w:i w:val="0"/>
          <w:color w:val="17212B"/>
          <w:sz w:val="17"/>
        </w:rPr>
        <w:t xml:space="preserve">American Bitcoin filings (2026 Q2) - American Bitcoin IR: </w:t>
      </w:r>
      <w:hyperlink r:id="rId18">
        <w:r>
          <w:rPr>
            <w:color w:val="3D8DFF"/>
            <w:u w:val="single"/>
          </w:rPr>
          <w:t>https://ir.americanbitcoin.com/financials/sec-filings</w:t>
        </w:r>
      </w:hyperlink>
    </w:p>
    <w:p>
      <w:pPr>
        <w:spacing w:after="80"/>
      </w:pPr>
      <w:r>
        <w:rPr>
          <w:rFonts w:ascii="Calibri" w:hAnsi="Calibri"/>
          <w:b w:val="0"/>
          <w:i w:val="0"/>
          <w:color w:val="17212B"/>
          <w:sz w:val="17"/>
        </w:rPr>
        <w:t xml:space="preserve">Twenty One Capital filings (2026 Q1/latest) - SEC EDGAR: </w:t>
      </w:r>
      <w:hyperlink r:id="rId19">
        <w:r>
          <w:rPr>
            <w:color w:val="3D8DFF"/>
            <w:u w:val="single"/>
          </w:rPr>
          <w:t>https://www.sec.gov/edgar/search/#/q=Twenty%2520One%2520Capital</w:t>
        </w:r>
      </w:hyperlink>
    </w:p>
    <w:p>
      <w:pPr>
        <w:spacing w:after="80"/>
      </w:pPr>
      <w:r>
        <w:rPr>
          <w:rFonts w:ascii="Calibri" w:hAnsi="Calibri"/>
          <w:b w:val="0"/>
          <w:i w:val="0"/>
          <w:color w:val="17212B"/>
          <w:sz w:val="17"/>
        </w:rPr>
        <w:t xml:space="preserve">CleanSpark filings (2026 Q2/July) - CleanSpark IR: </w:t>
      </w:r>
      <w:hyperlink r:id="rId20">
        <w:r>
          <w:rPr>
            <w:color w:val="3D8DFF"/>
            <w:u w:val="single"/>
          </w:rPr>
          <w:t>https://investors.cleanspark.com/financials/sec-filings/default.aspx</w:t>
        </w:r>
      </w:hyperlink>
    </w:p>
    <w:p>
      <w:pPr>
        <w:spacing w:after="80"/>
      </w:pPr>
      <w:r>
        <w:rPr>
          <w:rFonts w:ascii="Calibri" w:hAnsi="Calibri"/>
          <w:b w:val="0"/>
          <w:i w:val="0"/>
          <w:color w:val="17212B"/>
          <w:sz w:val="17"/>
        </w:rPr>
        <w:t xml:space="preserve">MARA filings (2026 Q2) - MARA IR: </w:t>
      </w:r>
      <w:hyperlink r:id="rId21">
        <w:r>
          <w:rPr>
            <w:color w:val="3D8DFF"/>
            <w:u w:val="single"/>
          </w:rPr>
          <w:t>https://ir.mara.com/financial-information/sec-filings</w:t>
        </w:r>
      </w:hyperlink>
    </w:p>
    <w:p>
      <w:pPr>
        <w:spacing w:before="120" w:after="120" w:line="264" w:lineRule="auto"/>
      </w:pPr>
      <w:r>
        <w:rPr>
          <w:rFonts w:ascii="Calibri" w:hAnsi="Calibri"/>
          <w:b w:val="0"/>
          <w:i/>
          <w:color w:val="586574"/>
          <w:sz w:val="16"/>
        </w:rPr>
        <w:t>Model output source: Bitcoin_Proxy_Stage5_Input.xlsx and Stage4_Model_Rebuild.ipynb. Prior contextual analysis: Pasted markdown(20260827-031908).md. Company disclosures change quickly; exact filing accession and page references should be refreshed before publication as investment research.</w:t>
      </w:r>
    </w:p>
    <w:p>
      <w:pPr>
        <w:pStyle w:val="Heading1"/>
        <w:keepNext/>
      </w:pPr>
      <w:r>
        <w:t>Conclusion</w:t>
      </w:r>
    </w:p>
    <w:p>
      <w:pPr>
        <w:spacing w:before="0" w:after="120" w:line="264" w:lineRule="auto"/>
      </w:pPr>
      <w:r>
        <w:rPr>
          <w:rFonts w:ascii="Calibri" w:hAnsi="Calibri"/>
          <w:b w:val="0"/>
          <w:i w:val="0"/>
          <w:color w:val="17212B"/>
          <w:sz w:val="21"/>
        </w:rPr>
        <w:t>The project demonstrates that AI-augmented analytics is not merely faster reporting. Used correctly, it is a disciplined decision workflow: define alternatives, frame the benchmark, design the evidence, execute an auditable model, and interpret the result without confusing theoretical upside with probability of realization.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AF5FB"/>
            <w:vAlign w:val="center"/>
          </w:tcPr>
          <w:p>
            <w:pPr>
              <w:spacing w:after="0"/>
            </w:pPr>
            <w:r>
              <w:rPr>
                <w:rFonts w:ascii="Calibri" w:hAnsi="Calibri"/>
                <w:b/>
                <w:i w:val="0"/>
                <w:color w:val="3D8DFF"/>
                <w:sz w:val="21"/>
              </w:rPr>
              <w:t xml:space="preserve">Final answer: </w:t>
            </w:r>
            <w:r>
              <w:rPr>
                <w:rFonts w:ascii="Calibri" w:hAnsi="Calibri"/>
                <w:b w:val="0"/>
                <w:i w:val="0"/>
                <w:color w:val="17212B"/>
                <w:sz w:val="21"/>
              </w:rPr>
              <w:t>The proxy opportunity should not be rejected. MSTR is the best overall expression of the thesis, Metaplanet is the strongest risk-adjusted alternative, and ABTC offers the greatest upside if its dilution and operating risks remain controlled.</w:t>
            </w:r>
          </w:p>
        </w:tc>
      </w:tr>
    </w:tbl>
    <w:p>
      <w:pPr>
        <w:spacing w:before="0" w:after="80" w:line="264" w:lineRule="auto"/>
      </w:pPr>
    </w:p>
    <w:sectPr w:rsidR="00FC693F" w:rsidRPr="0006063C" w:rsidSect="00034616">
      <w:headerReference w:type="default" r:id="rId9"/>
      <w:footerReference w:type="default" r:id="rId10"/>
      <w:pgSz w:w="12240" w:h="15840"/>
      <w:pgMar w:top="1123" w:right="1238" w:bottom="1037" w:left="1238"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86574"/>
        <w:sz w:val="16"/>
      </w:rPr>
      <w:t xml:space="preserve">Portfolio Case Study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4" w:color="D7DEE7"/>
      </w:pBdr>
    </w:pPr>
    <w:r>
      <w:rPr>
        <w:rFonts w:ascii="Calibri" w:hAnsi="Calibri"/>
        <w:b/>
        <w:i w:val="0"/>
        <w:color w:val="586574"/>
        <w:sz w:val="17"/>
      </w:rPr>
      <w:t>AI-AUGMENTED ANALYTICS PORTFOLIO  |  BITCOIN PROXY STOCKS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3D8DFF"/>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83B5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tokenterminal.com/terminal/projects/bitcoin/metrics" TargetMode="External"/><Relationship Id="rId15" Type="http://schemas.openxmlformats.org/officeDocument/2006/relationships/hyperlink" Target="https://mempool.space/" TargetMode="External"/><Relationship Id="rId16" Type="http://schemas.openxmlformats.org/officeDocument/2006/relationships/hyperlink" Target="https://www.strategy.com/investor-relations" TargetMode="External"/><Relationship Id="rId17" Type="http://schemas.openxmlformats.org/officeDocument/2006/relationships/hyperlink" Target="https://metaplanet.jp/en/shareholders" TargetMode="External"/><Relationship Id="rId18" Type="http://schemas.openxmlformats.org/officeDocument/2006/relationships/hyperlink" Target="https://ir.americanbitcoin.com/financials/sec-filings" TargetMode="External"/><Relationship Id="rId19" Type="http://schemas.openxmlformats.org/officeDocument/2006/relationships/hyperlink" Target="https://www.sec.gov/edgar/search/#/q=Twenty%2520One%2520Capital" TargetMode="External"/><Relationship Id="rId20" Type="http://schemas.openxmlformats.org/officeDocument/2006/relationships/hyperlink" Target="https://investors.cleanspark.com/financials/sec-filings/default.aspx" TargetMode="External"/><Relationship Id="rId21" Type="http://schemas.openxmlformats.org/officeDocument/2006/relationships/hyperlink" Target="https://ir.mara.com/financial-information/sec-fil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