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jc w:val="left"/>
      </w:pPr>
      <w:r>
        <w:rPr>
          <w:rFonts w:ascii="Calibri" w:hAnsi="Calibri" w:eastAsia="Calibri" w:cs="Calibri"/>
          <w:b/>
          <w:color w:val="0F6C6C"/>
          <w:sz w:val="22"/>
        </w:rPr>
        <w:t>FULFILLIQ STAGE 5</w:t>
      </w:r>
    </w:p>
    <w:p>
      <w:pPr>
        <w:spacing w:after="80" w:before="0" w:line="276" w:lineRule="auto"/>
        <w:jc w:val="left"/>
      </w:pPr>
      <w:r>
        <w:rPr>
          <w:rFonts w:ascii="Calibri" w:hAnsi="Calibri" w:eastAsia="Calibri" w:cs="Calibri"/>
          <w:b/>
          <w:color w:val="1B365D"/>
          <w:sz w:val="44"/>
        </w:rPr>
        <w:t>Decision brief: enroll 18 sellers</w:t>
      </w:r>
    </w:p>
    <w:p>
      <w:pPr>
        <w:spacing w:after="200" w:before="0" w:line="276" w:lineRule="auto"/>
        <w:jc w:val="left"/>
      </w:pPr>
      <w:r>
        <w:rPr>
          <w:rFonts w:ascii="Calibri" w:hAnsi="Calibri" w:eastAsia="Calibri" w:cs="Calibri"/>
          <w:b w:val="0"/>
          <w:color w:val="4A5563"/>
          <w:sz w:val="24"/>
        </w:rPr>
        <w:t>Maya Chen, Director of Marketplace Seller Operations  ·  decide by 18 September 2026</w:t>
      </w:r>
    </w:p>
    <w:p>
      <w:pPr>
        <w:spacing w:after="120" w:before="280" w:line="276" w:lineRule="auto"/>
        <w:jc w:val="left"/>
        <w:pBdr>
          <w:bottom w:val="single" w:sz="12" w:space="4" w:color="0F6C6C"/>
        </w:pBdr>
      </w:pPr>
      <w:r>
        <w:rPr>
          <w:rFonts w:ascii="Calibri" w:hAnsi="Calibri" w:eastAsia="Calibri" w:cs="Calibri"/>
          <w:b/>
          <w:color w:val="1B365D"/>
          <w:sz w:val="32"/>
        </w:rPr>
        <w:t>1. Decision</w:t>
      </w:r>
    </w:p>
    <w:p>
      <w:pPr>
        <w:spacing w:after="160" w:before="0" w:line="276" w:lineRule="auto"/>
        <w:jc w:val="both"/>
      </w:pPr>
      <w:r>
        <w:rPr>
          <w:rFonts w:ascii="Calibri" w:hAnsi="Calibri" w:eastAsia="Calibri" w:cs="Calibri"/>
          <w:b w:val="0"/>
          <w:color w:val="1A1A1A"/>
          <w:sz w:val="22"/>
        </w:rPr>
        <w:t>Maya, as Director of Marketplace Seller Operations, will decide by 18 September 2026 which sellers in the FulfillIQ Olist Brazil database, if any, to enroll in a 30-day late-fulfillment performance plan rather than leave on standard terms. The list is informed by delivered orders those sellers fulfilled with order_purchase_timestamp from 1 January 2018 through 31 August 2018. The purpose is to reduce late customer deliveries before the VP meeting, without penalizing sellers whose volume is too small or whose orders never delivered. Featured placement is operations, not a column. Offboarding is a later VP recommendation, not this decision.</w:t>
      </w:r>
    </w:p>
    <w:p>
      <w:pPr>
        <w:spacing w:after="160" w:before="0" w:line="276" w:lineRule="auto"/>
        <w:jc w:val="both"/>
      </w:pPr>
      <w:r>
        <w:rPr>
          <w:rFonts w:ascii="Calibri" w:hAnsi="Calibri" w:eastAsia="Calibri" w:cs="Calibri"/>
          <w:b w:val="0"/>
          <w:color w:val="1A1A1A"/>
          <w:sz w:val="22"/>
        </w:rPr>
        <w:t>Framing question: among sellers who fulfilled delivered orders purchased 1 January–31 August 2018, which show late-fulfillment that would support enrollment versus standard terms? Cap about 20 concurrent plans. Peer rule (Stage 3): LFR ≥ P75 of n≥30 and LFR &gt; seller-order-weighted marketplace LFR; if the clean P75 set &gt;20, raise the enroll bar to P90; do not pad. Volume floor ≥30 usable seller-orders after exclusions (provisional). Working lateness: DATE(actual) &gt; DATE(estimate); timestamp twin required.</w:t>
      </w:r>
    </w:p>
    <w:p>
      <w:pPr>
        <w:spacing w:after="160" w:before="0" w:line="276" w:lineRule="auto"/>
        <w:jc w:val="both"/>
      </w:pPr>
      <w:r>
        <w:rPr>
          <w:rFonts w:ascii="Calibri" w:hAnsi="Calibri" w:eastAsia="Calibri" w:cs="Calibri"/>
          <w:b w:val="0"/>
          <w:color w:val="1A1A1A"/>
          <w:sz w:val="22"/>
        </w:rPr>
        <w:t>Recommended action (Option A): enroll the 18 sellers already classified enroll. All three independent reviews (Grok, ChatGPT, DeepSeek) remain on A after Round 2. The three-AI recommendation is decision support. Maya or an authorized human retains approval (Section 6).</w:t>
      </w:r>
    </w:p>
    <w:p>
      <w:pPr>
        <w:spacing w:after="120" w:before="280" w:line="276" w:lineRule="auto"/>
        <w:jc w:val="left"/>
        <w:pBdr>
          <w:bottom w:val="single" w:sz="12" w:space="4" w:color="0F6C6C"/>
        </w:pBdr>
      </w:pPr>
      <w:r>
        <w:rPr>
          <w:rFonts w:ascii="Calibri" w:hAnsi="Calibri" w:eastAsia="Calibri" w:cs="Calibri"/>
          <w:b/>
          <w:color w:val="1B365D"/>
          <w:sz w:val="32"/>
        </w:rPr>
        <w:t>2. Executed facts (CSV / workbook)</w:t>
      </w:r>
    </w:p>
    <w:p>
      <w:pPr>
        <w:spacing w:after="160" w:before="0" w:line="276" w:lineRule="auto"/>
        <w:jc w:val="both"/>
      </w:pPr>
      <w:r>
        <w:rPr>
          <w:rFonts w:ascii="Calibri" w:hAnsi="Calibri" w:eastAsia="Calibri" w:cs="Calibri"/>
          <w:b w:val="0"/>
          <w:color w:val="1A1A1A"/>
          <w:sz w:val="22"/>
        </w:rPr>
        <w:t>From output/Stage_04_seller_export.csv after R assure and results/2026-09-02/FulfillIQ_R_Evidence_2026-09-02.xlsx. Two junk CSV rows from a city newline were stitched; they are not extra sellers. SQL (sql/Stage_04_FulfillIQ_Analysis.sql) is implementation, not execution proof. R ran 2 September 2026; rate/flag/action reconciliation passed after treating lfr_date_pct display rounding as non-fatal (&lt;0.5pp).</w:t>
      </w:r>
    </w:p>
    <w:tbl>
      <w:tblPr>
        <w:tblW w:type="auto" w:w="0"/>
        <w:tblLayout w:type="autofit"/>
        <w:tblLook w:firstColumn="1" w:firstRow="1" w:lastColumn="0" w:lastRow="0" w:noHBand="0" w:noVBand="1" w:val="04A0"/>
      </w:tblPr>
      <w:tblGrid>
        <w:gridCol w:w="4896"/>
        <w:gridCol w:w="4896"/>
      </w:tblGrid>
      <w:tr>
        <w:tc>
          <w:tcPr>
            <w:tcW w:type="dxa" w:w="4896"/>
            <w:tcBorders>
              <w:top w:val="single" w:sz="4" w:space="0" w:color="C9C3B8"/>
              <w:left w:val="single" w:sz="4" w:space="0" w:color="C9C3B8"/>
              <w:bottom w:val="single" w:sz="4" w:space="0" w:color="C9C3B8"/>
              <w:right w:val="single" w:sz="4" w:space="0" w:color="C9C3B8"/>
            </w:tcBorders>
            <w:shd w:val="clear" w:color="auto" w:fill="FFFFFF"/>
          </w:tcPr>
          <w:p>
            <w:pPr>
              <w:spacing w:after="40" w:before="40"/>
            </w:pPr>
            <w:r>
              <w:rPr>
                <w:rFonts w:ascii="Calibri" w:hAnsi="Calibri" w:eastAsia="Calibri" w:cs="Calibri"/>
                <w:b/>
                <w:color w:val="1A1A1A"/>
                <w:sz w:val="20"/>
              </w:rPr>
              <w:t>Clean sellers</w:t>
            </w:r>
          </w:p>
        </w:tc>
        <w:tc>
          <w:tcPr>
            <w:tcW w:type="dxa" w:w="4896"/>
            <w:tcBorders>
              <w:top w:val="single" w:sz="4" w:space="0" w:color="C9C3B8"/>
              <w:left w:val="single" w:sz="4" w:space="0" w:color="C9C3B8"/>
              <w:bottom w:val="single" w:sz="4" w:space="0" w:color="C9C3B8"/>
              <w:right w:val="single" w:sz="4" w:space="0" w:color="C9C3B8"/>
            </w:tcBorders>
            <w:shd w:val="clear" w:color="auto" w:fill="FFFFFF"/>
          </w:tcPr>
          <w:p>
            <w:pPr>
              <w:spacing w:after="40" w:before="40"/>
            </w:pPr>
            <w:r>
              <w:rPr>
                <w:rFonts w:ascii="Calibri" w:hAnsi="Calibri" w:eastAsia="Calibri" w:cs="Calibri"/>
                <w:b w:val="0"/>
                <w:color w:val="1A1A1A"/>
                <w:sz w:val="20"/>
              </w:rPr>
              <w:t>2,329</w:t>
            </w:r>
          </w:p>
        </w:tc>
      </w:tr>
      <w:tr>
        <w:tc>
          <w:tcPr>
            <w:tcW w:type="dxa" w:w="4896"/>
            <w:tcBorders>
              <w:top w:val="single" w:sz="4" w:space="0" w:color="C9C3B8"/>
              <w:left w:val="single" w:sz="4" w:space="0" w:color="C9C3B8"/>
              <w:bottom w:val="single" w:sz="4" w:space="0" w:color="C9C3B8"/>
              <w:right w:val="single" w:sz="4" w:space="0" w:color="C9C3B8"/>
            </w:tcBorders>
            <w:shd w:val="clear" w:color="auto" w:fill="EEF3F6"/>
          </w:tcPr>
          <w:p>
            <w:pPr>
              <w:spacing w:after="40" w:before="40"/>
            </w:pPr>
            <w:r>
              <w:rPr>
                <w:rFonts w:ascii="Calibri" w:hAnsi="Calibri" w:eastAsia="Calibri" w:cs="Calibri"/>
                <w:b/>
                <w:color w:val="1A1A1A"/>
                <w:sz w:val="20"/>
              </w:rPr>
              <w:t>Eligible seller-orders / late / overall LFR</w:t>
            </w:r>
          </w:p>
        </w:tc>
        <w:tc>
          <w:tcPr>
            <w:tcW w:type="dxa" w:w="4896"/>
            <w:tcBorders>
              <w:top w:val="single" w:sz="4" w:space="0" w:color="C9C3B8"/>
              <w:left w:val="single" w:sz="4" w:space="0" w:color="C9C3B8"/>
              <w:bottom w:val="single" w:sz="4" w:space="0" w:color="C9C3B8"/>
              <w:right w:val="single" w:sz="4" w:space="0" w:color="C9C3B8"/>
            </w:tcBorders>
            <w:shd w:val="clear" w:color="auto" w:fill="EEF3F6"/>
          </w:tcPr>
          <w:p>
            <w:pPr>
              <w:spacing w:after="40" w:before="40"/>
            </w:pPr>
            <w:r>
              <w:rPr>
                <w:rFonts w:ascii="Calibri" w:hAnsi="Calibri" w:eastAsia="Calibri" w:cs="Calibri"/>
                <w:b w:val="0"/>
                <w:color w:val="1A1A1A"/>
                <w:sz w:val="20"/>
              </w:rPr>
              <w:t>53,611 / 4,084 / 7.62%</w:t>
            </w:r>
          </w:p>
        </w:tc>
      </w:tr>
      <w:tr>
        <w:tc>
          <w:tcPr>
            <w:tcW w:type="dxa" w:w="4896"/>
            <w:tcBorders>
              <w:top w:val="single" w:sz="4" w:space="0" w:color="C9C3B8"/>
              <w:left w:val="single" w:sz="4" w:space="0" w:color="C9C3B8"/>
              <w:bottom w:val="single" w:sz="4" w:space="0" w:color="C9C3B8"/>
              <w:right w:val="single" w:sz="4" w:space="0" w:color="C9C3B8"/>
            </w:tcBorders>
            <w:shd w:val="clear" w:color="auto" w:fill="FFFFFF"/>
          </w:tcPr>
          <w:p>
            <w:pPr>
              <w:spacing w:after="40" w:before="40"/>
            </w:pPr>
            <w:r>
              <w:rPr>
                <w:rFonts w:ascii="Calibri" w:hAnsi="Calibri" w:eastAsia="Calibri" w:cs="Calibri"/>
                <w:b/>
                <w:color w:val="1A1A1A"/>
                <w:sz w:val="20"/>
              </w:rPr>
              <w:t>n≥30 floor / below floor</w:t>
            </w:r>
          </w:p>
        </w:tc>
        <w:tc>
          <w:tcPr>
            <w:tcW w:type="dxa" w:w="4896"/>
            <w:tcBorders>
              <w:top w:val="single" w:sz="4" w:space="0" w:color="C9C3B8"/>
              <w:left w:val="single" w:sz="4" w:space="0" w:color="C9C3B8"/>
              <w:bottom w:val="single" w:sz="4" w:space="0" w:color="C9C3B8"/>
              <w:right w:val="single" w:sz="4" w:space="0" w:color="C9C3B8"/>
            </w:tcBorders>
            <w:shd w:val="clear" w:color="auto" w:fill="FFFFFF"/>
          </w:tcPr>
          <w:p>
            <w:pPr>
              <w:spacing w:after="40" w:before="40"/>
            </w:pPr>
            <w:r>
              <w:rPr>
                <w:rFonts w:ascii="Calibri" w:hAnsi="Calibri" w:eastAsia="Calibri" w:cs="Calibri"/>
                <w:b w:val="0"/>
                <w:color w:val="1A1A1A"/>
                <w:sz w:val="20"/>
              </w:rPr>
              <w:t>393 / 1,936</w:t>
            </w:r>
          </w:p>
        </w:tc>
      </w:tr>
      <w:tr>
        <w:tc>
          <w:tcPr>
            <w:tcW w:type="dxa" w:w="4896"/>
            <w:tcBorders>
              <w:top w:val="single" w:sz="4" w:space="0" w:color="C9C3B8"/>
              <w:left w:val="single" w:sz="4" w:space="0" w:color="C9C3B8"/>
              <w:bottom w:val="single" w:sz="4" w:space="0" w:color="C9C3B8"/>
              <w:right w:val="single" w:sz="4" w:space="0" w:color="C9C3B8"/>
            </w:tcBorders>
            <w:shd w:val="clear" w:color="auto" w:fill="EEF3F6"/>
          </w:tcPr>
          <w:p>
            <w:pPr>
              <w:spacing w:after="40" w:before="40"/>
            </w:pPr>
            <w:r>
              <w:rPr>
                <w:rFonts w:ascii="Calibri" w:hAnsi="Calibri" w:eastAsia="Calibri" w:cs="Calibri"/>
                <w:b/>
                <w:color w:val="1A1A1A"/>
                <w:sz w:val="20"/>
              </w:rPr>
              <w:t>peer_weighted_mkt_lfr / median</w:t>
            </w:r>
          </w:p>
        </w:tc>
        <w:tc>
          <w:tcPr>
            <w:tcW w:type="dxa" w:w="4896"/>
            <w:tcBorders>
              <w:top w:val="single" w:sz="4" w:space="0" w:color="C9C3B8"/>
              <w:left w:val="single" w:sz="4" w:space="0" w:color="C9C3B8"/>
              <w:bottom w:val="single" w:sz="4" w:space="0" w:color="C9C3B8"/>
              <w:right w:val="single" w:sz="4" w:space="0" w:color="C9C3B8"/>
            </w:tcBorders>
            <w:shd w:val="clear" w:color="auto" w:fill="EEF3F6"/>
          </w:tcPr>
          <w:p>
            <w:pPr>
              <w:spacing w:after="40" w:before="40"/>
            </w:pPr>
            <w:r>
              <w:rPr>
                <w:rFonts w:ascii="Calibri" w:hAnsi="Calibri" w:eastAsia="Calibri" w:cs="Calibri"/>
                <w:b w:val="0"/>
                <w:color w:val="1A1A1A"/>
                <w:sz w:val="20"/>
              </w:rPr>
              <w:t>0.07808 / 0.06667</w:t>
            </w:r>
          </w:p>
        </w:tc>
      </w:tr>
      <w:tr>
        <w:tc>
          <w:tcPr>
            <w:tcW w:type="dxa" w:w="4896"/>
            <w:tcBorders>
              <w:top w:val="single" w:sz="4" w:space="0" w:color="C9C3B8"/>
              <w:left w:val="single" w:sz="4" w:space="0" w:color="C9C3B8"/>
              <w:bottom w:val="single" w:sz="4" w:space="0" w:color="C9C3B8"/>
              <w:right w:val="single" w:sz="4" w:space="0" w:color="C9C3B8"/>
            </w:tcBorders>
            <w:shd w:val="clear" w:color="auto" w:fill="FFFFFF"/>
          </w:tcPr>
          <w:p>
            <w:pPr>
              <w:spacing w:after="40" w:before="40"/>
            </w:pPr>
            <w:r>
              <w:rPr>
                <w:rFonts w:ascii="Calibri" w:hAnsi="Calibri" w:eastAsia="Calibri" w:cs="Calibri"/>
                <w:b/>
                <w:color w:val="1A1A1A"/>
                <w:sz w:val="20"/>
              </w:rPr>
              <w:t>peer_p75 / peer_p90</w:t>
            </w:r>
          </w:p>
        </w:tc>
        <w:tc>
          <w:tcPr>
            <w:tcW w:type="dxa" w:w="4896"/>
            <w:tcBorders>
              <w:top w:val="single" w:sz="4" w:space="0" w:color="C9C3B8"/>
              <w:left w:val="single" w:sz="4" w:space="0" w:color="C9C3B8"/>
              <w:bottom w:val="single" w:sz="4" w:space="0" w:color="C9C3B8"/>
              <w:right w:val="single" w:sz="4" w:space="0" w:color="C9C3B8"/>
            </w:tcBorders>
            <w:shd w:val="clear" w:color="auto" w:fill="FFFFFF"/>
          </w:tcPr>
          <w:p>
            <w:pPr>
              <w:spacing w:after="40" w:before="40"/>
            </w:pPr>
            <w:r>
              <w:rPr>
                <w:rFonts w:ascii="Calibri" w:hAnsi="Calibri" w:eastAsia="Calibri" w:cs="Calibri"/>
                <w:b w:val="0"/>
                <w:color w:val="1A1A1A"/>
                <w:sz w:val="20"/>
              </w:rPr>
              <w:t>0.10169 / 0.14286</w:t>
            </w:r>
          </w:p>
        </w:tc>
      </w:tr>
      <w:tr>
        <w:tc>
          <w:tcPr>
            <w:tcW w:type="dxa" w:w="4896"/>
            <w:tcBorders>
              <w:top w:val="single" w:sz="4" w:space="0" w:color="C9C3B8"/>
              <w:left w:val="single" w:sz="4" w:space="0" w:color="C9C3B8"/>
              <w:bottom w:val="single" w:sz="4" w:space="0" w:color="C9C3B8"/>
              <w:right w:val="single" w:sz="4" w:space="0" w:color="C9C3B8"/>
            </w:tcBorders>
            <w:shd w:val="clear" w:color="auto" w:fill="EEF3F6"/>
          </w:tcPr>
          <w:p>
            <w:pPr>
              <w:spacing w:after="40" w:before="40"/>
            </w:pPr>
            <w:r>
              <w:rPr>
                <w:rFonts w:ascii="Calibri" w:hAnsi="Calibri" w:eastAsia="Calibri" w:cs="Calibri"/>
                <w:b/>
                <w:color w:val="1A1A1A"/>
                <w:sz w:val="20"/>
              </w:rPr>
              <w:t>raise_bar_to_p90</w:t>
            </w:r>
          </w:p>
        </w:tc>
        <w:tc>
          <w:tcPr>
            <w:tcW w:type="dxa" w:w="4896"/>
            <w:tcBorders>
              <w:top w:val="single" w:sz="4" w:space="0" w:color="C9C3B8"/>
              <w:left w:val="single" w:sz="4" w:space="0" w:color="C9C3B8"/>
              <w:bottom w:val="single" w:sz="4" w:space="0" w:color="C9C3B8"/>
              <w:right w:val="single" w:sz="4" w:space="0" w:color="C9C3B8"/>
            </w:tcBorders>
            <w:shd w:val="clear" w:color="auto" w:fill="EEF3F6"/>
          </w:tcPr>
          <w:p>
            <w:pPr>
              <w:spacing w:after="40" w:before="40"/>
            </w:pPr>
            <w:r>
              <w:rPr>
                <w:rFonts w:ascii="Calibri" w:hAnsi="Calibri" w:eastAsia="Calibri" w:cs="Calibri"/>
                <w:b w:val="0"/>
                <w:color w:val="1A1A1A"/>
                <w:sz w:val="20"/>
              </w:rPr>
              <w:t>1 (clean P75 pool &gt;20)</w:t>
            </w:r>
          </w:p>
        </w:tc>
      </w:tr>
      <w:tr>
        <w:tc>
          <w:tcPr>
            <w:tcW w:type="dxa" w:w="4896"/>
            <w:tcBorders>
              <w:top w:val="single" w:sz="4" w:space="0" w:color="C9C3B8"/>
              <w:left w:val="single" w:sz="4" w:space="0" w:color="C9C3B8"/>
              <w:bottom w:val="single" w:sz="4" w:space="0" w:color="C9C3B8"/>
              <w:right w:val="single" w:sz="4" w:space="0" w:color="C9C3B8"/>
            </w:tcBorders>
            <w:shd w:val="clear" w:color="auto" w:fill="FFFFFF"/>
          </w:tcPr>
          <w:p>
            <w:pPr>
              <w:spacing w:after="40" w:before="40"/>
            </w:pPr>
            <w:r>
              <w:rPr>
                <w:rFonts w:ascii="Calibri" w:hAnsi="Calibri" w:eastAsia="Calibri" w:cs="Calibri"/>
                <w:b/>
                <w:color w:val="1A1A1A"/>
                <w:sz w:val="20"/>
              </w:rPr>
              <w:t>pass_p75 / pass_p90</w:t>
            </w:r>
          </w:p>
        </w:tc>
        <w:tc>
          <w:tcPr>
            <w:tcW w:type="dxa" w:w="4896"/>
            <w:tcBorders>
              <w:top w:val="single" w:sz="4" w:space="0" w:color="C9C3B8"/>
              <w:left w:val="single" w:sz="4" w:space="0" w:color="C9C3B8"/>
              <w:bottom w:val="single" w:sz="4" w:space="0" w:color="C9C3B8"/>
              <w:right w:val="single" w:sz="4" w:space="0" w:color="C9C3B8"/>
            </w:tcBorders>
            <w:shd w:val="clear" w:color="auto" w:fill="FFFFFF"/>
          </w:tcPr>
          <w:p>
            <w:pPr>
              <w:spacing w:after="40" w:before="40"/>
            </w:pPr>
            <w:r>
              <w:rPr>
                <w:rFonts w:ascii="Calibri" w:hAnsi="Calibri" w:eastAsia="Calibri" w:cs="Calibri"/>
                <w:b w:val="0"/>
                <w:color w:val="1A1A1A"/>
                <w:sz w:val="20"/>
              </w:rPr>
              <w:t>99 / 40</w:t>
            </w:r>
          </w:p>
        </w:tc>
      </w:tr>
      <w:tr>
        <w:tc>
          <w:tcPr>
            <w:tcW w:type="dxa" w:w="4896"/>
            <w:tcBorders>
              <w:top w:val="single" w:sz="4" w:space="0" w:color="C9C3B8"/>
              <w:left w:val="single" w:sz="4" w:space="0" w:color="C9C3B8"/>
              <w:bottom w:val="single" w:sz="4" w:space="0" w:color="C9C3B8"/>
              <w:right w:val="single" w:sz="4" w:space="0" w:color="C9C3B8"/>
            </w:tcBorders>
            <w:shd w:val="clear" w:color="auto" w:fill="EEF3F6"/>
          </w:tcPr>
          <w:p>
            <w:pPr>
              <w:spacing w:after="40" w:before="40"/>
            </w:pPr>
            <w:r>
              <w:rPr>
                <w:rFonts w:ascii="Calibri" w:hAnsi="Calibri" w:eastAsia="Calibri" w:cs="Calibri"/>
                <w:b/>
                <w:color w:val="1A1A1A"/>
                <w:sz w:val="20"/>
              </w:rPr>
              <w:t>Actions (enroll / watch / inconcl. / std)</w:t>
            </w:r>
          </w:p>
        </w:tc>
        <w:tc>
          <w:tcPr>
            <w:tcW w:type="dxa" w:w="4896"/>
            <w:tcBorders>
              <w:top w:val="single" w:sz="4" w:space="0" w:color="C9C3B8"/>
              <w:left w:val="single" w:sz="4" w:space="0" w:color="C9C3B8"/>
              <w:bottom w:val="single" w:sz="4" w:space="0" w:color="C9C3B8"/>
              <w:right w:val="single" w:sz="4" w:space="0" w:color="C9C3B8"/>
            </w:tcBorders>
            <w:shd w:val="clear" w:color="auto" w:fill="EEF3F6"/>
          </w:tcPr>
          <w:p>
            <w:pPr>
              <w:spacing w:after="40" w:before="40"/>
            </w:pPr>
            <w:r>
              <w:rPr>
                <w:rFonts w:ascii="Calibri" w:hAnsi="Calibri" w:eastAsia="Calibri" w:cs="Calibri"/>
                <w:b w:val="0"/>
                <w:color w:val="1A1A1A"/>
                <w:sz w:val="20"/>
              </w:rPr>
              <w:t>18 / 63 / 36 / 2,212</w:t>
            </w:r>
          </w:p>
        </w:tc>
      </w:tr>
      <w:tr>
        <w:tc>
          <w:tcPr>
            <w:tcW w:type="dxa" w:w="4896"/>
            <w:tcBorders>
              <w:top w:val="single" w:sz="4" w:space="0" w:color="C9C3B8"/>
              <w:left w:val="single" w:sz="4" w:space="0" w:color="C9C3B8"/>
              <w:bottom w:val="single" w:sz="4" w:space="0" w:color="C9C3B8"/>
              <w:right w:val="single" w:sz="4" w:space="0" w:color="C9C3B8"/>
            </w:tcBorders>
            <w:shd w:val="clear" w:color="auto" w:fill="FFFFFF"/>
          </w:tcPr>
          <w:p>
            <w:pPr>
              <w:spacing w:after="40" w:before="40"/>
            </w:pPr>
            <w:r>
              <w:rPr>
                <w:rFonts w:ascii="Calibri" w:hAnsi="Calibri" w:eastAsia="Calibri" w:cs="Calibri"/>
                <w:b/>
                <w:color w:val="1A1A1A"/>
                <w:sz w:val="20"/>
              </w:rPr>
              <w:t>Watch split</w:t>
            </w:r>
          </w:p>
        </w:tc>
        <w:tc>
          <w:tcPr>
            <w:tcW w:type="dxa" w:w="4896"/>
            <w:tcBorders>
              <w:top w:val="single" w:sz="4" w:space="0" w:color="C9C3B8"/>
              <w:left w:val="single" w:sz="4" w:space="0" w:color="C9C3B8"/>
              <w:bottom w:val="single" w:sz="4" w:space="0" w:color="C9C3B8"/>
              <w:right w:val="single" w:sz="4" w:space="0" w:color="C9C3B8"/>
            </w:tcBorders>
            <w:shd w:val="clear" w:color="auto" w:fill="FFFFFF"/>
          </w:tcPr>
          <w:p>
            <w:pPr>
              <w:spacing w:after="40" w:before="40"/>
            </w:pPr>
            <w:r>
              <w:rPr>
                <w:rFonts w:ascii="Calibri" w:hAnsi="Calibri" w:eastAsia="Calibri" w:cs="Calibri"/>
                <w:b w:val="0"/>
                <w:color w:val="1A1A1A"/>
                <w:sz w:val="20"/>
              </w:rPr>
              <w:t>51 split_window_unstable + 12 p75_watch_band_after_cap</w:t>
            </w:r>
          </w:p>
        </w:tc>
      </w:tr>
      <w:tr>
        <w:tc>
          <w:tcPr>
            <w:tcW w:type="dxa" w:w="4896"/>
            <w:tcBorders>
              <w:top w:val="single" w:sz="4" w:space="0" w:color="C9C3B8"/>
              <w:left w:val="single" w:sz="4" w:space="0" w:color="C9C3B8"/>
              <w:bottom w:val="single" w:sz="4" w:space="0" w:color="C9C3B8"/>
              <w:right w:val="single" w:sz="4" w:space="0" w:color="C9C3B8"/>
            </w:tcBorders>
            <w:shd w:val="clear" w:color="auto" w:fill="EEF3F6"/>
          </w:tcPr>
          <w:p>
            <w:pPr>
              <w:spacing w:after="40" w:before="40"/>
            </w:pPr>
            <w:r>
              <w:rPr>
                <w:rFonts w:ascii="Calibri" w:hAnsi="Calibri" w:eastAsia="Calibri" w:cs="Calibri"/>
                <w:b/>
                <w:color w:val="1A1A1A"/>
                <w:sz w:val="20"/>
              </w:rPr>
              <w:t>Inconclusive / attribution_conflict</w:t>
            </w:r>
          </w:p>
        </w:tc>
        <w:tc>
          <w:tcPr>
            <w:tcW w:type="dxa" w:w="4896"/>
            <w:tcBorders>
              <w:top w:val="single" w:sz="4" w:space="0" w:color="C9C3B8"/>
              <w:left w:val="single" w:sz="4" w:space="0" w:color="C9C3B8"/>
              <w:bottom w:val="single" w:sz="4" w:space="0" w:color="C9C3B8"/>
              <w:right w:val="single" w:sz="4" w:space="0" w:color="C9C3B8"/>
            </w:tcBorders>
            <w:shd w:val="clear" w:color="auto" w:fill="EEF3F6"/>
          </w:tcPr>
          <w:p>
            <w:pPr>
              <w:spacing w:after="40" w:before="40"/>
            </w:pPr>
            <w:r>
              <w:rPr>
                <w:rFonts w:ascii="Calibri" w:hAnsi="Calibri" w:eastAsia="Calibri" w:cs="Calibri"/>
                <w:b w:val="0"/>
                <w:color w:val="1A1A1A"/>
                <w:sz w:val="20"/>
              </w:rPr>
              <w:t>36 all date_vs_timestamp_action_conflict / 0</w:t>
            </w:r>
          </w:p>
        </w:tc>
      </w:tr>
      <w:tr>
        <w:tc>
          <w:tcPr>
            <w:tcW w:type="dxa" w:w="4896"/>
            <w:tcBorders>
              <w:top w:val="single" w:sz="4" w:space="0" w:color="C9C3B8"/>
              <w:left w:val="single" w:sz="4" w:space="0" w:color="C9C3B8"/>
              <w:bottom w:val="single" w:sz="4" w:space="0" w:color="C9C3B8"/>
              <w:right w:val="single" w:sz="4" w:space="0" w:color="C9C3B8"/>
            </w:tcBorders>
            <w:shd w:val="clear" w:color="auto" w:fill="FFFFFF"/>
          </w:tcPr>
          <w:p>
            <w:pPr>
              <w:spacing w:after="40" w:before="40"/>
            </w:pPr>
            <w:r>
              <w:rPr>
                <w:rFonts w:ascii="Calibri" w:hAnsi="Calibri" w:eastAsia="Calibri" w:cs="Calibri"/>
                <w:b/>
                <w:color w:val="1A1A1A"/>
                <w:sz w:val="20"/>
              </w:rPr>
              <w:t>Floor volume bands 30–49 / 50–99 / 100+</w:t>
            </w:r>
          </w:p>
        </w:tc>
        <w:tc>
          <w:tcPr>
            <w:tcW w:type="dxa" w:w="4896"/>
            <w:tcBorders>
              <w:top w:val="single" w:sz="4" w:space="0" w:color="C9C3B8"/>
              <w:left w:val="single" w:sz="4" w:space="0" w:color="C9C3B8"/>
              <w:bottom w:val="single" w:sz="4" w:space="0" w:color="C9C3B8"/>
              <w:right w:val="single" w:sz="4" w:space="0" w:color="C9C3B8"/>
            </w:tcBorders>
            <w:shd w:val="clear" w:color="auto" w:fill="FFFFFF"/>
          </w:tcPr>
          <w:p>
            <w:pPr>
              <w:spacing w:after="40" w:before="40"/>
            </w:pPr>
            <w:r>
              <w:rPr>
                <w:rFonts w:ascii="Calibri" w:hAnsi="Calibri" w:eastAsia="Calibri" w:cs="Calibri"/>
                <w:b w:val="0"/>
                <w:color w:val="1A1A1A"/>
                <w:sz w:val="20"/>
              </w:rPr>
              <w:t>159 / 141 / 93</w:t>
            </w:r>
          </w:p>
        </w:tc>
      </w:tr>
      <w:tr>
        <w:tc>
          <w:tcPr>
            <w:tcW w:type="dxa" w:w="4896"/>
            <w:tcBorders>
              <w:top w:val="single" w:sz="4" w:space="0" w:color="C9C3B8"/>
              <w:left w:val="single" w:sz="4" w:space="0" w:color="C9C3B8"/>
              <w:bottom w:val="single" w:sz="4" w:space="0" w:color="C9C3B8"/>
              <w:right w:val="single" w:sz="4" w:space="0" w:color="C9C3B8"/>
            </w:tcBorders>
            <w:shd w:val="clear" w:color="auto" w:fill="EEF3F6"/>
          </w:tcPr>
          <w:p>
            <w:pPr>
              <w:spacing w:after="40" w:before="40"/>
            </w:pPr>
            <w:r>
              <w:rPr>
                <w:rFonts w:ascii="Calibri" w:hAnsi="Calibri" w:eastAsia="Calibri" w:cs="Calibri"/>
                <w:b/>
                <w:color w:val="1A1A1A"/>
                <w:sz w:val="20"/>
              </w:rPr>
              <w:t>Enroll reason (all 18)</w:t>
            </w:r>
          </w:p>
        </w:tc>
        <w:tc>
          <w:tcPr>
            <w:tcW w:type="dxa" w:w="4896"/>
            <w:tcBorders>
              <w:top w:val="single" w:sz="4" w:space="0" w:color="C9C3B8"/>
              <w:left w:val="single" w:sz="4" w:space="0" w:color="C9C3B8"/>
              <w:bottom w:val="single" w:sz="4" w:space="0" w:color="C9C3B8"/>
              <w:right w:val="single" w:sz="4" w:space="0" w:color="C9C3B8"/>
            </w:tcBorders>
            <w:shd w:val="clear" w:color="auto" w:fill="EEF3F6"/>
          </w:tcPr>
          <w:p>
            <w:pPr>
              <w:spacing w:after="40" w:before="40"/>
            </w:pPr>
            <w:r>
              <w:rPr>
                <w:rFonts w:ascii="Calibri" w:hAnsi="Calibri" w:eastAsia="Calibri" w:cs="Calibri"/>
                <w:b w:val="0"/>
                <w:color w:val="1A1A1A"/>
                <w:sz w:val="20"/>
              </w:rPr>
              <w:t>p90_and_above_weighted_after_cap</w:t>
            </w:r>
          </w:p>
        </w:tc>
      </w:tr>
    </w:tbl>
    <w:p>
      <w:pPr>
        <w:spacing w:after="200" w:before="0" w:line="276" w:lineRule="auto"/>
        <w:jc w:val="both"/>
      </w:pPr>
      <w:r>
        <w:rPr>
          <w:rFonts w:ascii="Calibri" w:hAnsi="Calibri" w:eastAsia="Calibri" w:cs="Calibri"/>
          <w:b w:val="0"/>
          <w:color w:val="1A1A1A"/>
          <w:sz w:val="22"/>
        </w:rPr>
        <w:t>pass_p90 = 40 and enroll = 18 are facts. The pack does not include a cross-tab of the other 22 P90 passers. Do not reconstruct that path. 18 is a rule output, not a target, not “the worst 18,” not “the top 18 performers.” Empty cap slots are unused capacity, not missing evidence.</w:t>
      </w:r>
    </w:p>
    <w:p>
      <w:pPr>
        <w:spacing w:after="120" w:before="280" w:line="276" w:lineRule="auto"/>
        <w:jc w:val="left"/>
        <w:pBdr>
          <w:bottom w:val="single" w:sz="12" w:space="4" w:color="0F6C6C"/>
        </w:pBdr>
      </w:pPr>
      <w:r>
        <w:rPr>
          <w:rFonts w:ascii="Calibri" w:hAnsi="Calibri" w:eastAsia="Calibri" w:cs="Calibri"/>
          <w:b/>
          <w:color w:val="1B365D"/>
          <w:sz w:val="32"/>
        </w:rPr>
        <w:t>3. The 18 names</w:t>
      </w:r>
    </w:p>
    <w:p>
      <w:pPr>
        <w:spacing w:after="160" w:before="0" w:line="276" w:lineRule="auto"/>
        <w:jc w:val="both"/>
      </w:pPr>
      <w:r>
        <w:rPr>
          <w:rFonts w:ascii="Calibri" w:hAnsi="Calibri" w:eastAsia="Calibri" w:cs="Calibri"/>
          <w:b w:val="0"/>
          <w:color w:val="1A1A1A"/>
          <w:sz w:val="22"/>
        </w:rPr>
        <w:t>Rank, seller_id, state, eligible_n, late_n/eligible_n, lfr_date, lfr_timestamp from round1-grok.md (same table as the Stage 5 evidence pack, transcribed from the executed export / enroll sheet). State mix: SP 14, RJ 2, SC 1, MA 1. Date LFR 0.143–0.288. Rank numbers skip; that skip is observed, not a published filter of the 40.</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792"/>
            <w:shd w:val="clear" w:color="auto" w:fill="1B365D"/>
            <w:tcBorders>
              <w:top w:val="single" w:sz="4" w:space="0" w:color="1B365D"/>
              <w:left w:val="single" w:sz="4" w:space="0" w:color="1B365D"/>
              <w:bottom w:val="single" w:sz="4" w:space="0" w:color="1B365D"/>
              <w:right w:val="single" w:sz="4" w:space="0" w:color="1B365D"/>
            </w:tcBorders>
          </w:tcPr>
          <w:p>
            <w:pPr>
              <w:spacing w:after="40" w:before="40"/>
              <w:jc w:val="center"/>
            </w:pPr>
            <w:r>
              <w:rPr>
                <w:rFonts w:ascii="Calibri" w:hAnsi="Calibri" w:eastAsia="Calibri" w:cs="Calibri"/>
                <w:b/>
                <w:color w:val="FFFFFF"/>
                <w:sz w:val="16"/>
              </w:rPr>
              <w:t>Rank</w:t>
            </w:r>
          </w:p>
        </w:tc>
        <w:tc>
          <w:tcPr>
            <w:tcW w:type="dxa" w:w="5112"/>
            <w:shd w:val="clear" w:color="auto" w:fill="1B365D"/>
            <w:tcBorders>
              <w:top w:val="single" w:sz="4" w:space="0" w:color="1B365D"/>
              <w:left w:val="single" w:sz="4" w:space="0" w:color="1B365D"/>
              <w:bottom w:val="single" w:sz="4" w:space="0" w:color="1B365D"/>
              <w:right w:val="single" w:sz="4" w:space="0" w:color="1B365D"/>
            </w:tcBorders>
          </w:tcPr>
          <w:p>
            <w:pPr>
              <w:spacing w:after="40" w:before="40"/>
              <w:jc w:val="center"/>
            </w:pPr>
            <w:r>
              <w:rPr>
                <w:rFonts w:ascii="Calibri" w:hAnsi="Calibri" w:eastAsia="Calibri" w:cs="Calibri"/>
                <w:b/>
                <w:color w:val="FFFFFF"/>
                <w:sz w:val="16"/>
              </w:rPr>
              <w:t>seller_id</w:t>
            </w:r>
          </w:p>
        </w:tc>
        <w:tc>
          <w:tcPr>
            <w:tcW w:type="dxa" w:w="576"/>
            <w:shd w:val="clear" w:color="auto" w:fill="1B365D"/>
            <w:tcBorders>
              <w:top w:val="single" w:sz="4" w:space="0" w:color="1B365D"/>
              <w:left w:val="single" w:sz="4" w:space="0" w:color="1B365D"/>
              <w:bottom w:val="single" w:sz="4" w:space="0" w:color="1B365D"/>
              <w:right w:val="single" w:sz="4" w:space="0" w:color="1B365D"/>
            </w:tcBorders>
          </w:tcPr>
          <w:p>
            <w:pPr>
              <w:spacing w:after="40" w:before="40"/>
              <w:jc w:val="center"/>
            </w:pPr>
            <w:r>
              <w:rPr>
                <w:rFonts w:ascii="Calibri" w:hAnsi="Calibri" w:eastAsia="Calibri" w:cs="Calibri"/>
                <w:b/>
                <w:color w:val="FFFFFF"/>
                <w:sz w:val="16"/>
              </w:rPr>
              <w:t>St</w:t>
            </w:r>
          </w:p>
        </w:tc>
        <w:tc>
          <w:tcPr>
            <w:tcW w:type="dxa" w:w="648"/>
            <w:shd w:val="clear" w:color="auto" w:fill="1B365D"/>
            <w:tcBorders>
              <w:top w:val="single" w:sz="4" w:space="0" w:color="1B365D"/>
              <w:left w:val="single" w:sz="4" w:space="0" w:color="1B365D"/>
              <w:bottom w:val="single" w:sz="4" w:space="0" w:color="1B365D"/>
              <w:right w:val="single" w:sz="4" w:space="0" w:color="1B365D"/>
            </w:tcBorders>
          </w:tcPr>
          <w:p>
            <w:pPr>
              <w:spacing w:after="40" w:before="40"/>
              <w:jc w:val="center"/>
            </w:pPr>
            <w:r>
              <w:rPr>
                <w:rFonts w:ascii="Calibri" w:hAnsi="Calibri" w:eastAsia="Calibri" w:cs="Calibri"/>
                <w:b/>
                <w:color w:val="FFFFFF"/>
                <w:sz w:val="16"/>
              </w:rPr>
              <w:t>n</w:t>
            </w:r>
          </w:p>
        </w:tc>
        <w:tc>
          <w:tcPr>
            <w:tcW w:type="dxa" w:w="1080"/>
            <w:shd w:val="clear" w:color="auto" w:fill="1B365D"/>
            <w:tcBorders>
              <w:top w:val="single" w:sz="4" w:space="0" w:color="1B365D"/>
              <w:left w:val="single" w:sz="4" w:space="0" w:color="1B365D"/>
              <w:bottom w:val="single" w:sz="4" w:space="0" w:color="1B365D"/>
              <w:right w:val="single" w:sz="4" w:space="0" w:color="1B365D"/>
            </w:tcBorders>
          </w:tcPr>
          <w:p>
            <w:pPr>
              <w:spacing w:after="40" w:before="40"/>
              <w:jc w:val="center"/>
            </w:pPr>
            <w:r>
              <w:rPr>
                <w:rFonts w:ascii="Calibri" w:hAnsi="Calibri" w:eastAsia="Calibri" w:cs="Calibri"/>
                <w:b/>
                <w:color w:val="FFFFFF"/>
                <w:sz w:val="16"/>
              </w:rPr>
              <w:t>late/n</w:t>
            </w:r>
          </w:p>
        </w:tc>
        <w:tc>
          <w:tcPr>
            <w:tcW w:type="dxa" w:w="1008"/>
            <w:shd w:val="clear" w:color="auto" w:fill="1B365D"/>
            <w:tcBorders>
              <w:top w:val="single" w:sz="4" w:space="0" w:color="1B365D"/>
              <w:left w:val="single" w:sz="4" w:space="0" w:color="1B365D"/>
              <w:bottom w:val="single" w:sz="4" w:space="0" w:color="1B365D"/>
              <w:right w:val="single" w:sz="4" w:space="0" w:color="1B365D"/>
            </w:tcBorders>
          </w:tcPr>
          <w:p>
            <w:pPr>
              <w:spacing w:after="40" w:before="40"/>
              <w:jc w:val="center"/>
            </w:pPr>
            <w:r>
              <w:rPr>
                <w:rFonts w:ascii="Calibri" w:hAnsi="Calibri" w:eastAsia="Calibri" w:cs="Calibri"/>
                <w:b/>
                <w:color w:val="FFFFFF"/>
                <w:sz w:val="16"/>
              </w:rPr>
              <w:t>lfr_date</w:t>
            </w:r>
          </w:p>
        </w:tc>
        <w:tc>
          <w:tcPr>
            <w:tcW w:type="dxa" w:w="1008"/>
            <w:shd w:val="clear" w:color="auto" w:fill="1B365D"/>
            <w:tcBorders>
              <w:top w:val="single" w:sz="4" w:space="0" w:color="1B365D"/>
              <w:left w:val="single" w:sz="4" w:space="0" w:color="1B365D"/>
              <w:bottom w:val="single" w:sz="4" w:space="0" w:color="1B365D"/>
              <w:right w:val="single" w:sz="4" w:space="0" w:color="1B365D"/>
            </w:tcBorders>
          </w:tcPr>
          <w:p>
            <w:pPr>
              <w:spacing w:after="40" w:before="40"/>
              <w:jc w:val="center"/>
            </w:pPr>
            <w:r>
              <w:rPr>
                <w:rFonts w:ascii="Calibri" w:hAnsi="Calibri" w:eastAsia="Calibri" w:cs="Calibri"/>
                <w:b/>
                <w:color w:val="FFFFFF"/>
                <w:sz w:val="16"/>
              </w:rPr>
              <w:t>lfr_ts</w:t>
            </w:r>
          </w:p>
        </w:tc>
      </w:tr>
      <w:tr>
        <w:tc>
          <w:tcPr>
            <w:tcW w:type="dxa" w:w="792"/>
            <w:shd w:val="clear" w:color="auto" w:fill="FFFFFF"/>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2</w:t>
            </w:r>
          </w:p>
        </w:tc>
        <w:tc>
          <w:tcPr>
            <w:tcW w:type="dxa" w:w="5112"/>
            <w:shd w:val="clear" w:color="auto" w:fill="FFFFFF"/>
            <w:tcBorders>
              <w:top w:val="single" w:sz="4" w:space="0" w:color="C9C3B8"/>
              <w:left w:val="single" w:sz="4" w:space="0" w:color="C9C3B8"/>
              <w:bottom w:val="single" w:sz="4" w:space="0" w:color="C9C3B8"/>
              <w:right w:val="single" w:sz="4" w:space="0" w:color="C9C3B8"/>
            </w:tcBorders>
          </w:tcPr>
          <w:p>
            <w:pPr>
              <w:spacing w:after="20" w:before="20"/>
              <w:jc w:val="left"/>
            </w:pPr>
            <w:r>
              <w:rPr>
                <w:rFonts w:ascii="Consolas" w:hAnsi="Consolas" w:eastAsia="Consolas" w:cs="Consolas"/>
                <w:color w:val="1A1A1A"/>
                <w:sz w:val="16"/>
              </w:rPr>
              <w:t>c3867b4666c7d76867627c2f7fb22e21</w:t>
            </w:r>
          </w:p>
        </w:tc>
        <w:tc>
          <w:tcPr>
            <w:tcW w:type="dxa" w:w="576"/>
            <w:shd w:val="clear" w:color="auto" w:fill="FFFFFF"/>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SP</w:t>
            </w:r>
          </w:p>
        </w:tc>
        <w:tc>
          <w:tcPr>
            <w:tcW w:type="dxa" w:w="648"/>
            <w:shd w:val="clear" w:color="auto" w:fill="FFFFFF"/>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80</w:t>
            </w:r>
          </w:p>
        </w:tc>
        <w:tc>
          <w:tcPr>
            <w:tcW w:type="dxa" w:w="1080"/>
            <w:shd w:val="clear" w:color="auto" w:fill="FFFFFF"/>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23/80</w:t>
            </w:r>
          </w:p>
        </w:tc>
        <w:tc>
          <w:tcPr>
            <w:tcW w:type="dxa" w:w="1008"/>
            <w:shd w:val="clear" w:color="auto" w:fill="FFFFFF"/>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0.288</w:t>
            </w:r>
          </w:p>
        </w:tc>
        <w:tc>
          <w:tcPr>
            <w:tcW w:type="dxa" w:w="1008"/>
            <w:shd w:val="clear" w:color="auto" w:fill="FFFFFF"/>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0.300</w:t>
            </w:r>
          </w:p>
        </w:tc>
      </w:tr>
      <w:tr>
        <w:tc>
          <w:tcPr>
            <w:tcW w:type="dxa" w:w="792"/>
            <w:shd w:val="clear" w:color="auto" w:fill="EEF3F6"/>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7</w:t>
            </w:r>
          </w:p>
        </w:tc>
        <w:tc>
          <w:tcPr>
            <w:tcW w:type="dxa" w:w="5112"/>
            <w:shd w:val="clear" w:color="auto" w:fill="EEF3F6"/>
            <w:tcBorders>
              <w:top w:val="single" w:sz="4" w:space="0" w:color="C9C3B8"/>
              <w:left w:val="single" w:sz="4" w:space="0" w:color="C9C3B8"/>
              <w:bottom w:val="single" w:sz="4" w:space="0" w:color="C9C3B8"/>
              <w:right w:val="single" w:sz="4" w:space="0" w:color="C9C3B8"/>
            </w:tcBorders>
          </w:tcPr>
          <w:p>
            <w:pPr>
              <w:spacing w:after="20" w:before="20"/>
              <w:jc w:val="left"/>
            </w:pPr>
            <w:r>
              <w:rPr>
                <w:rFonts w:ascii="Consolas" w:hAnsi="Consolas" w:eastAsia="Consolas" w:cs="Consolas"/>
                <w:color w:val="1A1A1A"/>
                <w:sz w:val="16"/>
              </w:rPr>
              <w:t>cac4c8e7b1ca6252d8f20b2fc1a2e4af</w:t>
            </w:r>
          </w:p>
        </w:tc>
        <w:tc>
          <w:tcPr>
            <w:tcW w:type="dxa" w:w="576"/>
            <w:shd w:val="clear" w:color="auto" w:fill="EEF3F6"/>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SP</w:t>
            </w:r>
          </w:p>
        </w:tc>
        <w:tc>
          <w:tcPr>
            <w:tcW w:type="dxa" w:w="648"/>
            <w:shd w:val="clear" w:color="auto" w:fill="EEF3F6"/>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46</w:t>
            </w:r>
          </w:p>
        </w:tc>
        <w:tc>
          <w:tcPr>
            <w:tcW w:type="dxa" w:w="1080"/>
            <w:shd w:val="clear" w:color="auto" w:fill="EEF3F6"/>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11/46</w:t>
            </w:r>
          </w:p>
        </w:tc>
        <w:tc>
          <w:tcPr>
            <w:tcW w:type="dxa" w:w="1008"/>
            <w:shd w:val="clear" w:color="auto" w:fill="EEF3F6"/>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0.239</w:t>
            </w:r>
          </w:p>
        </w:tc>
        <w:tc>
          <w:tcPr>
            <w:tcW w:type="dxa" w:w="1008"/>
            <w:shd w:val="clear" w:color="auto" w:fill="EEF3F6"/>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0.283</w:t>
            </w:r>
          </w:p>
        </w:tc>
      </w:tr>
      <w:tr>
        <w:tc>
          <w:tcPr>
            <w:tcW w:type="dxa" w:w="792"/>
            <w:shd w:val="clear" w:color="auto" w:fill="FFFFFF"/>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8</w:t>
            </w:r>
          </w:p>
        </w:tc>
        <w:tc>
          <w:tcPr>
            <w:tcW w:type="dxa" w:w="5112"/>
            <w:shd w:val="clear" w:color="auto" w:fill="FFFFFF"/>
            <w:tcBorders>
              <w:top w:val="single" w:sz="4" w:space="0" w:color="C9C3B8"/>
              <w:left w:val="single" w:sz="4" w:space="0" w:color="C9C3B8"/>
              <w:bottom w:val="single" w:sz="4" w:space="0" w:color="C9C3B8"/>
              <w:right w:val="single" w:sz="4" w:space="0" w:color="C9C3B8"/>
            </w:tcBorders>
          </w:tcPr>
          <w:p>
            <w:pPr>
              <w:spacing w:after="20" w:before="20"/>
              <w:jc w:val="left"/>
            </w:pPr>
            <w:r>
              <w:rPr>
                <w:rFonts w:ascii="Consolas" w:hAnsi="Consolas" w:eastAsia="Consolas" w:cs="Consolas"/>
                <w:color w:val="1A1A1A"/>
                <w:sz w:val="16"/>
              </w:rPr>
              <w:t>bbad7e518d7af88a0897397ffdca1979</w:t>
            </w:r>
          </w:p>
        </w:tc>
        <w:tc>
          <w:tcPr>
            <w:tcW w:type="dxa" w:w="576"/>
            <w:shd w:val="clear" w:color="auto" w:fill="FFFFFF"/>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SP</w:t>
            </w:r>
          </w:p>
        </w:tc>
        <w:tc>
          <w:tcPr>
            <w:tcW w:type="dxa" w:w="648"/>
            <w:shd w:val="clear" w:color="auto" w:fill="FFFFFF"/>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38</w:t>
            </w:r>
          </w:p>
        </w:tc>
        <w:tc>
          <w:tcPr>
            <w:tcW w:type="dxa" w:w="1080"/>
            <w:shd w:val="clear" w:color="auto" w:fill="FFFFFF"/>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9/38</w:t>
            </w:r>
          </w:p>
        </w:tc>
        <w:tc>
          <w:tcPr>
            <w:tcW w:type="dxa" w:w="1008"/>
            <w:shd w:val="clear" w:color="auto" w:fill="FFFFFF"/>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0.237</w:t>
            </w:r>
          </w:p>
        </w:tc>
        <w:tc>
          <w:tcPr>
            <w:tcW w:type="dxa" w:w="1008"/>
            <w:shd w:val="clear" w:color="auto" w:fill="FFFFFF"/>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0.237</w:t>
            </w:r>
          </w:p>
        </w:tc>
      </w:tr>
      <w:tr>
        <w:tc>
          <w:tcPr>
            <w:tcW w:type="dxa" w:w="792"/>
            <w:shd w:val="clear" w:color="auto" w:fill="EEF3F6"/>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9</w:t>
            </w:r>
          </w:p>
        </w:tc>
        <w:tc>
          <w:tcPr>
            <w:tcW w:type="dxa" w:w="5112"/>
            <w:shd w:val="clear" w:color="auto" w:fill="EEF3F6"/>
            <w:tcBorders>
              <w:top w:val="single" w:sz="4" w:space="0" w:color="C9C3B8"/>
              <w:left w:val="single" w:sz="4" w:space="0" w:color="C9C3B8"/>
              <w:bottom w:val="single" w:sz="4" w:space="0" w:color="C9C3B8"/>
              <w:right w:val="single" w:sz="4" w:space="0" w:color="C9C3B8"/>
            </w:tcBorders>
          </w:tcPr>
          <w:p>
            <w:pPr>
              <w:spacing w:after="20" w:before="20"/>
              <w:jc w:val="left"/>
            </w:pPr>
            <w:r>
              <w:rPr>
                <w:rFonts w:ascii="Consolas" w:hAnsi="Consolas" w:eastAsia="Consolas" w:cs="Consolas"/>
                <w:color w:val="1A1A1A"/>
                <w:sz w:val="16"/>
              </w:rPr>
              <w:t>beadbee30901a7f61d031b6b686095ad</w:t>
            </w:r>
          </w:p>
        </w:tc>
        <w:tc>
          <w:tcPr>
            <w:tcW w:type="dxa" w:w="576"/>
            <w:shd w:val="clear" w:color="auto" w:fill="EEF3F6"/>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SP</w:t>
            </w:r>
          </w:p>
        </w:tc>
        <w:tc>
          <w:tcPr>
            <w:tcW w:type="dxa" w:w="648"/>
            <w:shd w:val="clear" w:color="auto" w:fill="EEF3F6"/>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64</w:t>
            </w:r>
          </w:p>
        </w:tc>
        <w:tc>
          <w:tcPr>
            <w:tcW w:type="dxa" w:w="1080"/>
            <w:shd w:val="clear" w:color="auto" w:fill="EEF3F6"/>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15/64</w:t>
            </w:r>
          </w:p>
        </w:tc>
        <w:tc>
          <w:tcPr>
            <w:tcW w:type="dxa" w:w="1008"/>
            <w:shd w:val="clear" w:color="auto" w:fill="EEF3F6"/>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0.234</w:t>
            </w:r>
          </w:p>
        </w:tc>
        <w:tc>
          <w:tcPr>
            <w:tcW w:type="dxa" w:w="1008"/>
            <w:shd w:val="clear" w:color="auto" w:fill="EEF3F6"/>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0.250</w:t>
            </w:r>
          </w:p>
        </w:tc>
      </w:tr>
      <w:tr>
        <w:tc>
          <w:tcPr>
            <w:tcW w:type="dxa" w:w="792"/>
            <w:shd w:val="clear" w:color="auto" w:fill="FFFFFF"/>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11</w:t>
            </w:r>
          </w:p>
        </w:tc>
        <w:tc>
          <w:tcPr>
            <w:tcW w:type="dxa" w:w="5112"/>
            <w:shd w:val="clear" w:color="auto" w:fill="FFFFFF"/>
            <w:tcBorders>
              <w:top w:val="single" w:sz="4" w:space="0" w:color="C9C3B8"/>
              <w:left w:val="single" w:sz="4" w:space="0" w:color="C9C3B8"/>
              <w:bottom w:val="single" w:sz="4" w:space="0" w:color="C9C3B8"/>
              <w:right w:val="single" w:sz="4" w:space="0" w:color="C9C3B8"/>
            </w:tcBorders>
          </w:tcPr>
          <w:p>
            <w:pPr>
              <w:spacing w:after="20" w:before="20"/>
              <w:jc w:val="left"/>
            </w:pPr>
            <w:r>
              <w:rPr>
                <w:rFonts w:ascii="Consolas" w:hAnsi="Consolas" w:eastAsia="Consolas" w:cs="Consolas"/>
                <w:color w:val="1A1A1A"/>
                <w:sz w:val="16"/>
              </w:rPr>
              <w:t>ef990a83bbea832f36ebe81376335aa8</w:t>
            </w:r>
          </w:p>
        </w:tc>
        <w:tc>
          <w:tcPr>
            <w:tcW w:type="dxa" w:w="576"/>
            <w:shd w:val="clear" w:color="auto" w:fill="FFFFFF"/>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SC</w:t>
            </w:r>
          </w:p>
        </w:tc>
        <w:tc>
          <w:tcPr>
            <w:tcW w:type="dxa" w:w="648"/>
            <w:shd w:val="clear" w:color="auto" w:fill="FFFFFF"/>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36</w:t>
            </w:r>
          </w:p>
        </w:tc>
        <w:tc>
          <w:tcPr>
            <w:tcW w:type="dxa" w:w="1080"/>
            <w:shd w:val="clear" w:color="auto" w:fill="FFFFFF"/>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8/36</w:t>
            </w:r>
          </w:p>
        </w:tc>
        <w:tc>
          <w:tcPr>
            <w:tcW w:type="dxa" w:w="1008"/>
            <w:shd w:val="clear" w:color="auto" w:fill="FFFFFF"/>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0.222</w:t>
            </w:r>
          </w:p>
        </w:tc>
        <w:tc>
          <w:tcPr>
            <w:tcW w:type="dxa" w:w="1008"/>
            <w:shd w:val="clear" w:color="auto" w:fill="FFFFFF"/>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0.278</w:t>
            </w:r>
          </w:p>
        </w:tc>
      </w:tr>
      <w:tr>
        <w:tc>
          <w:tcPr>
            <w:tcW w:type="dxa" w:w="792"/>
            <w:shd w:val="clear" w:color="auto" w:fill="EEF3F6"/>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12</w:t>
            </w:r>
          </w:p>
        </w:tc>
        <w:tc>
          <w:tcPr>
            <w:tcW w:type="dxa" w:w="5112"/>
            <w:shd w:val="clear" w:color="auto" w:fill="EEF3F6"/>
            <w:tcBorders>
              <w:top w:val="single" w:sz="4" w:space="0" w:color="C9C3B8"/>
              <w:left w:val="single" w:sz="4" w:space="0" w:color="C9C3B8"/>
              <w:bottom w:val="single" w:sz="4" w:space="0" w:color="C9C3B8"/>
              <w:right w:val="single" w:sz="4" w:space="0" w:color="C9C3B8"/>
            </w:tcBorders>
          </w:tcPr>
          <w:p>
            <w:pPr>
              <w:spacing w:after="20" w:before="20"/>
              <w:jc w:val="left"/>
            </w:pPr>
            <w:r>
              <w:rPr>
                <w:rFonts w:ascii="Consolas" w:hAnsi="Consolas" w:eastAsia="Consolas" w:cs="Consolas"/>
                <w:color w:val="1A1A1A"/>
                <w:sz w:val="16"/>
              </w:rPr>
              <w:t>1ca7077d890b907f89be8c954a02686a</w:t>
            </w:r>
          </w:p>
        </w:tc>
        <w:tc>
          <w:tcPr>
            <w:tcW w:type="dxa" w:w="576"/>
            <w:shd w:val="clear" w:color="auto" w:fill="EEF3F6"/>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SP</w:t>
            </w:r>
          </w:p>
        </w:tc>
        <w:tc>
          <w:tcPr>
            <w:tcW w:type="dxa" w:w="648"/>
            <w:shd w:val="clear" w:color="auto" w:fill="EEF3F6"/>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56</w:t>
            </w:r>
          </w:p>
        </w:tc>
        <w:tc>
          <w:tcPr>
            <w:tcW w:type="dxa" w:w="1080"/>
            <w:shd w:val="clear" w:color="auto" w:fill="EEF3F6"/>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12/56</w:t>
            </w:r>
          </w:p>
        </w:tc>
        <w:tc>
          <w:tcPr>
            <w:tcW w:type="dxa" w:w="1008"/>
            <w:shd w:val="clear" w:color="auto" w:fill="EEF3F6"/>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0.214</w:t>
            </w:r>
          </w:p>
        </w:tc>
        <w:tc>
          <w:tcPr>
            <w:tcW w:type="dxa" w:w="1008"/>
            <w:shd w:val="clear" w:color="auto" w:fill="EEF3F6"/>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0.268</w:t>
            </w:r>
          </w:p>
        </w:tc>
      </w:tr>
      <w:tr>
        <w:tc>
          <w:tcPr>
            <w:tcW w:type="dxa" w:w="792"/>
            <w:shd w:val="clear" w:color="auto" w:fill="FFFFFF"/>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14</w:t>
            </w:r>
          </w:p>
        </w:tc>
        <w:tc>
          <w:tcPr>
            <w:tcW w:type="dxa" w:w="5112"/>
            <w:shd w:val="clear" w:color="auto" w:fill="FFFFFF"/>
            <w:tcBorders>
              <w:top w:val="single" w:sz="4" w:space="0" w:color="C9C3B8"/>
              <w:left w:val="single" w:sz="4" w:space="0" w:color="C9C3B8"/>
              <w:bottom w:val="single" w:sz="4" w:space="0" w:color="C9C3B8"/>
              <w:right w:val="single" w:sz="4" w:space="0" w:color="C9C3B8"/>
            </w:tcBorders>
          </w:tcPr>
          <w:p>
            <w:pPr>
              <w:spacing w:after="20" w:before="20"/>
              <w:jc w:val="left"/>
            </w:pPr>
            <w:r>
              <w:rPr>
                <w:rFonts w:ascii="Consolas" w:hAnsi="Consolas" w:eastAsia="Consolas" w:cs="Consolas"/>
                <w:color w:val="1A1A1A"/>
                <w:sz w:val="16"/>
              </w:rPr>
              <w:t>abe42c5d03695b4257b5c6cbf4e6784e</w:t>
            </w:r>
          </w:p>
        </w:tc>
        <w:tc>
          <w:tcPr>
            <w:tcW w:type="dxa" w:w="576"/>
            <w:shd w:val="clear" w:color="auto" w:fill="FFFFFF"/>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RJ</w:t>
            </w:r>
          </w:p>
        </w:tc>
        <w:tc>
          <w:tcPr>
            <w:tcW w:type="dxa" w:w="648"/>
            <w:shd w:val="clear" w:color="auto" w:fill="FFFFFF"/>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34</w:t>
            </w:r>
          </w:p>
        </w:tc>
        <w:tc>
          <w:tcPr>
            <w:tcW w:type="dxa" w:w="1080"/>
            <w:shd w:val="clear" w:color="auto" w:fill="FFFFFF"/>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7/34</w:t>
            </w:r>
          </w:p>
        </w:tc>
        <w:tc>
          <w:tcPr>
            <w:tcW w:type="dxa" w:w="1008"/>
            <w:shd w:val="clear" w:color="auto" w:fill="FFFFFF"/>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0.206</w:t>
            </w:r>
          </w:p>
        </w:tc>
        <w:tc>
          <w:tcPr>
            <w:tcW w:type="dxa" w:w="1008"/>
            <w:shd w:val="clear" w:color="auto" w:fill="FFFFFF"/>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0.206</w:t>
            </w:r>
          </w:p>
        </w:tc>
      </w:tr>
      <w:tr>
        <w:tc>
          <w:tcPr>
            <w:tcW w:type="dxa" w:w="792"/>
            <w:shd w:val="clear" w:color="auto" w:fill="EEF3F6"/>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15</w:t>
            </w:r>
          </w:p>
        </w:tc>
        <w:tc>
          <w:tcPr>
            <w:tcW w:type="dxa" w:w="5112"/>
            <w:shd w:val="clear" w:color="auto" w:fill="EEF3F6"/>
            <w:tcBorders>
              <w:top w:val="single" w:sz="4" w:space="0" w:color="C9C3B8"/>
              <w:left w:val="single" w:sz="4" w:space="0" w:color="C9C3B8"/>
              <w:bottom w:val="single" w:sz="4" w:space="0" w:color="C9C3B8"/>
              <w:right w:val="single" w:sz="4" w:space="0" w:color="C9C3B8"/>
            </w:tcBorders>
          </w:tcPr>
          <w:p>
            <w:pPr>
              <w:spacing w:after="20" w:before="20"/>
              <w:jc w:val="left"/>
            </w:pPr>
            <w:r>
              <w:rPr>
                <w:rFonts w:ascii="Consolas" w:hAnsi="Consolas" w:eastAsia="Consolas" w:cs="Consolas"/>
                <w:color w:val="1A1A1A"/>
                <w:sz w:val="16"/>
              </w:rPr>
              <w:t>729f06993dac8e860d4f02d7088ca48a</w:t>
            </w:r>
          </w:p>
        </w:tc>
        <w:tc>
          <w:tcPr>
            <w:tcW w:type="dxa" w:w="576"/>
            <w:shd w:val="clear" w:color="auto" w:fill="EEF3F6"/>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SP</w:t>
            </w:r>
          </w:p>
        </w:tc>
        <w:tc>
          <w:tcPr>
            <w:tcW w:type="dxa" w:w="648"/>
            <w:shd w:val="clear" w:color="auto" w:fill="EEF3F6"/>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45</w:t>
            </w:r>
          </w:p>
        </w:tc>
        <w:tc>
          <w:tcPr>
            <w:tcW w:type="dxa" w:w="1080"/>
            <w:shd w:val="clear" w:color="auto" w:fill="EEF3F6"/>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9/45</w:t>
            </w:r>
          </w:p>
        </w:tc>
        <w:tc>
          <w:tcPr>
            <w:tcW w:type="dxa" w:w="1008"/>
            <w:shd w:val="clear" w:color="auto" w:fill="EEF3F6"/>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0.200</w:t>
            </w:r>
          </w:p>
        </w:tc>
        <w:tc>
          <w:tcPr>
            <w:tcW w:type="dxa" w:w="1008"/>
            <w:shd w:val="clear" w:color="auto" w:fill="EEF3F6"/>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0.222</w:t>
            </w:r>
          </w:p>
        </w:tc>
      </w:tr>
      <w:tr>
        <w:tc>
          <w:tcPr>
            <w:tcW w:type="dxa" w:w="792"/>
            <w:shd w:val="clear" w:color="auto" w:fill="FFFFFF"/>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16</w:t>
            </w:r>
          </w:p>
        </w:tc>
        <w:tc>
          <w:tcPr>
            <w:tcW w:type="dxa" w:w="5112"/>
            <w:shd w:val="clear" w:color="auto" w:fill="FFFFFF"/>
            <w:tcBorders>
              <w:top w:val="single" w:sz="4" w:space="0" w:color="C9C3B8"/>
              <w:left w:val="single" w:sz="4" w:space="0" w:color="C9C3B8"/>
              <w:bottom w:val="single" w:sz="4" w:space="0" w:color="C9C3B8"/>
              <w:right w:val="single" w:sz="4" w:space="0" w:color="C9C3B8"/>
            </w:tcBorders>
          </w:tcPr>
          <w:p>
            <w:pPr>
              <w:spacing w:after="20" w:before="20"/>
              <w:jc w:val="left"/>
            </w:pPr>
            <w:r>
              <w:rPr>
                <w:rFonts w:ascii="Consolas" w:hAnsi="Consolas" w:eastAsia="Consolas" w:cs="Consolas"/>
                <w:color w:val="1A1A1A"/>
                <w:sz w:val="16"/>
              </w:rPr>
              <w:t>ea566164622c6b439516ab18062c42cd</w:t>
            </w:r>
          </w:p>
        </w:tc>
        <w:tc>
          <w:tcPr>
            <w:tcW w:type="dxa" w:w="576"/>
            <w:shd w:val="clear" w:color="auto" w:fill="FFFFFF"/>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SP</w:t>
            </w:r>
          </w:p>
        </w:tc>
        <w:tc>
          <w:tcPr>
            <w:tcW w:type="dxa" w:w="648"/>
            <w:shd w:val="clear" w:color="auto" w:fill="FFFFFF"/>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46</w:t>
            </w:r>
          </w:p>
        </w:tc>
        <w:tc>
          <w:tcPr>
            <w:tcW w:type="dxa" w:w="1080"/>
            <w:shd w:val="clear" w:color="auto" w:fill="FFFFFF"/>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9/46</w:t>
            </w:r>
          </w:p>
        </w:tc>
        <w:tc>
          <w:tcPr>
            <w:tcW w:type="dxa" w:w="1008"/>
            <w:shd w:val="clear" w:color="auto" w:fill="FFFFFF"/>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0.196</w:t>
            </w:r>
          </w:p>
        </w:tc>
        <w:tc>
          <w:tcPr>
            <w:tcW w:type="dxa" w:w="1008"/>
            <w:shd w:val="clear" w:color="auto" w:fill="FFFFFF"/>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0.217</w:t>
            </w:r>
          </w:p>
        </w:tc>
      </w:tr>
      <w:tr>
        <w:tc>
          <w:tcPr>
            <w:tcW w:type="dxa" w:w="792"/>
            <w:shd w:val="clear" w:color="auto" w:fill="EEF3F6"/>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17</w:t>
            </w:r>
          </w:p>
        </w:tc>
        <w:tc>
          <w:tcPr>
            <w:tcW w:type="dxa" w:w="5112"/>
            <w:shd w:val="clear" w:color="auto" w:fill="EEF3F6"/>
            <w:tcBorders>
              <w:top w:val="single" w:sz="4" w:space="0" w:color="C9C3B8"/>
              <w:left w:val="single" w:sz="4" w:space="0" w:color="C9C3B8"/>
              <w:bottom w:val="single" w:sz="4" w:space="0" w:color="C9C3B8"/>
              <w:right w:val="single" w:sz="4" w:space="0" w:color="C9C3B8"/>
            </w:tcBorders>
          </w:tcPr>
          <w:p>
            <w:pPr>
              <w:spacing w:after="20" w:before="20"/>
              <w:jc w:val="left"/>
            </w:pPr>
            <w:r>
              <w:rPr>
                <w:rFonts w:ascii="Consolas" w:hAnsi="Consolas" w:eastAsia="Consolas" w:cs="Consolas"/>
                <w:color w:val="1A1A1A"/>
                <w:sz w:val="16"/>
              </w:rPr>
              <w:t>e5a3438891c0bfdb9394643f95273d8e</w:t>
            </w:r>
          </w:p>
        </w:tc>
        <w:tc>
          <w:tcPr>
            <w:tcW w:type="dxa" w:w="576"/>
            <w:shd w:val="clear" w:color="auto" w:fill="EEF3F6"/>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SP</w:t>
            </w:r>
          </w:p>
        </w:tc>
        <w:tc>
          <w:tcPr>
            <w:tcW w:type="dxa" w:w="648"/>
            <w:shd w:val="clear" w:color="auto" w:fill="EEF3F6"/>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105</w:t>
            </w:r>
          </w:p>
        </w:tc>
        <w:tc>
          <w:tcPr>
            <w:tcW w:type="dxa" w:w="1080"/>
            <w:shd w:val="clear" w:color="auto" w:fill="EEF3F6"/>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20/105</w:t>
            </w:r>
          </w:p>
        </w:tc>
        <w:tc>
          <w:tcPr>
            <w:tcW w:type="dxa" w:w="1008"/>
            <w:shd w:val="clear" w:color="auto" w:fill="EEF3F6"/>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0.190</w:t>
            </w:r>
          </w:p>
        </w:tc>
        <w:tc>
          <w:tcPr>
            <w:tcW w:type="dxa" w:w="1008"/>
            <w:shd w:val="clear" w:color="auto" w:fill="EEF3F6"/>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0.210</w:t>
            </w:r>
          </w:p>
        </w:tc>
      </w:tr>
      <w:tr>
        <w:tc>
          <w:tcPr>
            <w:tcW w:type="dxa" w:w="792"/>
            <w:shd w:val="clear" w:color="auto" w:fill="FFFFFF"/>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18</w:t>
            </w:r>
          </w:p>
        </w:tc>
        <w:tc>
          <w:tcPr>
            <w:tcW w:type="dxa" w:w="5112"/>
            <w:shd w:val="clear" w:color="auto" w:fill="FFFFFF"/>
            <w:tcBorders>
              <w:top w:val="single" w:sz="4" w:space="0" w:color="C9C3B8"/>
              <w:left w:val="single" w:sz="4" w:space="0" w:color="C9C3B8"/>
              <w:bottom w:val="single" w:sz="4" w:space="0" w:color="C9C3B8"/>
              <w:right w:val="single" w:sz="4" w:space="0" w:color="C9C3B8"/>
            </w:tcBorders>
          </w:tcPr>
          <w:p>
            <w:pPr>
              <w:spacing w:after="20" w:before="20"/>
              <w:jc w:val="left"/>
            </w:pPr>
            <w:r>
              <w:rPr>
                <w:rFonts w:ascii="Consolas" w:hAnsi="Consolas" w:eastAsia="Consolas" w:cs="Consolas"/>
                <w:color w:val="1A1A1A"/>
                <w:sz w:val="16"/>
              </w:rPr>
              <w:t>06a2c3af7b3aee5d69171b0e14f0ee87</w:t>
            </w:r>
          </w:p>
        </w:tc>
        <w:tc>
          <w:tcPr>
            <w:tcW w:type="dxa" w:w="576"/>
            <w:shd w:val="clear" w:color="auto" w:fill="FFFFFF"/>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MA</w:t>
            </w:r>
          </w:p>
        </w:tc>
        <w:tc>
          <w:tcPr>
            <w:tcW w:type="dxa" w:w="648"/>
            <w:shd w:val="clear" w:color="auto" w:fill="FFFFFF"/>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389</w:t>
            </w:r>
          </w:p>
        </w:tc>
        <w:tc>
          <w:tcPr>
            <w:tcW w:type="dxa" w:w="1080"/>
            <w:shd w:val="clear" w:color="auto" w:fill="FFFFFF"/>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74/389</w:t>
            </w:r>
          </w:p>
        </w:tc>
        <w:tc>
          <w:tcPr>
            <w:tcW w:type="dxa" w:w="1008"/>
            <w:shd w:val="clear" w:color="auto" w:fill="FFFFFF"/>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0.190</w:t>
            </w:r>
          </w:p>
        </w:tc>
        <w:tc>
          <w:tcPr>
            <w:tcW w:type="dxa" w:w="1008"/>
            <w:shd w:val="clear" w:color="auto" w:fill="FFFFFF"/>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0.231</w:t>
            </w:r>
          </w:p>
        </w:tc>
      </w:tr>
      <w:tr>
        <w:tc>
          <w:tcPr>
            <w:tcW w:type="dxa" w:w="792"/>
            <w:shd w:val="clear" w:color="auto" w:fill="EEF3F6"/>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26</w:t>
            </w:r>
          </w:p>
        </w:tc>
        <w:tc>
          <w:tcPr>
            <w:tcW w:type="dxa" w:w="5112"/>
            <w:shd w:val="clear" w:color="auto" w:fill="EEF3F6"/>
            <w:tcBorders>
              <w:top w:val="single" w:sz="4" w:space="0" w:color="C9C3B8"/>
              <w:left w:val="single" w:sz="4" w:space="0" w:color="C9C3B8"/>
              <w:bottom w:val="single" w:sz="4" w:space="0" w:color="C9C3B8"/>
              <w:right w:val="single" w:sz="4" w:space="0" w:color="C9C3B8"/>
            </w:tcBorders>
          </w:tcPr>
          <w:p>
            <w:pPr>
              <w:spacing w:after="20" w:before="20"/>
              <w:jc w:val="left"/>
            </w:pPr>
            <w:r>
              <w:rPr>
                <w:rFonts w:ascii="Consolas" w:hAnsi="Consolas" w:eastAsia="Consolas" w:cs="Consolas"/>
                <w:color w:val="1A1A1A"/>
                <w:sz w:val="16"/>
              </w:rPr>
              <w:t>e9d99831abad74458942f21e16f33f92</w:t>
            </w:r>
          </w:p>
        </w:tc>
        <w:tc>
          <w:tcPr>
            <w:tcW w:type="dxa" w:w="576"/>
            <w:shd w:val="clear" w:color="auto" w:fill="EEF3F6"/>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SP</w:t>
            </w:r>
          </w:p>
        </w:tc>
        <w:tc>
          <w:tcPr>
            <w:tcW w:type="dxa" w:w="648"/>
            <w:shd w:val="clear" w:color="auto" w:fill="EEF3F6"/>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32</w:t>
            </w:r>
          </w:p>
        </w:tc>
        <w:tc>
          <w:tcPr>
            <w:tcW w:type="dxa" w:w="1080"/>
            <w:shd w:val="clear" w:color="auto" w:fill="EEF3F6"/>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5/32</w:t>
            </w:r>
          </w:p>
        </w:tc>
        <w:tc>
          <w:tcPr>
            <w:tcW w:type="dxa" w:w="1008"/>
            <w:shd w:val="clear" w:color="auto" w:fill="EEF3F6"/>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0.156</w:t>
            </w:r>
          </w:p>
        </w:tc>
        <w:tc>
          <w:tcPr>
            <w:tcW w:type="dxa" w:w="1008"/>
            <w:shd w:val="clear" w:color="auto" w:fill="EEF3F6"/>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0.188</w:t>
            </w:r>
          </w:p>
        </w:tc>
      </w:tr>
      <w:tr>
        <w:tc>
          <w:tcPr>
            <w:tcW w:type="dxa" w:w="792"/>
            <w:shd w:val="clear" w:color="auto" w:fill="FFFFFF"/>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28</w:t>
            </w:r>
          </w:p>
        </w:tc>
        <w:tc>
          <w:tcPr>
            <w:tcW w:type="dxa" w:w="5112"/>
            <w:shd w:val="clear" w:color="auto" w:fill="FFFFFF"/>
            <w:tcBorders>
              <w:top w:val="single" w:sz="4" w:space="0" w:color="C9C3B8"/>
              <w:left w:val="single" w:sz="4" w:space="0" w:color="C9C3B8"/>
              <w:bottom w:val="single" w:sz="4" w:space="0" w:color="C9C3B8"/>
              <w:right w:val="single" w:sz="4" w:space="0" w:color="C9C3B8"/>
            </w:tcBorders>
          </w:tcPr>
          <w:p>
            <w:pPr>
              <w:spacing w:after="20" w:before="20"/>
              <w:jc w:val="left"/>
            </w:pPr>
            <w:r>
              <w:rPr>
                <w:rFonts w:ascii="Consolas" w:hAnsi="Consolas" w:eastAsia="Consolas" w:cs="Consolas"/>
                <w:color w:val="1A1A1A"/>
                <w:sz w:val="16"/>
              </w:rPr>
              <w:t>c60b801f2d52c7f7f91de00870882a75</w:t>
            </w:r>
          </w:p>
        </w:tc>
        <w:tc>
          <w:tcPr>
            <w:tcW w:type="dxa" w:w="576"/>
            <w:shd w:val="clear" w:color="auto" w:fill="FFFFFF"/>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SP</w:t>
            </w:r>
          </w:p>
        </w:tc>
        <w:tc>
          <w:tcPr>
            <w:tcW w:type="dxa" w:w="648"/>
            <w:shd w:val="clear" w:color="auto" w:fill="FFFFFF"/>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39</w:t>
            </w:r>
          </w:p>
        </w:tc>
        <w:tc>
          <w:tcPr>
            <w:tcW w:type="dxa" w:w="1080"/>
            <w:shd w:val="clear" w:color="auto" w:fill="FFFFFF"/>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6/39</w:t>
            </w:r>
          </w:p>
        </w:tc>
        <w:tc>
          <w:tcPr>
            <w:tcW w:type="dxa" w:w="1008"/>
            <w:shd w:val="clear" w:color="auto" w:fill="FFFFFF"/>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0.154</w:t>
            </w:r>
          </w:p>
        </w:tc>
        <w:tc>
          <w:tcPr>
            <w:tcW w:type="dxa" w:w="1008"/>
            <w:shd w:val="clear" w:color="auto" w:fill="FFFFFF"/>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0.205</w:t>
            </w:r>
          </w:p>
        </w:tc>
      </w:tr>
      <w:tr>
        <w:tc>
          <w:tcPr>
            <w:tcW w:type="dxa" w:w="792"/>
            <w:shd w:val="clear" w:color="auto" w:fill="EEF3F6"/>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35</w:t>
            </w:r>
          </w:p>
        </w:tc>
        <w:tc>
          <w:tcPr>
            <w:tcW w:type="dxa" w:w="5112"/>
            <w:shd w:val="clear" w:color="auto" w:fill="EEF3F6"/>
            <w:tcBorders>
              <w:top w:val="single" w:sz="4" w:space="0" w:color="C9C3B8"/>
              <w:left w:val="single" w:sz="4" w:space="0" w:color="C9C3B8"/>
              <w:bottom w:val="single" w:sz="4" w:space="0" w:color="C9C3B8"/>
              <w:right w:val="single" w:sz="4" w:space="0" w:color="C9C3B8"/>
            </w:tcBorders>
          </w:tcPr>
          <w:p>
            <w:pPr>
              <w:spacing w:after="20" w:before="20"/>
              <w:jc w:val="left"/>
            </w:pPr>
            <w:r>
              <w:rPr>
                <w:rFonts w:ascii="Consolas" w:hAnsi="Consolas" w:eastAsia="Consolas" w:cs="Consolas"/>
                <w:color w:val="1A1A1A"/>
                <w:sz w:val="16"/>
              </w:rPr>
              <w:t>643214e62b870443ccbe55ab29a4dccf</w:t>
            </w:r>
          </w:p>
        </w:tc>
        <w:tc>
          <w:tcPr>
            <w:tcW w:type="dxa" w:w="576"/>
            <w:shd w:val="clear" w:color="auto" w:fill="EEF3F6"/>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SP</w:t>
            </w:r>
          </w:p>
        </w:tc>
        <w:tc>
          <w:tcPr>
            <w:tcW w:type="dxa" w:w="648"/>
            <w:shd w:val="clear" w:color="auto" w:fill="EEF3F6"/>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48</w:t>
            </w:r>
          </w:p>
        </w:tc>
        <w:tc>
          <w:tcPr>
            <w:tcW w:type="dxa" w:w="1080"/>
            <w:shd w:val="clear" w:color="auto" w:fill="EEF3F6"/>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7/48</w:t>
            </w:r>
          </w:p>
        </w:tc>
        <w:tc>
          <w:tcPr>
            <w:tcW w:type="dxa" w:w="1008"/>
            <w:shd w:val="clear" w:color="auto" w:fill="EEF3F6"/>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0.146</w:t>
            </w:r>
          </w:p>
        </w:tc>
        <w:tc>
          <w:tcPr>
            <w:tcW w:type="dxa" w:w="1008"/>
            <w:shd w:val="clear" w:color="auto" w:fill="EEF3F6"/>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0.167</w:t>
            </w:r>
          </w:p>
        </w:tc>
      </w:tr>
      <w:tr>
        <w:tc>
          <w:tcPr>
            <w:tcW w:type="dxa" w:w="792"/>
            <w:shd w:val="clear" w:color="auto" w:fill="FFFFFF"/>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36</w:t>
            </w:r>
          </w:p>
        </w:tc>
        <w:tc>
          <w:tcPr>
            <w:tcW w:type="dxa" w:w="5112"/>
            <w:shd w:val="clear" w:color="auto" w:fill="FFFFFF"/>
            <w:tcBorders>
              <w:top w:val="single" w:sz="4" w:space="0" w:color="C9C3B8"/>
              <w:left w:val="single" w:sz="4" w:space="0" w:color="C9C3B8"/>
              <w:bottom w:val="single" w:sz="4" w:space="0" w:color="C9C3B8"/>
              <w:right w:val="single" w:sz="4" w:space="0" w:color="C9C3B8"/>
            </w:tcBorders>
          </w:tcPr>
          <w:p>
            <w:pPr>
              <w:spacing w:after="20" w:before="20"/>
              <w:jc w:val="left"/>
            </w:pPr>
            <w:r>
              <w:rPr>
                <w:rFonts w:ascii="Consolas" w:hAnsi="Consolas" w:eastAsia="Consolas" w:cs="Consolas"/>
                <w:color w:val="1A1A1A"/>
                <w:sz w:val="16"/>
              </w:rPr>
              <w:t>8b9d6eec4a7eb7d0f9d579ce0b38324d</w:t>
            </w:r>
          </w:p>
        </w:tc>
        <w:tc>
          <w:tcPr>
            <w:tcW w:type="dxa" w:w="576"/>
            <w:shd w:val="clear" w:color="auto" w:fill="FFFFFF"/>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RJ</w:t>
            </w:r>
          </w:p>
        </w:tc>
        <w:tc>
          <w:tcPr>
            <w:tcW w:type="dxa" w:w="648"/>
            <w:shd w:val="clear" w:color="auto" w:fill="FFFFFF"/>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48</w:t>
            </w:r>
          </w:p>
        </w:tc>
        <w:tc>
          <w:tcPr>
            <w:tcW w:type="dxa" w:w="1080"/>
            <w:shd w:val="clear" w:color="auto" w:fill="FFFFFF"/>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7/48</w:t>
            </w:r>
          </w:p>
        </w:tc>
        <w:tc>
          <w:tcPr>
            <w:tcW w:type="dxa" w:w="1008"/>
            <w:shd w:val="clear" w:color="auto" w:fill="FFFFFF"/>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0.146</w:t>
            </w:r>
          </w:p>
        </w:tc>
        <w:tc>
          <w:tcPr>
            <w:tcW w:type="dxa" w:w="1008"/>
            <w:shd w:val="clear" w:color="auto" w:fill="FFFFFF"/>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0.167</w:t>
            </w:r>
          </w:p>
        </w:tc>
      </w:tr>
      <w:tr>
        <w:tc>
          <w:tcPr>
            <w:tcW w:type="dxa" w:w="792"/>
            <w:shd w:val="clear" w:color="auto" w:fill="EEF3F6"/>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37</w:t>
            </w:r>
          </w:p>
        </w:tc>
        <w:tc>
          <w:tcPr>
            <w:tcW w:type="dxa" w:w="5112"/>
            <w:shd w:val="clear" w:color="auto" w:fill="EEF3F6"/>
            <w:tcBorders>
              <w:top w:val="single" w:sz="4" w:space="0" w:color="C9C3B8"/>
              <w:left w:val="single" w:sz="4" w:space="0" w:color="C9C3B8"/>
              <w:bottom w:val="single" w:sz="4" w:space="0" w:color="C9C3B8"/>
              <w:right w:val="single" w:sz="4" w:space="0" w:color="C9C3B8"/>
            </w:tcBorders>
          </w:tcPr>
          <w:p>
            <w:pPr>
              <w:spacing w:after="20" w:before="20"/>
              <w:jc w:val="left"/>
            </w:pPr>
            <w:r>
              <w:rPr>
                <w:rFonts w:ascii="Consolas" w:hAnsi="Consolas" w:eastAsia="Consolas" w:cs="Consolas"/>
                <w:color w:val="1A1A1A"/>
                <w:sz w:val="16"/>
              </w:rPr>
              <w:t>8f2ce03f928b567e3d56181ae20ae952</w:t>
            </w:r>
          </w:p>
        </w:tc>
        <w:tc>
          <w:tcPr>
            <w:tcW w:type="dxa" w:w="576"/>
            <w:shd w:val="clear" w:color="auto" w:fill="EEF3F6"/>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SP</w:t>
            </w:r>
          </w:p>
        </w:tc>
        <w:tc>
          <w:tcPr>
            <w:tcW w:type="dxa" w:w="648"/>
            <w:shd w:val="clear" w:color="auto" w:fill="EEF3F6"/>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104</w:t>
            </w:r>
          </w:p>
        </w:tc>
        <w:tc>
          <w:tcPr>
            <w:tcW w:type="dxa" w:w="1080"/>
            <w:shd w:val="clear" w:color="auto" w:fill="EEF3F6"/>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15/104</w:t>
            </w:r>
          </w:p>
        </w:tc>
        <w:tc>
          <w:tcPr>
            <w:tcW w:type="dxa" w:w="1008"/>
            <w:shd w:val="clear" w:color="auto" w:fill="EEF3F6"/>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0.144</w:t>
            </w:r>
          </w:p>
        </w:tc>
        <w:tc>
          <w:tcPr>
            <w:tcW w:type="dxa" w:w="1008"/>
            <w:shd w:val="clear" w:color="auto" w:fill="EEF3F6"/>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0.163</w:t>
            </w:r>
          </w:p>
        </w:tc>
      </w:tr>
      <w:tr>
        <w:tc>
          <w:tcPr>
            <w:tcW w:type="dxa" w:w="792"/>
            <w:shd w:val="clear" w:color="auto" w:fill="FFFFFF"/>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38</w:t>
            </w:r>
          </w:p>
        </w:tc>
        <w:tc>
          <w:tcPr>
            <w:tcW w:type="dxa" w:w="5112"/>
            <w:shd w:val="clear" w:color="auto" w:fill="FFFFFF"/>
            <w:tcBorders>
              <w:top w:val="single" w:sz="4" w:space="0" w:color="C9C3B8"/>
              <w:left w:val="single" w:sz="4" w:space="0" w:color="C9C3B8"/>
              <w:bottom w:val="single" w:sz="4" w:space="0" w:color="C9C3B8"/>
              <w:right w:val="single" w:sz="4" w:space="0" w:color="C9C3B8"/>
            </w:tcBorders>
          </w:tcPr>
          <w:p>
            <w:pPr>
              <w:spacing w:after="20" w:before="20"/>
              <w:jc w:val="left"/>
            </w:pPr>
            <w:r>
              <w:rPr>
                <w:rFonts w:ascii="Consolas" w:hAnsi="Consolas" w:eastAsia="Consolas" w:cs="Consolas"/>
                <w:color w:val="1A1A1A"/>
                <w:sz w:val="16"/>
              </w:rPr>
              <w:t>f7ba60f8c3f99e7ee4042fdef03b70c4</w:t>
            </w:r>
          </w:p>
        </w:tc>
        <w:tc>
          <w:tcPr>
            <w:tcW w:type="dxa" w:w="576"/>
            <w:shd w:val="clear" w:color="auto" w:fill="FFFFFF"/>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SP</w:t>
            </w:r>
          </w:p>
        </w:tc>
        <w:tc>
          <w:tcPr>
            <w:tcW w:type="dxa" w:w="648"/>
            <w:shd w:val="clear" w:color="auto" w:fill="FFFFFF"/>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175</w:t>
            </w:r>
          </w:p>
        </w:tc>
        <w:tc>
          <w:tcPr>
            <w:tcW w:type="dxa" w:w="1080"/>
            <w:shd w:val="clear" w:color="auto" w:fill="FFFFFF"/>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25/175</w:t>
            </w:r>
          </w:p>
        </w:tc>
        <w:tc>
          <w:tcPr>
            <w:tcW w:type="dxa" w:w="1008"/>
            <w:shd w:val="clear" w:color="auto" w:fill="FFFFFF"/>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0.143</w:t>
            </w:r>
          </w:p>
        </w:tc>
        <w:tc>
          <w:tcPr>
            <w:tcW w:type="dxa" w:w="1008"/>
            <w:shd w:val="clear" w:color="auto" w:fill="FFFFFF"/>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0.160</w:t>
            </w:r>
          </w:p>
        </w:tc>
      </w:tr>
      <w:tr>
        <w:tc>
          <w:tcPr>
            <w:tcW w:type="dxa" w:w="792"/>
            <w:shd w:val="clear" w:color="auto" w:fill="EEF3F6"/>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39</w:t>
            </w:r>
          </w:p>
        </w:tc>
        <w:tc>
          <w:tcPr>
            <w:tcW w:type="dxa" w:w="5112"/>
            <w:shd w:val="clear" w:color="auto" w:fill="EEF3F6"/>
            <w:tcBorders>
              <w:top w:val="single" w:sz="4" w:space="0" w:color="C9C3B8"/>
              <w:left w:val="single" w:sz="4" w:space="0" w:color="C9C3B8"/>
              <w:bottom w:val="single" w:sz="4" w:space="0" w:color="C9C3B8"/>
              <w:right w:val="single" w:sz="4" w:space="0" w:color="C9C3B8"/>
            </w:tcBorders>
          </w:tcPr>
          <w:p>
            <w:pPr>
              <w:spacing w:after="20" w:before="20"/>
              <w:jc w:val="left"/>
            </w:pPr>
            <w:r>
              <w:rPr>
                <w:rFonts w:ascii="Consolas" w:hAnsi="Consolas" w:eastAsia="Consolas" w:cs="Consolas"/>
                <w:color w:val="1A1A1A"/>
                <w:sz w:val="16"/>
              </w:rPr>
              <w:t>2e90cb1677d35cfe24eef47d441b7c87</w:t>
            </w:r>
          </w:p>
        </w:tc>
        <w:tc>
          <w:tcPr>
            <w:tcW w:type="dxa" w:w="576"/>
            <w:shd w:val="clear" w:color="auto" w:fill="EEF3F6"/>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SP</w:t>
            </w:r>
          </w:p>
        </w:tc>
        <w:tc>
          <w:tcPr>
            <w:tcW w:type="dxa" w:w="648"/>
            <w:shd w:val="clear" w:color="auto" w:fill="EEF3F6"/>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84</w:t>
            </w:r>
          </w:p>
        </w:tc>
        <w:tc>
          <w:tcPr>
            <w:tcW w:type="dxa" w:w="1080"/>
            <w:shd w:val="clear" w:color="auto" w:fill="EEF3F6"/>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12/84</w:t>
            </w:r>
          </w:p>
        </w:tc>
        <w:tc>
          <w:tcPr>
            <w:tcW w:type="dxa" w:w="1008"/>
            <w:shd w:val="clear" w:color="auto" w:fill="EEF3F6"/>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0.143</w:t>
            </w:r>
          </w:p>
        </w:tc>
        <w:tc>
          <w:tcPr>
            <w:tcW w:type="dxa" w:w="1008"/>
            <w:shd w:val="clear" w:color="auto" w:fill="EEF3F6"/>
            <w:tcBorders>
              <w:top w:val="single" w:sz="4" w:space="0" w:color="C9C3B8"/>
              <w:left w:val="single" w:sz="4" w:space="0" w:color="C9C3B8"/>
              <w:bottom w:val="single" w:sz="4" w:space="0" w:color="C9C3B8"/>
              <w:right w:val="single" w:sz="4" w:space="0" w:color="C9C3B8"/>
            </w:tcBorders>
          </w:tcPr>
          <w:p>
            <w:pPr>
              <w:spacing w:after="20" w:before="20"/>
              <w:jc w:val="center"/>
            </w:pPr>
            <w:r>
              <w:rPr>
                <w:rFonts w:ascii="Calibri" w:hAnsi="Calibri" w:eastAsia="Calibri" w:cs="Calibri"/>
                <w:color w:val="1A1A1A"/>
                <w:sz w:val="16"/>
              </w:rPr>
              <w:t>0.155</w:t>
            </w:r>
          </w:p>
        </w:tc>
      </w:tr>
    </w:tbl>
    <w:p>
      <w:pPr>
        <w:spacing w:after="160" w:before="160" w:line="276" w:lineRule="auto"/>
        <w:jc w:val="left"/>
      </w:pPr>
      <w:r>
        <w:rPr>
          <w:rFonts w:ascii="Calibri" w:hAnsi="Calibri" w:eastAsia="Calibri" w:cs="Calibri"/>
          <w:b w:val="0"/>
          <w:color w:val="4A5563"/>
          <w:sz w:val="20"/>
        </w:rPr>
        <w:t>Best existing chart (do not reconstruct pixels): workbook sheet charts, Figure 1 — Seller LFR vs eligible volume with floor, peer bar, and action. File: results/2026-09-02/FulfillIQ_R_Evidence_2026-09-02.xlsx. Why: denominator and rate together, so Maya does not enroll a high rate with a tiny n, and 18 vs watch vs standard without hiding volume.</w:t>
      </w:r>
    </w:p>
    <w:p>
      <w:pPr>
        <w:spacing w:after="120" w:before="280" w:line="276" w:lineRule="auto"/>
        <w:jc w:val="left"/>
        <w:pBdr>
          <w:bottom w:val="single" w:sz="12" w:space="4" w:color="0F6C6C"/>
        </w:pBdr>
      </w:pPr>
      <w:r>
        <w:rPr>
          <w:rFonts w:ascii="Calibri" w:hAnsi="Calibri" w:eastAsia="Calibri" w:cs="Calibri"/>
          <w:b/>
          <w:color w:val="1B365D"/>
          <w:sz w:val="32"/>
        </w:rPr>
        <w:t>4. Recommendation</w:t>
      </w:r>
    </w:p>
    <w:p>
      <w:pPr>
        <w:spacing w:after="160" w:before="0" w:line="276" w:lineRule="auto"/>
        <w:jc w:val="both"/>
      </w:pPr>
      <w:r>
        <w:rPr>
          <w:rFonts w:ascii="Calibri" w:hAnsi="Calibri" w:eastAsia="Calibri" w:cs="Calibri"/>
          <w:b w:val="0"/>
          <w:color w:val="1A1A1A"/>
          <w:sz w:val="22"/>
        </w:rPr>
        <w:t>Proceed with Option A. Enroll the 18. Implementation: 30-day plan; do not fill empty cap slots; keep watch and inconclusive classified; no new KPI cuts. Monitoring: LFR as late_n/eligible_n; stop/review if precision would flip the action or volume collapses. Maya retains approval.</w:t>
      </w:r>
    </w:p>
    <w:p>
      <w:pPr>
        <w:spacing w:after="80" w:before="0" w:line="276" w:lineRule="auto"/>
        <w:jc w:val="left"/>
      </w:pPr>
      <w:r>
        <w:rPr>
          <w:rFonts w:ascii="Calibri" w:hAnsi="Calibri" w:eastAsia="Calibri" w:cs="Calibri"/>
          <w:b/>
          <w:color w:val="1A1A1A"/>
          <w:sz w:val="22"/>
        </w:rPr>
        <w:t>Three executive bullets</w:t>
      </w:r>
    </w:p>
    <w:p>
      <w:pPr>
        <w:pStyle w:val="ListBullet"/>
        <w:spacing w:after="80" w:before="0" w:line="276" w:lineRule="auto"/>
        <w:jc w:val="left"/>
      </w:pPr>
      <w:r>
        <w:rPr>
          <w:rFonts w:ascii="Calibri" w:hAnsi="Calibri" w:eastAsia="Calibri" w:cs="Calibri"/>
          <w:b w:val="0"/>
          <w:color w:val="1A1A1A"/>
          <w:sz w:val="22"/>
        </w:rPr>
        <w:t>Enroll the 18 P90-and-above sellers who cleared stability and precision screens; leave two ~20-cap slots empty.</w:t>
      </w:r>
    </w:p>
    <w:p>
      <w:pPr>
        <w:pStyle w:val="ListBullet"/>
        <w:spacing w:after="80" w:before="0" w:line="276" w:lineRule="auto"/>
        <w:jc w:val="left"/>
      </w:pPr>
      <w:r>
        <w:rPr>
          <w:rFonts w:ascii="Calibri" w:hAnsi="Calibri" w:eastAsia="Calibri" w:cs="Calibri"/>
          <w:b w:val="0"/>
          <w:color w:val="1A1A1A"/>
          <w:sz w:val="22"/>
        </w:rPr>
        <w:t>Do not pad; do not enroll the 99 P75 passers; 51 split-window and 36 precision-conflict sellers stay watch/inconclusive.</w:t>
      </w:r>
    </w:p>
    <w:p>
      <w:pPr>
        <w:pStyle w:val="ListBullet"/>
        <w:spacing w:after="80" w:before="0" w:line="276" w:lineRule="auto"/>
        <w:jc w:val="left"/>
      </w:pPr>
      <w:r>
        <w:rPr>
          <w:rFonts w:ascii="Calibri" w:hAnsi="Calibri" w:eastAsia="Calibri" w:cs="Calibri"/>
          <w:b w:val="0"/>
          <w:color w:val="1A1A1A"/>
          <w:sz w:val="22"/>
        </w:rPr>
        <w:t>This is targeting under locked 2018 delivered-order rules, not proof the 30-day plan will reduce lateness in 2026.</w:t>
      </w:r>
    </w:p>
    <w:p>
      <w:pPr>
        <w:spacing w:after="80" w:before="0" w:line="276" w:lineRule="auto"/>
        <w:jc w:val="left"/>
      </w:pPr>
      <w:r>
        <w:rPr>
          <w:rFonts w:ascii="Calibri" w:hAnsi="Calibri" w:eastAsia="Calibri" w:cs="Calibri"/>
          <w:b/>
          <w:color w:val="1A1A1A"/>
          <w:sz w:val="22"/>
        </w:rPr>
        <w:t>Three next actions</w:t>
      </w:r>
    </w:p>
    <w:p>
      <w:pPr>
        <w:pStyle w:val="ListBullet"/>
        <w:spacing w:after="80" w:before="0" w:line="276" w:lineRule="auto"/>
        <w:jc w:val="left"/>
      </w:pPr>
      <w:r>
        <w:rPr>
          <w:rFonts w:ascii="Calibri" w:hAnsi="Calibri" w:eastAsia="Calibri" w:cs="Calibri"/>
          <w:b w:val="0"/>
          <w:color w:val="1A1A1A"/>
          <w:sz w:val="22"/>
        </w:rPr>
        <w:t>Maya approve the 18 by 18 September 2026.</w:t>
      </w:r>
    </w:p>
    <w:p>
      <w:pPr>
        <w:pStyle w:val="ListBullet"/>
        <w:spacing w:after="80" w:before="0" w:line="276" w:lineRule="auto"/>
        <w:jc w:val="left"/>
      </w:pPr>
      <w:r>
        <w:rPr>
          <w:rFonts w:ascii="Calibri" w:hAnsi="Calibri" w:eastAsia="Calibri" w:cs="Calibri"/>
          <w:b w:val="0"/>
          <w:color w:val="1A1A1A"/>
          <w:sz w:val="22"/>
        </w:rPr>
        <w:t>Seller ops open 30-day plans; do not convert watch/inconclusive.</w:t>
      </w:r>
    </w:p>
    <w:p>
      <w:pPr>
        <w:pStyle w:val="ListBullet"/>
        <w:spacing w:after="80" w:before="0" w:line="276" w:lineRule="auto"/>
        <w:jc w:val="left"/>
      </w:pPr>
      <w:r>
        <w:rPr>
          <w:rFonts w:ascii="Calibri" w:hAnsi="Calibri" w:eastAsia="Calibri" w:cs="Calibri"/>
          <w:b w:val="0"/>
          <w:color w:val="1A1A1A"/>
          <w:sz w:val="22"/>
        </w:rPr>
        <w:t>Report late_n/eligible_n for the 18 during the plan; do not invent a new bar.</w:t>
      </w:r>
    </w:p>
    <w:p>
      <w:pPr>
        <w:spacing w:after="80" w:before="0" w:line="276" w:lineRule="auto"/>
        <w:jc w:val="left"/>
      </w:pPr>
      <w:r>
        <w:rPr>
          <w:rFonts w:ascii="Calibri" w:hAnsi="Calibri" w:eastAsia="Calibri" w:cs="Calibri"/>
          <w:b/>
          <w:color w:val="1A1A1A"/>
          <w:sz w:val="22"/>
        </w:rPr>
        <w:t>Options not selected as the statistical decision</w:t>
      </w:r>
    </w:p>
    <w:p>
      <w:pPr>
        <w:pStyle w:val="ListBullet"/>
        <w:spacing w:after="80" w:before="0" w:line="276" w:lineRule="auto"/>
        <w:jc w:val="left"/>
      </w:pPr>
      <w:r>
        <w:rPr>
          <w:rFonts w:ascii="Calibri" w:hAnsi="Calibri" w:eastAsia="Calibri" w:cs="Calibri"/>
          <w:b w:val="0"/>
          <w:color w:val="1A1A1A"/>
          <w:sz w:val="22"/>
        </w:rPr>
        <w:t>B enroll fewer: not a new statistical rule. Allowed only as a staffing contingency if Maya cannot run 18 plans. Do not invent a 10–11 cutoff.</w:t>
      </w:r>
    </w:p>
    <w:p>
      <w:pPr>
        <w:pStyle w:val="ListBullet"/>
        <w:spacing w:after="80" w:before="0" w:line="276" w:lineRule="auto"/>
        <w:jc w:val="left"/>
      </w:pPr>
      <w:r>
        <w:rPr>
          <w:rFonts w:ascii="Calibri" w:hAnsi="Calibri" w:eastAsia="Calibri" w:cs="Calibri"/>
          <w:b w:val="0"/>
          <w:color w:val="1A1A1A"/>
          <w:sz w:val="22"/>
        </w:rPr>
        <w:t>C enroll the P75 band: reject (raise_bar_to_p90=1; 99 &gt; 20). D pad to 20: reject. E enroll nobody: reject (operational null not supported). F defer: reject as default. G offboarding: out of scope.</w:t>
      </w:r>
    </w:p>
    <w:p>
      <w:pPr>
        <w:spacing w:after="120" w:before="280" w:line="276" w:lineRule="auto"/>
        <w:jc w:val="left"/>
        <w:pBdr>
          <w:bottom w:val="single" w:sz="12" w:space="4" w:color="0F6C6C"/>
        </w:pBdr>
      </w:pPr>
      <w:r>
        <w:rPr>
          <w:rFonts w:ascii="Calibri" w:hAnsi="Calibri" w:eastAsia="Calibri" w:cs="Calibri"/>
          <w:b/>
          <w:color w:val="1B365D"/>
          <w:sz w:val="32"/>
        </w:rPr>
        <w:t>5. Limitations and confidence</w:t>
      </w:r>
    </w:p>
    <w:p>
      <w:pPr>
        <w:spacing w:after="160" w:before="0" w:line="276" w:lineRule="auto"/>
        <w:jc w:val="both"/>
      </w:pPr>
      <w:r>
        <w:rPr>
          <w:rFonts w:ascii="Calibri" w:hAnsi="Calibri" w:eastAsia="Calibri" w:cs="Calibri"/>
          <w:b w:val="0"/>
          <w:color w:val="1A1A1A"/>
          <w:sz w:val="22"/>
        </w:rPr>
        <w:t>Confidence is MODERATE overall. HIGH on process and rule compliance (floor, raise-to-P90, action classes, QA pass, cap, no-pad). Lower on transporting the 2018 window to a September 2026 decision, and on small-n / P90-edge sellers inside the 18. Use high/moderate/low. Do not use x/10 scores.</w:t>
      </w:r>
    </w:p>
    <w:p>
      <w:pPr>
        <w:spacing w:after="160" w:before="0" w:line="276" w:lineRule="auto"/>
        <w:jc w:val="both"/>
      </w:pPr>
      <w:r>
        <w:rPr>
          <w:rFonts w:ascii="Calibri" w:hAnsi="Calibri" w:eastAsia="Calibri" w:cs="Calibri"/>
          <w:b w:val="0"/>
          <w:color w:val="1A1A1A"/>
          <w:sz w:val="22"/>
        </w:rPr>
        <w:t>Hypothesis (Stage 3) is SUPPORTED for the 18: volume floor, above P90 peer bar after raise, split-window not flagged, attribution OK (0 conflicts), precision did not flip action, cap respected. The operational null (nobody enrollable) is NOT supported. Do not claim a causal plan effect. Do not claim 2026 performance equals 2018.</w:t>
      </w:r>
    </w:p>
    <w:p>
      <w:pPr>
        <w:spacing w:after="80" w:before="0" w:line="276" w:lineRule="auto"/>
        <w:jc w:val="left"/>
      </w:pPr>
      <w:r>
        <w:rPr>
          <w:rFonts w:ascii="Calibri" w:hAnsi="Calibri" w:eastAsia="Calibri" w:cs="Calibri"/>
          <w:b/>
          <w:color w:val="1A1A1A"/>
          <w:sz w:val="22"/>
        </w:rPr>
        <w:t>Unresolved, not blocking A:</w:t>
      </w:r>
    </w:p>
    <w:p>
      <w:pPr>
        <w:pStyle w:val="ListBullet"/>
        <w:spacing w:after="80" w:before="0" w:line="276" w:lineRule="auto"/>
        <w:jc w:val="left"/>
      </w:pPr>
      <w:r>
        <w:rPr>
          <w:rFonts w:ascii="Calibri" w:hAnsi="Calibri" w:eastAsia="Calibri" w:cs="Calibri"/>
          <w:b w:val="0"/>
          <w:color w:val="1A1A1A"/>
          <w:sz w:val="22"/>
        </w:rPr>
        <w:t>No 40-to-18 cross-tab in the pack. ChatGPT is correct: 40 and 18 are facts; the path of the other 22 is not shown. Do not reconstruct ranking/weights.</w:t>
      </w:r>
    </w:p>
    <w:p>
      <w:pPr>
        <w:pStyle w:val="ListBullet"/>
        <w:spacing w:after="80" w:before="0" w:line="276" w:lineRule="auto"/>
        <w:jc w:val="left"/>
      </w:pPr>
      <w:r>
        <w:rPr>
          <w:rFonts w:ascii="Calibri" w:hAnsi="Calibri" w:eastAsia="Calibri" w:cs="Calibri"/>
          <w:b w:val="0"/>
          <w:color w:val="1A1A1A"/>
          <w:sz w:val="22"/>
        </w:rPr>
        <w:t>2018 evidence vs a 18 Sep 2026 decision: historical rule-satisfaction, not current propensity.</w:t>
      </w:r>
    </w:p>
    <w:p>
      <w:pPr>
        <w:pStyle w:val="ListBullet"/>
        <w:spacing w:after="80" w:before="0" w:line="276" w:lineRule="auto"/>
        <w:jc w:val="left"/>
      </w:pPr>
      <w:r>
        <w:rPr>
          <w:rFonts w:ascii="Calibri" w:hAnsi="Calibri" w:eastAsia="Calibri" w:cs="Calibri"/>
          <w:b w:val="0"/>
          <w:color w:val="1A1A1A"/>
          <w:sz w:val="22"/>
        </w:rPr>
        <w:t>Treatment effect of the 30-day plan is unknown.</w:t>
      </w:r>
    </w:p>
    <w:p>
      <w:pPr>
        <w:pStyle w:val="ListBullet"/>
        <w:spacing w:after="80" w:before="0" w:line="276" w:lineRule="auto"/>
        <w:jc w:val="left"/>
      </w:pPr>
      <w:r>
        <w:rPr>
          <w:rFonts w:ascii="Calibri" w:hAnsi="Calibri" w:eastAsia="Calibri" w:cs="Calibri"/>
          <w:b w:val="0"/>
          <w:color w:val="1A1A1A"/>
          <w:sz w:val="22"/>
        </w:rPr>
        <w:t>P90-edge and small-n fragility (including displayed 0.143 on 12/84, and n=32–39). Monitoring issue, not a rewritten bar.</w:t>
      </w:r>
    </w:p>
    <w:p>
      <w:pPr>
        <w:spacing w:after="160" w:before="0" w:line="276" w:lineRule="auto"/>
        <w:jc w:val="both"/>
      </w:pPr>
      <w:r>
        <w:rPr>
          <w:rFonts w:ascii="Calibri" w:hAnsi="Calibri" w:eastAsia="Calibri" w:cs="Calibri"/>
          <w:b w:val="0"/>
          <w:color w:val="1A1A1A"/>
          <w:sz w:val="22"/>
        </w:rPr>
        <w:t>Claims removed in coordinator merge (not majority vote; Stage 3 + executed results control): DeepSeek’s 40 trimmed by ranking/weights; ~3.1pp from one extra on-time delivery (wrong math: 5/32 vs 4/32 is ~3.1 if a late flips, not if n+1 on-time); 0.014pp above P90; 9.5/10 scores; “early offboarding”; “top 18 performers.” Grok’s implied 36+51 deducted from the 40 P90 (counts exceed 40; no cross-tab).</w:t>
      </w:r>
    </w:p>
    <w:p>
      <w:pPr>
        <w:spacing w:after="160" w:before="0" w:line="276" w:lineRule="auto"/>
        <w:jc w:val="both"/>
      </w:pPr>
      <w:r>
        <w:rPr>
          <w:rFonts w:ascii="Calibri" w:hAnsi="Calibri" w:eastAsia="Calibri" w:cs="Calibri"/>
          <w:b w:val="0"/>
          <w:color w:val="1A1A1A"/>
          <w:sz w:val="22"/>
        </w:rPr>
        <w:t>Remaining dissent after Round 2: all three remain on A. Dissent is about (B) as a staffing overlay and about reconstructing 40→18, not a different letter.</w:t>
      </w:r>
    </w:p>
    <w:p>
      <w:pPr>
        <w:spacing w:after="120" w:before="280" w:line="276" w:lineRule="auto"/>
        <w:jc w:val="left"/>
        <w:pBdr>
          <w:bottom w:val="single" w:sz="12" w:space="4" w:color="0F6C6C"/>
        </w:pBdr>
      </w:pPr>
      <w:r>
        <w:rPr>
          <w:rFonts w:ascii="Calibri" w:hAnsi="Calibri" w:eastAsia="Calibri" w:cs="Calibri"/>
          <w:b/>
          <w:color w:val="1B365D"/>
          <w:sz w:val="32"/>
        </w:rPr>
        <w:t>6. Human approval</w:t>
      </w:r>
    </w:p>
    <w:p>
      <w:pPr>
        <w:spacing w:after="160" w:before="0" w:line="276" w:lineRule="auto"/>
        <w:jc w:val="both"/>
      </w:pPr>
      <w:r>
        <w:rPr>
          <w:rFonts w:ascii="Calibri" w:hAnsi="Calibri" w:eastAsia="Calibri" w:cs="Calibri"/>
          <w:b w:val="0"/>
          <w:color w:val="1A1A1A"/>
          <w:sz w:val="22"/>
        </w:rPr>
        <w:t>The three-AI recommendation is decision support. It is not self-executing. Maya Chen, Director of Marketplace Seller Operations (or another authorized human) retains approval of which sellers, if any, enter the 30-day plan. Until the block below is signed, the 18 remain a recommended list, not an executed enrollment.</w:t>
      </w:r>
    </w:p>
    <w:tbl>
      <w:tblPr>
        <w:tblW w:type="auto" w:w="0"/>
        <w:tblLook w:firstColumn="1" w:firstRow="1" w:lastColumn="0" w:lastRow="0" w:noHBand="0" w:noVBand="1" w:val="04A0"/>
      </w:tblPr>
      <w:tblGrid>
        <w:gridCol w:w="4896"/>
        <w:gridCol w:w="4896"/>
      </w:tblGrid>
      <w:tr>
        <w:tc>
          <w:tcPr>
            <w:tcW w:type="dxa" w:w="4896"/>
            <w:tcBorders>
              <w:top w:val="single" w:sz="4" w:space="0" w:color="1B365D"/>
              <w:left w:val="single" w:sz="4" w:space="0" w:color="1B365D"/>
              <w:bottom w:val="single" w:sz="4" w:space="0" w:color="1B365D"/>
              <w:right w:val="single" w:sz="4" w:space="0" w:color="1B365D"/>
            </w:tcBorders>
            <w:shd w:val="clear" w:color="auto" w:fill="EEF3F6"/>
          </w:tcPr>
          <w:p>
            <w:pPr>
              <w:spacing w:after="80" w:before="80"/>
            </w:pPr>
            <w:r>
              <w:rPr>
                <w:rFonts w:ascii="Calibri" w:hAnsi="Calibri" w:eastAsia="Calibri" w:cs="Calibri"/>
                <w:b/>
                <w:color w:val="1B365D"/>
                <w:sz w:val="20"/>
              </w:rPr>
              <w:t>Recommended action</w:t>
            </w:r>
          </w:p>
        </w:tc>
        <w:tc>
          <w:tcPr>
            <w:tcW w:type="dxa" w:w="4896"/>
            <w:tcBorders>
              <w:top w:val="single" w:sz="4" w:space="0" w:color="1B365D"/>
              <w:left w:val="single" w:sz="4" w:space="0" w:color="1B365D"/>
              <w:bottom w:val="single" w:sz="4" w:space="0" w:color="1B365D"/>
              <w:right w:val="single" w:sz="4" w:space="0" w:color="1B365D"/>
            </w:tcBorders>
            <w:shd w:val="clear" w:color="auto" w:fill="FFFFFF"/>
          </w:tcPr>
          <w:p>
            <w:pPr>
              <w:spacing w:after="80" w:before="80"/>
            </w:pPr>
            <w:r>
              <w:rPr>
                <w:rFonts w:ascii="Calibri" w:hAnsi="Calibri" w:eastAsia="Calibri" w:cs="Calibri"/>
                <w:b w:val="0"/>
                <w:color w:val="1A1A1A"/>
                <w:sz w:val="20"/>
              </w:rPr>
              <w:t>Option A — enroll the 18</w:t>
            </w:r>
          </w:p>
        </w:tc>
      </w:tr>
      <w:tr>
        <w:tc>
          <w:tcPr>
            <w:tcW w:type="dxa" w:w="4896"/>
            <w:tcBorders>
              <w:top w:val="single" w:sz="4" w:space="0" w:color="1B365D"/>
              <w:left w:val="single" w:sz="4" w:space="0" w:color="1B365D"/>
              <w:bottom w:val="single" w:sz="4" w:space="0" w:color="1B365D"/>
              <w:right w:val="single" w:sz="4" w:space="0" w:color="1B365D"/>
            </w:tcBorders>
            <w:shd w:val="clear" w:color="auto" w:fill="EEF3F6"/>
          </w:tcPr>
          <w:p>
            <w:pPr>
              <w:spacing w:after="80" w:before="80"/>
            </w:pPr>
            <w:r>
              <w:rPr>
                <w:rFonts w:ascii="Calibri" w:hAnsi="Calibri" w:eastAsia="Calibri" w:cs="Calibri"/>
                <w:b/>
                <w:color w:val="1B365D"/>
                <w:sz w:val="20"/>
              </w:rPr>
              <w:t>Decision owner</w:t>
            </w:r>
          </w:p>
        </w:tc>
        <w:tc>
          <w:tcPr>
            <w:tcW w:type="dxa" w:w="4896"/>
            <w:tcBorders>
              <w:top w:val="single" w:sz="4" w:space="0" w:color="1B365D"/>
              <w:left w:val="single" w:sz="4" w:space="0" w:color="1B365D"/>
              <w:bottom w:val="single" w:sz="4" w:space="0" w:color="1B365D"/>
              <w:right w:val="single" w:sz="4" w:space="0" w:color="1B365D"/>
            </w:tcBorders>
            <w:shd w:val="clear" w:color="auto" w:fill="FFFFFF"/>
          </w:tcPr>
          <w:p>
            <w:pPr>
              <w:spacing w:after="80" w:before="80"/>
            </w:pPr>
            <w:r>
              <w:rPr>
                <w:rFonts w:ascii="Calibri" w:hAnsi="Calibri" w:eastAsia="Calibri" w:cs="Calibri"/>
                <w:b w:val="0"/>
                <w:color w:val="1A1A1A"/>
                <w:sz w:val="20"/>
              </w:rPr>
              <w:t>Maya Chen, Director of Marketplace Seller Operations</w:t>
            </w:r>
          </w:p>
        </w:tc>
      </w:tr>
      <w:tr>
        <w:tc>
          <w:tcPr>
            <w:tcW w:type="dxa" w:w="4896"/>
            <w:tcBorders>
              <w:top w:val="single" w:sz="4" w:space="0" w:color="1B365D"/>
              <w:left w:val="single" w:sz="4" w:space="0" w:color="1B365D"/>
              <w:bottom w:val="single" w:sz="4" w:space="0" w:color="1B365D"/>
              <w:right w:val="single" w:sz="4" w:space="0" w:color="1B365D"/>
            </w:tcBorders>
            <w:shd w:val="clear" w:color="auto" w:fill="EEF3F6"/>
          </w:tcPr>
          <w:p>
            <w:pPr>
              <w:spacing w:after="80" w:before="80"/>
            </w:pPr>
            <w:r>
              <w:rPr>
                <w:rFonts w:ascii="Calibri" w:hAnsi="Calibri" w:eastAsia="Calibri" w:cs="Calibri"/>
                <w:b/>
                <w:color w:val="1B365D"/>
                <w:sz w:val="20"/>
              </w:rPr>
              <w:t>Deadline</w:t>
            </w:r>
          </w:p>
        </w:tc>
        <w:tc>
          <w:tcPr>
            <w:tcW w:type="dxa" w:w="4896"/>
            <w:tcBorders>
              <w:top w:val="single" w:sz="4" w:space="0" w:color="1B365D"/>
              <w:left w:val="single" w:sz="4" w:space="0" w:color="1B365D"/>
              <w:bottom w:val="single" w:sz="4" w:space="0" w:color="1B365D"/>
              <w:right w:val="single" w:sz="4" w:space="0" w:color="1B365D"/>
            </w:tcBorders>
            <w:shd w:val="clear" w:color="auto" w:fill="FFFFFF"/>
          </w:tcPr>
          <w:p>
            <w:pPr>
              <w:spacing w:after="80" w:before="80"/>
            </w:pPr>
            <w:r>
              <w:rPr>
                <w:rFonts w:ascii="Calibri" w:hAnsi="Calibri" w:eastAsia="Calibri" w:cs="Calibri"/>
                <w:b w:val="0"/>
                <w:color w:val="1A1A1A"/>
                <w:sz w:val="20"/>
              </w:rPr>
              <w:t>18 September 2026</w:t>
            </w:r>
          </w:p>
        </w:tc>
      </w:tr>
      <w:tr>
        <w:tc>
          <w:tcPr>
            <w:tcW w:type="dxa" w:w="4896"/>
            <w:tcBorders>
              <w:top w:val="single" w:sz="4" w:space="0" w:color="1B365D"/>
              <w:left w:val="single" w:sz="4" w:space="0" w:color="1B365D"/>
              <w:bottom w:val="single" w:sz="4" w:space="0" w:color="1B365D"/>
              <w:right w:val="single" w:sz="4" w:space="0" w:color="1B365D"/>
            </w:tcBorders>
            <w:shd w:val="clear" w:color="auto" w:fill="EEF3F6"/>
          </w:tcPr>
          <w:p>
            <w:pPr>
              <w:spacing w:after="80" w:before="80"/>
            </w:pPr>
            <w:r>
              <w:rPr>
                <w:rFonts w:ascii="Calibri" w:hAnsi="Calibri" w:eastAsia="Calibri" w:cs="Calibri"/>
                <w:b/>
                <w:color w:val="1B365D"/>
                <w:sz w:val="20"/>
              </w:rPr>
              <w:t>Human approval (name)</w:t>
            </w:r>
          </w:p>
        </w:tc>
        <w:tc>
          <w:tcPr>
            <w:tcW w:type="dxa" w:w="4896"/>
            <w:tcBorders>
              <w:top w:val="single" w:sz="4" w:space="0" w:color="1B365D"/>
              <w:left w:val="single" w:sz="4" w:space="0" w:color="1B365D"/>
              <w:bottom w:val="single" w:sz="4" w:space="0" w:color="1B365D"/>
              <w:right w:val="single" w:sz="4" w:space="0" w:color="1B365D"/>
            </w:tcBorders>
            <w:shd w:val="clear" w:color="auto" w:fill="FFFFFF"/>
          </w:tcPr>
          <w:p>
            <w:pPr>
              <w:spacing w:after="80" w:before="80"/>
            </w:pPr>
            <w:r>
              <w:rPr>
                <w:rFonts w:ascii="Calibri" w:hAnsi="Calibri" w:eastAsia="Calibri" w:cs="Calibri"/>
                <w:b w:val="0"/>
                <w:color w:val="1A1A1A"/>
                <w:sz w:val="20"/>
              </w:rPr>
            </w:r>
          </w:p>
        </w:tc>
      </w:tr>
      <w:tr>
        <w:tc>
          <w:tcPr>
            <w:tcW w:type="dxa" w:w="4896"/>
            <w:tcBorders>
              <w:top w:val="single" w:sz="4" w:space="0" w:color="1B365D"/>
              <w:left w:val="single" w:sz="4" w:space="0" w:color="1B365D"/>
              <w:bottom w:val="single" w:sz="4" w:space="0" w:color="1B365D"/>
              <w:right w:val="single" w:sz="4" w:space="0" w:color="1B365D"/>
            </w:tcBorders>
            <w:shd w:val="clear" w:color="auto" w:fill="EEF3F6"/>
          </w:tcPr>
          <w:p>
            <w:pPr>
              <w:spacing w:after="80" w:before="80"/>
            </w:pPr>
            <w:r>
              <w:rPr>
                <w:rFonts w:ascii="Calibri" w:hAnsi="Calibri" w:eastAsia="Calibri" w:cs="Calibri"/>
                <w:b/>
                <w:color w:val="1B365D"/>
                <w:sz w:val="20"/>
              </w:rPr>
              <w:t>Date signed</w:t>
            </w:r>
          </w:p>
        </w:tc>
        <w:tc>
          <w:tcPr>
            <w:tcW w:type="dxa" w:w="4896"/>
            <w:tcBorders>
              <w:top w:val="single" w:sz="4" w:space="0" w:color="1B365D"/>
              <w:left w:val="single" w:sz="4" w:space="0" w:color="1B365D"/>
              <w:bottom w:val="single" w:sz="4" w:space="0" w:color="1B365D"/>
              <w:right w:val="single" w:sz="4" w:space="0" w:color="1B365D"/>
            </w:tcBorders>
            <w:shd w:val="clear" w:color="auto" w:fill="FFFFFF"/>
          </w:tcPr>
          <w:p>
            <w:pPr>
              <w:spacing w:after="80" w:before="80"/>
            </w:pPr>
            <w:r>
              <w:rPr>
                <w:rFonts w:ascii="Calibri" w:hAnsi="Calibri" w:eastAsia="Calibri" w:cs="Calibri"/>
                <w:b w:val="0"/>
                <w:color w:val="1A1A1A"/>
                <w:sz w:val="20"/>
              </w:rPr>
            </w:r>
          </w:p>
        </w:tc>
      </w:tr>
      <w:tr>
        <w:tc>
          <w:tcPr>
            <w:tcW w:type="dxa" w:w="4896"/>
            <w:tcBorders>
              <w:top w:val="single" w:sz="4" w:space="0" w:color="1B365D"/>
              <w:left w:val="single" w:sz="4" w:space="0" w:color="1B365D"/>
              <w:bottom w:val="single" w:sz="4" w:space="0" w:color="1B365D"/>
              <w:right w:val="single" w:sz="4" w:space="0" w:color="1B365D"/>
            </w:tcBorders>
            <w:shd w:val="clear" w:color="auto" w:fill="EEF3F6"/>
          </w:tcPr>
          <w:p>
            <w:pPr>
              <w:spacing w:after="80" w:before="80"/>
            </w:pPr>
            <w:r>
              <w:rPr>
                <w:rFonts w:ascii="Calibri" w:hAnsi="Calibri" w:eastAsia="Calibri" w:cs="Calibri"/>
                <w:b/>
                <w:color w:val="1B365D"/>
                <w:sz w:val="20"/>
              </w:rPr>
              <w:t>Decision</w:t>
            </w:r>
          </w:p>
        </w:tc>
        <w:tc>
          <w:tcPr>
            <w:tcW w:type="dxa" w:w="4896"/>
            <w:tcBorders>
              <w:top w:val="single" w:sz="4" w:space="0" w:color="1B365D"/>
              <w:left w:val="single" w:sz="4" w:space="0" w:color="1B365D"/>
              <w:bottom w:val="single" w:sz="4" w:space="0" w:color="1B365D"/>
              <w:right w:val="single" w:sz="4" w:space="0" w:color="1B365D"/>
            </w:tcBorders>
            <w:shd w:val="clear" w:color="auto" w:fill="FFFFFF"/>
          </w:tcPr>
          <w:p>
            <w:pPr>
              <w:spacing w:after="80" w:before="80"/>
            </w:pPr>
            <w:r>
              <w:rPr>
                <w:rFonts w:ascii="Calibri" w:hAnsi="Calibri" w:eastAsia="Calibri" w:cs="Calibri"/>
                <w:b w:val="0"/>
                <w:color w:val="1A1A1A"/>
                <w:sz w:val="20"/>
              </w:rPr>
              <w:t>☐ Approve enroll-18    ☐ Approve with staffing trim (B, labeled as capacity)    ☐ Reject / return</w:t>
            </w:r>
          </w:p>
        </w:tc>
      </w:tr>
    </w:tbl>
    <w:p>
      <w:pPr>
        <w:spacing w:after="40" w:before="160" w:line="276" w:lineRule="auto"/>
        <w:jc w:val="left"/>
      </w:pPr>
      <w:r>
        <w:rPr>
          <w:rFonts w:ascii="Calibri" w:hAnsi="Calibri" w:eastAsia="Calibri" w:cs="Calibri"/>
          <w:b w:val="0"/>
          <w:color w:val="1A1A1A"/>
          <w:sz w:val="22"/>
        </w:rPr>
        <w:t>Notes: ________________________________________________________________</w:t>
      </w:r>
    </w:p>
    <w:p>
      <w:pPr>
        <w:spacing w:after="120" w:before="0" w:line="276" w:lineRule="auto"/>
        <w:jc w:val="left"/>
      </w:pPr>
      <w:r>
        <w:rPr>
          <w:rFonts w:ascii="Calibri" w:hAnsi="Calibri" w:eastAsia="Calibri" w:cs="Calibri"/>
          <w:b w:val="0"/>
          <w:color w:val="4A5563"/>
          <w:sz w:val="20"/>
        </w:rPr>
        <w:t>This pack does not authorize padding to 20, enrolling the 99 P75 passers, converting watch/inconclusive, offboarding, a new statistical cutoff after seeing the list, or treating SQL as live-execution proof.</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cs="Calibri"/>
        <w:color w:val="4A5563"/>
        <w:sz w:val="16"/>
      </w:rPr>
      <w:t>Sources: Stage_04_seller_export.csv  ·  FulfillIQ_R_Evidence_2026-09-02.xlsx  ·  Stages 1–3 locked  ·  three-AI reviews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eastAsia="Calibri" w:cs="Calibri"/>
        <w:color w:val="4A5563"/>
        <w:sz w:val="16"/>
      </w:rPr>
      <w:t>FulfillIQ  ·  Stage 5 Decision Brief  ·  2 September 2026 (America/Chicago)  ·  Maya retains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