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October 5th</w:t>
      </w:r>
    </w:p>
    <w:p>
      <w:r>
        <w:t>Generated at: October 5, 2026, 12:30 PM EST</w:t>
      </w:r>
    </w:p>
    <w:p>
      <w:pPr>
        <w:pStyle w:val="Heading2"/>
      </w:pPr>
      <w:r>
        <w:t>Availability</w:t>
      </w:r>
    </w:p>
    <w:p>
      <w:r>
        <w:t xml:space="preserve">We're tracking at </w:t>
      </w:r>
      <w:r>
        <w:rPr>
          <w:b/>
        </w:rPr>
        <w:t>88%</w:t>
      </w:r>
      <w:r>
        <w:t xml:space="preserve"> utilization for </w:t>
      </w:r>
      <w:r>
        <w:rPr>
          <w:b/>
        </w:rPr>
        <w:t>October</w:t>
      </w:r>
      <w:r>
        <w:t xml:space="preserve"> and </w:t>
      </w:r>
      <w:r>
        <w:rPr>
          <w:b/>
        </w:rPr>
        <w:t>78%</w:t>
      </w:r>
      <w:r>
        <w:t xml:space="preserve"> for </w:t>
      </w:r>
      <w:r>
        <w:rPr>
          <w:b/>
        </w:rPr>
        <w:t>November</w:t>
      </w:r>
      <w:r>
        <w:t xml:space="preserve"> (includes both employees and contractors).</w:t>
      </w:r>
    </w:p>
    <w:p>
      <w:r>
        <w:t>Target utilization is noted only where it differs from the standard 100%.</w:t>
      </w:r>
    </w:p>
    <w:p>
      <w:r>
        <w:rPr>
          <w:b/>
          <w:u w:val="single"/>
        </w:rPr>
        <w:t>AI Engineering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8E8E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Util %</w:t>
            </w:r>
          </w:p>
        </w:tc>
        <w:tc>
          <w:tcPr>
            <w:tcW w:type="dxa" w:w="2736"/>
            <w:shd w:val="clear" w:color="auto" w:fill="E8E8E8"/>
          </w:tcPr>
          <w:p>
            <w:r>
              <w:rPr>
                <w:b/>
              </w:rPr>
              <w:t>Current Week's Project(s)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Alexander Markow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121% (this week)</w:t>
            </w:r>
          </w:p>
          <w:p>
            <w:pPr>
              <w:spacing w:after="0"/>
              <w:ind w:left="360" w:hanging="360"/>
            </w:pPr>
            <w:r>
              <w:t>• 121% (week of Oct 12, projected)</w:t>
            </w:r>
          </w:p>
          <w:p>
            <w:pPr>
              <w:spacing w:after="0"/>
              <w:ind w:left="360" w:hanging="360"/>
            </w:pPr>
            <w:r>
              <w:t>• 41% (week of Oct 19, projected)</w:t>
            </w:r>
          </w:p>
          <w:p>
            <w:pPr>
              <w:spacing w:after="0"/>
              <w:ind w:left="360" w:hanging="360"/>
            </w:pPr>
            <w:r>
              <w:t>• 20% (week of Oct 26, projected)</w:t>
            </w:r>
          </w:p>
          <w:p>
            <w:pPr>
              <w:spacing w:after="0"/>
              <w:ind w:left="360" w:hanging="360"/>
            </w:pPr>
            <w:r>
              <w:t>• 8% (week of Nov 2, projected)</w:t>
            </w:r>
          </w:p>
          <w:p>
            <w:pPr>
              <w:spacing w:after="0"/>
              <w:ind w:left="360" w:hanging="360"/>
            </w:pPr>
            <w:r>
              <w:t>• 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Authorized Projects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NOV - HR Analytics-Tab to Qlik</w:t>
            </w:r>
          </w:p>
          <w:p>
            <w:pPr>
              <w:spacing w:after="0"/>
              <w:ind w:left="360" w:hanging="360"/>
            </w:pPr>
            <w:r>
              <w:t>• NYLI03-01j - NYL - Change Order 10 (Bob P)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Brian Sullivan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149% (this week)</w:t>
            </w:r>
          </w:p>
          <w:p>
            <w:pPr>
              <w:spacing w:after="0"/>
              <w:ind w:left="360" w:hanging="360"/>
            </w:pPr>
            <w:r>
              <w:t>• 149% (week of Oct 12, projected)</w:t>
            </w:r>
          </w:p>
          <w:p>
            <w:pPr>
              <w:spacing w:after="0"/>
              <w:ind w:left="360" w:hanging="360"/>
            </w:pPr>
            <w:r>
              <w:t>• 118% (week of Oct 19,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Authorized Projects</w:t>
            </w:r>
          </w:p>
          <w:p>
            <w:pPr>
              <w:spacing w:after="0"/>
              <w:ind w:left="360" w:hanging="360"/>
            </w:pPr>
            <w:r>
              <w:t>• Dynapar - 2026 MS Fabric and Power BI Consulting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Dillon Mullis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115% (week of Oct 19, projected)</w:t>
            </w:r>
          </w:p>
          <w:p>
            <w:pPr>
              <w:spacing w:after="0"/>
              <w:ind w:left="360" w:hanging="360"/>
            </w:pPr>
            <w:r>
              <w:t>• 115% (week of Oct 26, projected)</w:t>
            </w:r>
          </w:p>
          <w:p>
            <w:pPr>
              <w:spacing w:after="0"/>
              <w:ind w:left="360" w:hanging="360"/>
            </w:pPr>
            <w:r>
              <w:t>• 15% (week of Nov 2, projected)</w:t>
            </w:r>
          </w:p>
          <w:p>
            <w:pPr>
              <w:spacing w:after="0"/>
              <w:ind w:left="360" w:hanging="360"/>
            </w:pPr>
            <w:r>
              <w:t>• 15%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AFFD03-01 - Adhoc Data Analytics and QS Dev Consulting Services</w:t>
            </w:r>
          </w:p>
          <w:p>
            <w:pPr>
              <w:spacing w:after="0"/>
              <w:ind w:left="360" w:hanging="360"/>
            </w:pPr>
            <w:r>
              <w:t>• BAH - Advana Infrastructure - 2025</w:t>
            </w:r>
          </w:p>
        </w:tc>
      </w:tr>
    </w:tbl>
    <w:p/>
    <w:p>
      <w:r>
        <w:rPr>
          <w:b/>
          <w:u w:val="single"/>
        </w:rPr>
        <w:t>Data Management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8E8E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Util %</w:t>
            </w:r>
          </w:p>
        </w:tc>
        <w:tc>
          <w:tcPr>
            <w:tcW w:type="dxa" w:w="2736"/>
            <w:shd w:val="clear" w:color="auto" w:fill="E8E8E8"/>
          </w:tcPr>
          <w:p>
            <w:r>
              <w:rPr>
                <w:b/>
              </w:rPr>
              <w:t>Current Week's Project(s)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Atin Bansal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115% (this week)</w:t>
            </w:r>
          </w:p>
          <w:p>
            <w:pPr>
              <w:spacing w:after="0"/>
              <w:ind w:left="360" w:hanging="360"/>
            </w:pPr>
            <w:r>
              <w:t>• 115% (week of Oct 12, projected)</w:t>
            </w:r>
          </w:p>
          <w:p>
            <w:pPr>
              <w:spacing w:after="0"/>
              <w:ind w:left="360" w:hanging="360"/>
            </w:pPr>
            <w:r>
              <w:t>• 115% (week of Oct 19, projected)</w:t>
            </w:r>
          </w:p>
          <w:p>
            <w:pPr>
              <w:spacing w:after="0"/>
              <w:ind w:left="360" w:hanging="360"/>
            </w:pPr>
            <w:r>
              <w:t>• 115% (week of Oct 26,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800 Reports SAP Migration</w:t>
            </w:r>
          </w:p>
          <w:p>
            <w:pPr>
              <w:spacing w:after="0"/>
              <w:ind w:left="360" w:hanging="360"/>
            </w:pPr>
            <w:r>
              <w:t>• BSC HEOR SAS Conversion to dbt/Snowflake</w:t>
            </w:r>
          </w:p>
          <w:p>
            <w:pPr>
              <w:spacing w:after="0"/>
              <w:ind w:left="360" w:hanging="360"/>
            </w:pPr>
            <w:r>
              <w:t>• Stellix - EDP Support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Chris Rose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60% (week of Nov 2, projected)</w:t>
            </w:r>
          </w:p>
          <w:p>
            <w:pPr>
              <w:spacing w:after="0"/>
              <w:ind w:left="360" w:hanging="360"/>
            </w:pPr>
            <w:r>
              <w:t>• 50%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BSC - Customer Invoice Pricing (CIP)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Gracjan Harasim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50% (this week)</w:t>
            </w:r>
          </w:p>
          <w:p>
            <w:pPr>
              <w:spacing w:after="0"/>
              <w:ind w:left="360" w:hanging="360"/>
            </w:pPr>
            <w:r>
              <w:t>• 80% (week of Oct 12, projected)</w:t>
            </w:r>
          </w:p>
          <w:p>
            <w:pPr>
              <w:spacing w:after="0"/>
              <w:ind w:left="360" w:hanging="360"/>
            </w:pPr>
            <w:r>
              <w:t>• 50% (week of Oct 19, projected)</w:t>
            </w:r>
          </w:p>
          <w:p>
            <w:pPr>
              <w:spacing w:after="0"/>
              <w:ind w:left="360" w:hanging="360"/>
            </w:pPr>
            <w:r>
              <w:t>• 50% (week of Oct 26, projected)</w:t>
            </w:r>
          </w:p>
          <w:p>
            <w:pPr>
              <w:spacing w:after="0"/>
              <w:ind w:left="360" w:hanging="360"/>
            </w:pPr>
            <w:r>
              <w:t>• 50% (week of Nov 2, projected)</w:t>
            </w:r>
          </w:p>
          <w:p>
            <w:pPr>
              <w:spacing w:after="0"/>
              <w:ind w:left="360" w:hanging="360"/>
            </w:pPr>
            <w:r>
              <w:t>• 50%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Internal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Lisa Iyer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60% (week of Nov 2, projected)</w:t>
            </w:r>
          </w:p>
          <w:p>
            <w:pPr>
              <w:spacing w:after="0"/>
              <w:ind w:left="360" w:hanging="360"/>
            </w:pPr>
            <w:r>
              <w:t>• 50%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Authorized Projects</w:t>
            </w:r>
          </w:p>
          <w:p>
            <w:pPr>
              <w:spacing w:after="0"/>
              <w:ind w:left="360" w:hanging="360"/>
            </w:pPr>
            <w:r>
              <w:t>• GATX-Qlik Replicate/Databricks Consulting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Matthew Ritchie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50% (this week)</w:t>
            </w:r>
          </w:p>
          <w:p>
            <w:pPr>
              <w:spacing w:after="0"/>
              <w:ind w:left="360" w:hanging="360"/>
            </w:pPr>
            <w:r>
              <w:t>• 50% (week of Oct 12, projected)</w:t>
            </w:r>
          </w:p>
          <w:p>
            <w:pPr>
              <w:spacing w:after="0"/>
              <w:ind w:left="360" w:hanging="360"/>
            </w:pPr>
            <w:r>
              <w:t>• 50% (week of Nov 2, projected)</w:t>
            </w:r>
          </w:p>
          <w:p>
            <w:pPr>
              <w:spacing w:after="0"/>
              <w:ind w:left="360" w:hanging="360"/>
            </w:pPr>
            <w:r>
              <w:t>• 50%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Care Hospice - ML Liability Model</w:t>
            </w:r>
          </w:p>
          <w:p>
            <w:pPr>
              <w:spacing w:after="0"/>
              <w:ind w:left="360" w:hanging="360"/>
            </w:pPr>
            <w:r>
              <w:t>• Proceed - Phase IX</w:t>
            </w:r>
          </w:p>
          <w:p>
            <w:pPr>
              <w:spacing w:after="0"/>
              <w:ind w:left="360" w:hanging="360"/>
            </w:pPr>
            <w:r>
              <w:t>• Proceed - Phase VIII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Viswanath Thatha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0% (this week)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800 Reports SAP Migration</w:t>
            </w:r>
          </w:p>
          <w:p>
            <w:pPr>
              <w:spacing w:after="0"/>
              <w:ind w:left="360" w:hanging="360"/>
            </w:pPr>
            <w:r>
              <w:t>• CT India</w:t>
            </w:r>
          </w:p>
        </w:tc>
      </w:tr>
    </w:tbl>
    <w:p/>
    <w:p>
      <w:r>
        <w:rPr>
          <w:b/>
          <w:u w:val="single"/>
        </w:rPr>
        <w:t>Data Viz. &amp; Analytics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8E8E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Util %</w:t>
            </w:r>
          </w:p>
        </w:tc>
        <w:tc>
          <w:tcPr>
            <w:tcW w:type="dxa" w:w="2736"/>
            <w:shd w:val="clear" w:color="auto" w:fill="E8E8E8"/>
          </w:tcPr>
          <w:p>
            <w:r>
              <w:rPr>
                <w:b/>
              </w:rPr>
              <w:t>Current Week's Project(s)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Charles Sheu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50% (this week)</w:t>
            </w:r>
          </w:p>
          <w:p>
            <w:pPr>
              <w:spacing w:after="0"/>
              <w:ind w:left="360" w:hanging="360"/>
            </w:pPr>
            <w:r>
              <w:t>• 50% (week of Oct 12, projected)</w:t>
            </w:r>
          </w:p>
          <w:p>
            <w:pPr>
              <w:spacing w:after="0"/>
              <w:ind w:left="360" w:hanging="360"/>
            </w:pPr>
            <w:r>
              <w:t>• 50% (week of Oct 19, projected)</w:t>
            </w:r>
          </w:p>
          <w:p>
            <w:pPr>
              <w:spacing w:after="0"/>
              <w:ind w:left="360" w:hanging="360"/>
            </w:pPr>
            <w:r>
              <w:t>• 50% (week of Oct 26, projected)</w:t>
            </w:r>
          </w:p>
          <w:p>
            <w:pPr>
              <w:spacing w:after="0"/>
              <w:ind w:left="360" w:hanging="360"/>
            </w:pPr>
            <w:r>
              <w:t>• 13% (week of Nov 2, projected)</w:t>
            </w:r>
          </w:p>
          <w:p>
            <w:pPr>
              <w:spacing w:after="0"/>
              <w:ind w:left="360" w:hanging="360"/>
            </w:pPr>
            <w:r>
              <w:t>• 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ARHS02-02 - Ad-hoc Data Analytics and Data Science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VRZN09-40 - Verizon 2025 DEAR Support and Dev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Christian Corona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50% (this week)</w:t>
            </w:r>
          </w:p>
          <w:p>
            <w:pPr>
              <w:spacing w:after="0"/>
              <w:ind w:left="360" w:hanging="360"/>
            </w:pPr>
            <w:r>
              <w:t>• 50% (week of Oct 12, projected)</w:t>
            </w:r>
          </w:p>
          <w:p>
            <w:pPr>
              <w:spacing w:after="0"/>
              <w:ind w:left="360" w:hanging="360"/>
            </w:pPr>
            <w:r>
              <w:t>• 50% (week of Oct 19, projected)</w:t>
            </w:r>
          </w:p>
          <w:p>
            <w:pPr>
              <w:spacing w:after="0"/>
              <w:ind w:left="360" w:hanging="360"/>
            </w:pPr>
            <w:r>
              <w:t>• 50% (week of Oct 26, projected)</w:t>
            </w:r>
          </w:p>
          <w:p>
            <w:pPr>
              <w:spacing w:after="0"/>
              <w:ind w:left="360" w:hanging="360"/>
            </w:pPr>
            <w:r>
              <w:t>• 50% (week of Nov 2, projected)</w:t>
            </w:r>
          </w:p>
          <w:p>
            <w:pPr>
              <w:spacing w:after="0"/>
              <w:ind w:left="360" w:hanging="360"/>
            </w:pPr>
            <w:r>
              <w:t>• 50%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Alliance Technical Group: 2025 Pod Team</w:t>
            </w:r>
          </w:p>
          <w:p>
            <w:pPr>
              <w:spacing w:after="0"/>
              <w:ind w:left="360" w:hanging="360"/>
            </w:pPr>
            <w:r>
              <w:t>• Philadelphia Eagles - Tableau Development</w:t>
            </w:r>
          </w:p>
          <w:p>
            <w:pPr>
              <w:spacing w:after="0"/>
              <w:ind w:left="360" w:hanging="360"/>
            </w:pPr>
            <w:r>
              <w:t>• Global Guardian: MDS 2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John Wilson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0% (week of Oct 26, projected)</w:t>
            </w:r>
          </w:p>
          <w:p>
            <w:pPr>
              <w:spacing w:after="0"/>
              <w:ind w:left="360" w:hanging="360"/>
            </w:pPr>
            <w:r>
              <w:t>• 0% (week of Nov 2, projected)</w:t>
            </w:r>
          </w:p>
          <w:p>
            <w:pPr>
              <w:spacing w:after="0"/>
              <w:ind w:left="360" w:hanging="360"/>
            </w:pPr>
            <w:r>
              <w:t>• 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Authorized Projects</w:t>
            </w:r>
          </w:p>
          <w:p>
            <w:pPr>
              <w:spacing w:after="0"/>
              <w:ind w:left="360" w:hanging="360"/>
            </w:pPr>
            <w:r>
              <w:t>• Verizon - GCP Efforts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Cleartelligence - Nexus Overhead</w:t>
            </w:r>
          </w:p>
          <w:p>
            <w:pPr>
              <w:spacing w:after="0"/>
              <w:ind w:left="360" w:hanging="360"/>
            </w:pPr>
            <w:r>
              <w:t>• NYL - RE 1H'2026 Pod Team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Karl Chopelas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50% (this week)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Analytics COE - Analytics Studio Chargebacks Jan 2024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Nic Ivey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71% (week of Nov 2, projected)</w:t>
            </w:r>
          </w:p>
          <w:p>
            <w:pPr>
              <w:spacing w:after="0"/>
              <w:ind w:left="360" w:hanging="360"/>
            </w:pPr>
            <w:r>
              <w:t>• 71%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800 Reports SAP Migration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Octapharma - 2025 Qlik Cloud Migration</w:t>
            </w:r>
          </w:p>
          <w:p>
            <w:pPr>
              <w:spacing w:after="0"/>
              <w:ind w:left="360" w:hanging="360"/>
            </w:pPr>
            <w:r>
              <w:t>• Labtician - Qlik Support Renewal</w:t>
            </w:r>
          </w:p>
          <w:p>
            <w:pPr>
              <w:spacing w:after="0"/>
              <w:ind w:left="360" w:hanging="360"/>
            </w:pPr>
            <w:r>
              <w:t>• Octapharma - Qlik Consulting 2025 H2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Ryan Kreisberg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3%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Authorized Projects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BSC Analytics Studio Core Q1</w:t>
            </w:r>
          </w:p>
          <w:p>
            <w:pPr>
              <w:spacing w:after="0"/>
              <w:ind w:left="360" w:hanging="360"/>
            </w:pPr>
            <w:r>
              <w:t>• Point32Health - 2026 EASE Training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Sujitha Bukkacherla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0% (week of Nov 2, projected)</w:t>
            </w:r>
          </w:p>
          <w:p>
            <w:pPr>
              <w:spacing w:after="0"/>
              <w:ind w:left="360" w:hanging="360"/>
            </w:pPr>
            <w:r>
              <w:t>• 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CT India</w:t>
            </w:r>
          </w:p>
        </w:tc>
      </w:tr>
    </w:tbl>
    <w:p/>
    <w:p>
      <w:r>
        <w:rPr>
          <w:b/>
          <w:u w:val="single"/>
        </w:rPr>
        <w:t>Delivery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8E8E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Util %</w:t>
            </w:r>
          </w:p>
        </w:tc>
        <w:tc>
          <w:tcPr>
            <w:tcW w:type="dxa" w:w="2736"/>
            <w:shd w:val="clear" w:color="auto" w:fill="E8E8E8"/>
          </w:tcPr>
          <w:p>
            <w:r>
              <w:rPr>
                <w:b/>
              </w:rPr>
              <w:t>Current Week's Project(s)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Ian Rubiano</w:t>
            </w:r>
            <w:r>
              <w:t xml:space="preserve"> (</w:t>
            </w:r>
            <w:r>
              <w:rPr>
                <w:u w:val="single"/>
              </w:rPr>
              <w:t>Target: 50%</w:t>
            </w:r>
            <w:r>
              <w:t>)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115% (this week)</w:t>
            </w:r>
          </w:p>
          <w:p>
            <w:pPr>
              <w:spacing w:after="0"/>
              <w:ind w:left="360" w:hanging="360"/>
            </w:pPr>
            <w:r>
              <w:t>• 115% (week of Oct 12, projected)</w:t>
            </w:r>
          </w:p>
          <w:p>
            <w:pPr>
              <w:spacing w:after="0"/>
              <w:ind w:left="360" w:hanging="360"/>
            </w:pPr>
            <w:r>
              <w:t>• 95% (week of Oct 19, projected)</w:t>
            </w:r>
          </w:p>
          <w:p>
            <w:pPr>
              <w:spacing w:after="0"/>
              <w:ind w:left="360" w:hanging="360"/>
            </w:pPr>
            <w:r>
              <w:t>• 95% (week of Oct 26, projected)</w:t>
            </w:r>
          </w:p>
          <w:p>
            <w:pPr>
              <w:spacing w:after="0"/>
              <w:ind w:left="360" w:hanging="360"/>
            </w:pPr>
            <w:r>
              <w:t>• 95% (week of Nov 2, projected)</w:t>
            </w:r>
          </w:p>
          <w:p>
            <w:pPr>
              <w:spacing w:after="0"/>
              <w:ind w:left="360" w:hanging="360"/>
            </w:pPr>
            <w:r>
              <w:t>• 95%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Alliance Technical Group - 2025 Q3 Pod</w:t>
            </w:r>
          </w:p>
          <w:p>
            <w:pPr>
              <w:spacing w:after="0"/>
              <w:ind w:left="360" w:hanging="360"/>
            </w:pPr>
            <w:r>
              <w:t>• Counsel Press Phase IV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Elevate Bio: Manufacturing Dashboard Phase 1</w:t>
            </w:r>
          </w:p>
          <w:p>
            <w:pPr>
              <w:spacing w:after="0"/>
              <w:ind w:left="360" w:hanging="360"/>
            </w:pPr>
            <w:r>
              <w:t>• Schneider - Phase 1: Data Validation</w:t>
            </w:r>
          </w:p>
          <w:p>
            <w:pPr>
              <w:spacing w:after="0"/>
              <w:ind w:left="360" w:hanging="360"/>
            </w:pPr>
            <w:r>
              <w:t>• Philadelphia Eagles: Tableau Support 2.0</w:t>
            </w:r>
          </w:p>
          <w:p>
            <w:pPr>
              <w:spacing w:after="0"/>
              <w:ind w:left="360" w:hanging="360"/>
            </w:pPr>
            <w:r>
              <w:t>• Direxion - Web Analytics 2.0 and Pipeline Optimization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Manvee Goel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35% (this week)</w:t>
            </w:r>
          </w:p>
          <w:p>
            <w:pPr>
              <w:spacing w:after="0"/>
              <w:ind w:left="360" w:hanging="360"/>
            </w:pPr>
            <w:r>
              <w:t>• 35% (week of Oct 12, projected)</w:t>
            </w:r>
          </w:p>
          <w:p>
            <w:pPr>
              <w:spacing w:after="0"/>
              <w:ind w:left="360" w:hanging="360"/>
            </w:pPr>
            <w:r>
              <w:t>• 35% (week of Oct 19, projected)</w:t>
            </w:r>
          </w:p>
          <w:p>
            <w:pPr>
              <w:spacing w:after="0"/>
              <w:ind w:left="360" w:hanging="360"/>
            </w:pPr>
            <w:r>
              <w:t>• 35% (week of Oct 26, projected)</w:t>
            </w:r>
          </w:p>
          <w:p>
            <w:pPr>
              <w:spacing w:after="0"/>
              <w:ind w:left="360" w:hanging="360"/>
            </w:pPr>
            <w:r>
              <w:t>• 10% (week of Nov 2, projected)</w:t>
            </w:r>
          </w:p>
          <w:p>
            <w:pPr>
              <w:spacing w:after="0"/>
              <w:ind w:left="360" w:hanging="360"/>
            </w:pPr>
            <w:r>
              <w:t>• 10%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Counsel Press - Phase VII Dev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New Leaders - 2026 POD Team Q2</w:t>
            </w:r>
          </w:p>
          <w:p>
            <w:pPr>
              <w:spacing w:after="0"/>
              <w:ind w:left="360" w:hanging="360"/>
            </w:pPr>
            <w:r>
              <w:t>• Proceed - Phase VIII</w:t>
            </w:r>
          </w:p>
          <w:p>
            <w:pPr>
              <w:spacing w:after="0"/>
              <w:ind w:left="360" w:hanging="360"/>
            </w:pPr>
            <w:r>
              <w:t>• New Leaders - CEO Dashboard Phase 2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Steven Joyce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115% (week of Oct 12, projected)</w:t>
            </w:r>
          </w:p>
          <w:p>
            <w:pPr>
              <w:spacing w:after="0"/>
              <w:ind w:left="360" w:hanging="360"/>
            </w:pPr>
            <w:r>
              <w:t>• 80% (week of Nov 2, projected)</w:t>
            </w:r>
          </w:p>
          <w:p>
            <w:pPr>
              <w:spacing w:after="0"/>
              <w:ind w:left="360" w:hanging="360"/>
            </w:pPr>
            <w:r>
              <w:t>• 75%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Authorized Projects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Verizon - GCP Efforts</w:t>
            </w:r>
          </w:p>
          <w:p>
            <w:pPr>
              <w:spacing w:after="0"/>
              <w:ind w:left="360" w:hanging="360"/>
            </w:pPr>
            <w:r>
              <w:t>• UCB-Qlik for Collibra Metadata</w:t>
            </w:r>
          </w:p>
          <w:p>
            <w:pPr>
              <w:spacing w:after="0"/>
              <w:ind w:left="360" w:hanging="360"/>
            </w:pPr>
            <w:r>
              <w:t>• Verizon-2026 DEAR Development Support</w:t>
            </w:r>
          </w:p>
        </w:tc>
      </w:tr>
    </w:tbl>
    <w:p/>
    <w:p>
      <w:r>
        <w:rPr>
          <w:b/>
          <w:u w:val="single"/>
        </w:rPr>
        <w:t>Portfolio Mgmt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8E8E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Util %</w:t>
            </w:r>
          </w:p>
        </w:tc>
        <w:tc>
          <w:tcPr>
            <w:tcW w:type="dxa" w:w="2736"/>
            <w:shd w:val="clear" w:color="auto" w:fill="E8E8E8"/>
          </w:tcPr>
          <w:p>
            <w:r>
              <w:rPr>
                <w:b/>
              </w:rPr>
              <w:t>Current Week's Project(s)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Austin Hewlett</w:t>
            </w:r>
            <w:r>
              <w:t xml:space="preserve"> (</w:t>
            </w:r>
            <w:r>
              <w:rPr>
                <w:u w:val="single"/>
              </w:rPr>
              <w:t>Target: 70%</w:t>
            </w:r>
            <w:r>
              <w:t>)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100% (this week)</w:t>
            </w:r>
          </w:p>
          <w:p>
            <w:pPr>
              <w:spacing w:after="0"/>
              <w:ind w:left="360" w:hanging="360"/>
            </w:pPr>
            <w:r>
              <w:t>• 100% (week of Oct 12, projected)</w:t>
            </w:r>
          </w:p>
          <w:p>
            <w:pPr>
              <w:spacing w:after="0"/>
              <w:ind w:left="360" w:hanging="360"/>
            </w:pPr>
            <w:r>
              <w:t>• 100% (week of Oct 19, projected)</w:t>
            </w:r>
          </w:p>
          <w:p>
            <w:pPr>
              <w:spacing w:after="0"/>
              <w:ind w:left="360" w:hanging="360"/>
            </w:pPr>
            <w:r>
              <w:t>• 100% (week of Oct 26,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BSC Data Enablement CoE Solution Architect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Eric Schmid</w:t>
            </w:r>
            <w:r>
              <w:t xml:space="preserve"> (</w:t>
            </w:r>
            <w:r>
              <w:rPr>
                <w:u w:val="single"/>
              </w:rPr>
              <w:t>Target: 70%</w:t>
            </w:r>
            <w:r>
              <w:t>)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85% (week of Oct 12, projected)</w:t>
            </w:r>
          </w:p>
          <w:p>
            <w:pPr>
              <w:spacing w:after="0"/>
              <w:ind w:left="360" w:hanging="360"/>
            </w:pPr>
            <w:r>
              <w:t>• 85% (week of Oct 19, projected)</w:t>
            </w:r>
          </w:p>
          <w:p>
            <w:pPr>
              <w:spacing w:after="0"/>
              <w:ind w:left="360" w:hanging="360"/>
            </w:pPr>
            <w:r>
              <w:t>• 85% (week of Nov 2, projected)</w:t>
            </w:r>
          </w:p>
          <w:p>
            <w:pPr>
              <w:spacing w:after="0"/>
              <w:ind w:left="360" w:hanging="360"/>
            </w:pPr>
            <w:r>
              <w:t>• 85%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800 Reports SAP Migration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Octapharma - Qlik Consulting 2025 H2</w:t>
            </w:r>
          </w:p>
          <w:p>
            <w:pPr>
              <w:spacing w:after="0"/>
              <w:ind w:left="360" w:hanging="360"/>
            </w:pPr>
            <w:r>
              <w:t>• Octapharma - 2025 Azure Advisory</w:t>
            </w:r>
          </w:p>
          <w:p>
            <w:pPr>
              <w:spacing w:after="0"/>
              <w:ind w:left="360" w:hanging="360"/>
            </w:pPr>
            <w:r>
              <w:t>• Octapharma - 2025 Qlik Cloud Migration</w:t>
            </w:r>
          </w:p>
          <w:p>
            <w:pPr>
              <w:spacing w:after="0"/>
              <w:ind w:left="360" w:hanging="360"/>
            </w:pPr>
            <w:r>
              <w:t>• AFFD03-01 - Adhoc Data Analytics and QS Dev Consulting Services</w:t>
            </w:r>
          </w:p>
          <w:p>
            <w:pPr>
              <w:spacing w:after="0"/>
              <w:ind w:left="360" w:hanging="360"/>
            </w:pPr>
            <w:r>
              <w:t>• DLL Group - 2025 IT Security Mitigation Activities for Qlik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Gareth Ratcliffe</w:t>
            </w:r>
            <w:r>
              <w:t xml:space="preserve"> (</w:t>
            </w:r>
            <w:r>
              <w:rPr>
                <w:u w:val="single"/>
              </w:rPr>
              <w:t>Target: 70%</w:t>
            </w:r>
            <w:r>
              <w:t>)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126% (this week)</w:t>
            </w:r>
          </w:p>
          <w:p>
            <w:pPr>
              <w:spacing w:after="0"/>
              <w:ind w:left="360" w:hanging="360"/>
            </w:pPr>
            <w:r>
              <w:t>• 116% (week of Oct 12, projected)</w:t>
            </w:r>
          </w:p>
          <w:p>
            <w:pPr>
              <w:spacing w:after="0"/>
              <w:ind w:left="360" w:hanging="360"/>
            </w:pPr>
            <w:r>
              <w:t>• 54% (week of Oct 26, projected)</w:t>
            </w:r>
          </w:p>
          <w:p>
            <w:pPr>
              <w:spacing w:after="0"/>
              <w:ind w:left="360" w:hanging="360"/>
            </w:pPr>
            <w:r>
              <w:t>• 54% (week of Nov 2, projected)</w:t>
            </w:r>
          </w:p>
          <w:p>
            <w:pPr>
              <w:spacing w:after="0"/>
              <w:ind w:left="360" w:hanging="360"/>
            </w:pPr>
            <w:r>
              <w:t>• 54%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BSC Feb-Dec 2024 - Analytics Platform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Liz Blackwell</w:t>
            </w:r>
            <w:r>
              <w:t xml:space="preserve"> (</w:t>
            </w:r>
            <w:r>
              <w:rPr>
                <w:u w:val="single"/>
              </w:rPr>
              <w:t>Target: 70%</w:t>
            </w:r>
            <w:r>
              <w:t>)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78% (this week)</w:t>
            </w:r>
          </w:p>
          <w:p>
            <w:pPr>
              <w:spacing w:after="0"/>
              <w:ind w:left="360" w:hanging="360"/>
            </w:pPr>
            <w:r>
              <w:t>• 103% (week of Oct 12, projected)</w:t>
            </w:r>
          </w:p>
          <w:p>
            <w:pPr>
              <w:spacing w:after="0"/>
              <w:ind w:left="360" w:hanging="360"/>
            </w:pPr>
            <w:r>
              <w:t>• 103% (week of Oct 19, projected)</w:t>
            </w:r>
          </w:p>
          <w:p>
            <w:pPr>
              <w:spacing w:after="0"/>
              <w:ind w:left="360" w:hanging="360"/>
            </w:pPr>
            <w:r>
              <w:t>• 102% (week of Oct 26, projected)</w:t>
            </w:r>
          </w:p>
          <w:p>
            <w:pPr>
              <w:spacing w:after="0"/>
              <w:ind w:left="360" w:hanging="360"/>
            </w:pPr>
            <w:r>
              <w:t>• 101% (week of Nov 2, projected)</w:t>
            </w:r>
          </w:p>
          <w:p>
            <w:pPr>
              <w:spacing w:after="0"/>
              <w:ind w:left="360" w:hanging="360"/>
            </w:pPr>
            <w:r>
              <w:t>• 91%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CFS - Extension</w:t>
            </w:r>
          </w:p>
          <w:p>
            <w:pPr>
              <w:spacing w:after="0"/>
              <w:ind w:left="360" w:hanging="360"/>
            </w:pPr>
            <w:r>
              <w:t>• HBP: EIT Managed Services Support</w:t>
            </w:r>
          </w:p>
          <w:p>
            <w:pPr>
              <w:spacing w:after="0"/>
              <w:ind w:left="360" w:hanging="360"/>
            </w:pPr>
            <w:r>
              <w:t>• Stellix (NECI) -  Data &amp; Analytics Foundation Project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Marissa Wilson</w:t>
            </w:r>
            <w:r>
              <w:t xml:space="preserve"> (</w:t>
            </w:r>
            <w:r>
              <w:rPr>
                <w:u w:val="single"/>
              </w:rPr>
              <w:t>Target: 50%</w:t>
            </w:r>
            <w:r>
              <w:t>)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56% (this week)</w:t>
            </w:r>
          </w:p>
          <w:p>
            <w:pPr>
              <w:spacing w:after="0"/>
              <w:ind w:left="360" w:hanging="360"/>
            </w:pPr>
            <w:r>
              <w:t>• 56% (week of Oct 12, projected)</w:t>
            </w:r>
          </w:p>
          <w:p>
            <w:pPr>
              <w:spacing w:after="0"/>
              <w:ind w:left="360" w:hanging="360"/>
            </w:pPr>
            <w:r>
              <w:t>• 56% (week of Oct 19, projected)</w:t>
            </w:r>
          </w:p>
          <w:p>
            <w:pPr>
              <w:spacing w:after="0"/>
              <w:ind w:left="360" w:hanging="360"/>
            </w:pPr>
            <w:r>
              <w:t>• 56% (week of Oct 26,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BSC 2025 Analytics Platform Support</w:t>
            </w:r>
          </w:p>
          <w:p>
            <w:pPr>
              <w:spacing w:after="0"/>
              <w:ind w:left="360" w:hanging="360"/>
            </w:pPr>
            <w:r>
              <w:t>• BSC 2025 Global Commercial Analytics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</w:tc>
      </w:tr>
    </w:tbl>
    <w:p/>
    <w:p>
      <w:r>
        <w:rPr>
          <w:b/>
          <w:u w:val="single"/>
        </w:rPr>
        <w:t>Solution Architecture</w:t>
      </w:r>
      <w:r>
        <w:t xml:space="preserve"> (</w:t>
      </w:r>
      <w:r>
        <w:rPr>
          <w:u w:val="single"/>
        </w:rPr>
        <w:t>Target: 50%</w:t>
      </w:r>
      <w:r>
        <w:t>)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8E8E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Util %</w:t>
            </w:r>
          </w:p>
        </w:tc>
        <w:tc>
          <w:tcPr>
            <w:tcW w:type="dxa" w:w="2736"/>
            <w:shd w:val="clear" w:color="auto" w:fill="E8E8E8"/>
          </w:tcPr>
          <w:p>
            <w:r>
              <w:rPr>
                <w:b/>
              </w:rPr>
              <w:t>Current Week's Project(s)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Chitra Sundaram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83% (this week)</w:t>
            </w:r>
          </w:p>
          <w:p>
            <w:pPr>
              <w:spacing w:after="0"/>
              <w:ind w:left="360" w:hanging="360"/>
            </w:pPr>
            <w:r>
              <w:t>• 76% (week of Oct 12, projected)</w:t>
            </w:r>
          </w:p>
          <w:p>
            <w:pPr>
              <w:spacing w:after="0"/>
              <w:ind w:left="360" w:hanging="360"/>
            </w:pPr>
            <w:r>
              <w:t>• 93% (week of Oct 19, projected)</w:t>
            </w:r>
          </w:p>
          <w:p>
            <w:pPr>
              <w:spacing w:after="0"/>
              <w:ind w:left="360" w:hanging="360"/>
            </w:pPr>
            <w:r>
              <w:t>• 73% (week of Oct 26, projected)</w:t>
            </w:r>
          </w:p>
          <w:p>
            <w:pPr>
              <w:spacing w:after="0"/>
              <w:ind w:left="360" w:hanging="360"/>
            </w:pPr>
            <w:r>
              <w:t>• 73% (week of Nov 2, projected)</w:t>
            </w:r>
          </w:p>
          <w:p>
            <w:pPr>
              <w:spacing w:after="0"/>
              <w:ind w:left="360" w:hanging="360"/>
            </w:pPr>
            <w:r>
              <w:t>• 73%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Affiliated Dist - Qlik Environment Support H2-2026</w:t>
            </w:r>
          </w:p>
          <w:p>
            <w:pPr>
              <w:spacing w:after="0"/>
              <w:ind w:left="360" w:hanging="360"/>
            </w:pPr>
            <w:r>
              <w:t>• New Leaders - AI POD: Phase 1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  <w:p>
            <w:pPr>
              <w:spacing w:after="0"/>
              <w:ind w:left="360" w:hanging="360"/>
            </w:pPr>
            <w:r>
              <w:t>• Cleartelligence - Helix Overhead</w:t>
            </w:r>
          </w:p>
          <w:p>
            <w:pPr>
              <w:spacing w:after="0"/>
              <w:ind w:left="360" w:hanging="360"/>
            </w:pPr>
            <w:r>
              <w:t>• Verizon - GCP Efforts</w:t>
            </w:r>
          </w:p>
        </w:tc>
      </w:tr>
      <w:tr>
        <w:tc>
          <w:tcPr>
            <w:tcW w:type="dxa" w:w="2304"/>
          </w:tcPr>
          <w:p>
            <w:r>
              <w:rPr>
                <w:color w:val="2E7D32"/>
              </w:rPr>
              <w:t>Jason Lotz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85% (this week)</w:t>
            </w:r>
          </w:p>
          <w:p>
            <w:pPr>
              <w:spacing w:after="0"/>
              <w:ind w:left="360" w:hanging="360"/>
            </w:pPr>
            <w:r>
              <w:t>• 85% (week of Oct 12, projected)</w:t>
            </w:r>
          </w:p>
          <w:p>
            <w:pPr>
              <w:spacing w:after="0"/>
              <w:ind w:left="360" w:hanging="360"/>
            </w:pPr>
            <w:r>
              <w:t>• 85% (week of Oct 19, projected)</w:t>
            </w:r>
          </w:p>
          <w:p>
            <w:pPr>
              <w:spacing w:after="0"/>
              <w:ind w:left="360" w:hanging="360"/>
            </w:pPr>
            <w:r>
              <w:t>• 77% (week of Nov 2, projected)</w:t>
            </w:r>
          </w:p>
          <w:p>
            <w:pPr>
              <w:spacing w:after="0"/>
              <w:ind w:left="360" w:hanging="360"/>
            </w:pPr>
            <w:r>
              <w:t>• 75%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Authorized Projects</w:t>
            </w:r>
          </w:p>
          <w:p>
            <w:pPr>
              <w:spacing w:after="0"/>
              <w:ind w:left="360" w:hanging="360"/>
            </w:pPr>
            <w:r>
              <w:t>• Counsel Press - Phase VII Dev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</w:tc>
      </w:tr>
      <w:tr>
        <w:tc>
          <w:tcPr>
            <w:tcW w:type="dxa" w:w="2304"/>
          </w:tcPr>
          <w:p>
            <w:r>
              <w:rPr>
                <w:color w:val="C62828"/>
              </w:rPr>
              <w:t>Jeff Robinson</w:t>
            </w:r>
          </w:p>
        </w:tc>
        <w:tc>
          <w:tcPr>
            <w:tcW w:type="dxa" w:w="4320"/>
          </w:tcPr>
          <w:p>
            <w:pPr>
              <w:ind w:left="360" w:hanging="360"/>
            </w:pPr>
            <w:r>
              <w:t>• Clean (this week)</w:t>
            </w:r>
          </w:p>
          <w:p>
            <w:pPr>
              <w:spacing w:after="0"/>
              <w:ind w:left="360" w:hanging="360"/>
            </w:pPr>
            <w:r>
              <w:t>• 0% (week of Oct 19, projected)</w:t>
            </w:r>
          </w:p>
          <w:p>
            <w:pPr>
              <w:spacing w:after="0"/>
              <w:ind w:left="360" w:hanging="360"/>
            </w:pPr>
            <w:r>
              <w:t>• 0% (week of Oct 26, projected)</w:t>
            </w:r>
          </w:p>
          <w:p>
            <w:pPr>
              <w:spacing w:after="0"/>
              <w:ind w:left="360" w:hanging="360"/>
            </w:pPr>
            <w:r>
              <w:t>• 0% (week of Nov 2, projected)</w:t>
            </w:r>
          </w:p>
          <w:p>
            <w:pPr>
              <w:spacing w:after="0"/>
              <w:ind w:left="360" w:hanging="360"/>
            </w:pPr>
            <w:r>
              <w:t>• 0% (week of Nov 9, projected)</w:t>
            </w:r>
          </w:p>
        </w:tc>
        <w:tc>
          <w:tcPr>
            <w:tcW w:type="dxa" w:w="2736"/>
          </w:tcPr>
          <w:p>
            <w:pPr>
              <w:ind w:left="360" w:hanging="360"/>
            </w:pPr>
            <w:r>
              <w:t>• Alliance Technical Group - Workflow Orchestration ADF</w:t>
            </w:r>
          </w:p>
          <w:p>
            <w:pPr>
              <w:spacing w:after="0"/>
              <w:ind w:left="360" w:hanging="360"/>
            </w:pPr>
            <w:r>
              <w:t>• Internal</w:t>
            </w:r>
          </w:p>
        </w:tc>
      </w:tr>
    </w:tbl>
    <w:p/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E8E8"/>
          </w:tcPr>
          <w:p>
            <w:r>
              <w:rPr>
                <w:b/>
              </w:rPr>
              <w:t>COO Comments - Availability:</w:t>
            </w:r>
          </w:p>
        </w:tc>
      </w:tr>
      <w:tr>
        <w:tc>
          <w:tcPr>
            <w:tcW w:type="dxa" w:w="9360"/>
          </w:tcPr>
          <w:p/>
          <w:p/>
          <w:p/>
          <w:p/>
          <w:p/>
        </w:tc>
      </w:tr>
    </w:tbl>
    <w:p/>
    <w:p>
      <w:pPr>
        <w:pStyle w:val="Heading2"/>
      </w:pPr>
      <w:r>
        <w:t>Open Roles &amp; Recruiting</w:t>
      </w:r>
    </w:p>
    <w:p>
      <w:r>
        <w:t>Recruiter notes come from the recruiting report dated Oct 5, 2026; roles without a note have no requisition open in the ATS.</w:t>
      </w:r>
    </w:p>
    <w:p>
      <w:pPr>
        <w:pStyle w:val="Heading3"/>
      </w:pPr>
      <w:r>
        <w:t>Boston Scientific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US Sigma end user support</w:t>
      </w:r>
      <w:r>
        <w:t xml:space="preserve"> on BSC Sigma Implementation &amp; Support 2026: 4 hrs/day, a partial need; 65% probability, Positive Intent of Proposal (Pipeline); estimated start Nov 2,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US Sr DV&amp;A, Tableau</w:t>
      </w:r>
      <w:r>
        <w:t xml:space="preserve"> on BSC Cardio Marketing Data Visualization: 8 hrs/day, a full-time need; 65% probability, Positive Intent of Proposal (Pipeline); estimated start Dec 1,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US-Sigma platform admin/strategy</w:t>
      </w:r>
      <w:r>
        <w:t xml:space="preserve"> on BSC Sigma Implementation &amp; Support 2026: 4 hrs/day, a partial need; 65% probability, Positive Intent of Proposal (Pipeline); estimated start Nov 2,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BSC Solutions Architect</w:t>
      </w:r>
      <w:r>
        <w:t>: requisition open in the ATS with no Salesforce demand line yet (Full-time, Solutions Architecture; target start 11/16/2026).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6 days; 0 candidates interviewing; target start 11/16/2026.</w:t>
      </w:r>
    </w:p>
    <w:p>
      <w:pPr>
        <w:spacing w:after="40"/>
        <w:ind w:left="1080" w:hanging="360"/>
      </w:pPr>
      <w:r>
        <w:rPr>
          <w:i/>
        </w:rPr>
        <w:t>• 10/2: no update. starting to screen candidates next week.</w:t>
      </w:r>
    </w:p>
    <w:p>
      <w:pPr>
        <w:spacing w:after="40"/>
        <w:ind w:left="1080" w:hanging="360"/>
      </w:pPr>
      <w:r>
        <w:rPr>
          <w:i/>
        </w:rPr>
        <w:t>• 9.28 new role opened to pool for possible November start. Team to get commit from client. Made clear this will take 6 weeks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pStyle w:val="Heading3"/>
      </w:pPr>
      <w:r>
        <w:t>Care Hospice Inc.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DV&amp;A Consultant</w:t>
      </w:r>
      <w:r>
        <w:t xml:space="preserve"> on Care Hospice - ML Liability Model: 3.8 hrs/day, a partial need; 100% probability, Won / Closed (Closed); estimated start Sep 14,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DV&amp;A Consultant</w:t>
      </w:r>
      <w:r>
        <w:t xml:space="preserve"> on Care Hospice - ML Liability Model: 4.4 hrs/day, a partial need; 100% probability, Won / Closed (Closed); estimated start Sep 14,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DV&amp;A Consultant</w:t>
      </w:r>
      <w:r>
        <w:t xml:space="preserve"> on Care Hospice - ML Liability Model: 8.9 hrs/day, above a single full day; 100% probability, Won / Closed (Closed); estimated start Sep 14,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pStyle w:val="Heading3"/>
      </w:pPr>
      <w:r>
        <w:t>DoorDash, Inc.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Critical River FTE</w:t>
      </w:r>
      <w:r>
        <w:t xml:space="preserve"> on Door Dash - RSL Crtical River Resource Transition (Sakshi): 8 hrs/day, a full-time need; 65% probability, Positive Intent of Proposal (Pipeline); estimated start Oct 15,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3 days; 0 candidates interviewing; target start 10/19/2026.</w:t>
      </w:r>
    </w:p>
    <w:p>
      <w:pPr>
        <w:spacing w:after="40"/>
        <w:ind w:left="1080" w:hanging="360"/>
      </w:pPr>
      <w:r>
        <w:rPr>
          <w:i/>
        </w:rPr>
        <w:t>• 10/2: Client asked to bring Sakshi on as they terminated the contract with her vendor. Getting offer approved and sent over for a target 10/19 SD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Korra - CTI Sr Data Engineer Snowflake/dbt</w:t>
      </w:r>
      <w:r>
        <w:t xml:space="preserve"> on DoorDash - Data Engineering Resource 2: 8 hrs/day, a full-time need; 65% probability, Positive Intent of Proposal (Pipeline); estimated start Oct 16,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Nagendra Ponna; open 32 days; 2 candidates interviewing; target start 10/19/2026.</w:t>
      </w:r>
    </w:p>
    <w:p>
      <w:pPr>
        <w:spacing w:after="40"/>
        <w:ind w:left="1080" w:hanging="360"/>
      </w:pPr>
      <w:r>
        <w:rPr>
          <w:i/>
        </w:rPr>
        <w:t>• 10/2: Korra has pushed SD out to 10/16. Meeting back ups</w:t>
      </w:r>
    </w:p>
    <w:p>
      <w:pPr>
        <w:spacing w:after="40"/>
        <w:ind w:left="1080" w:hanging="360"/>
      </w:pPr>
      <w:r>
        <w:rPr>
          <w:i/>
        </w:rPr>
        <w:t>• 9/28: Korra needed to push SD due to employer notice. tentative 10/5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Latam Backfill-Marcus Martins</w:t>
      </w:r>
      <w:r>
        <w:t xml:space="preserve"> on DoorDash - RSL Team 2026: 8 hrs/day, a full-time need; 100% probability, Won / Closed (Closed); estimated start Jan 2,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13 days; 3 candidates interviewing; target start 10/19/2026.</w:t>
      </w:r>
    </w:p>
    <w:p>
      <w:pPr>
        <w:spacing w:after="40"/>
        <w:ind w:left="1080" w:hanging="360"/>
      </w:pPr>
      <w:r>
        <w:rPr>
          <w:i/>
        </w:rPr>
        <w:t>• 10/2: 3 interviews this week. moving 2 to team meeting Wed/Thursday</w:t>
      </w:r>
    </w:p>
    <w:p>
      <w:pPr>
        <w:spacing w:after="40"/>
        <w:ind w:left="1080" w:hanging="360"/>
      </w:pPr>
      <w:r>
        <w:rPr>
          <w:i/>
        </w:rPr>
        <w:t>• 9/25: KO with team Monday.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Nikita backfill-CTI Sr AI Engineer</w:t>
      </w:r>
      <w:r>
        <w:t xml:space="preserve"> on DoorDash - AI Engineering: 8 hrs/day, a full-time need; 90% probability, Contracting (Forecast); estimated start Aug 10,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Nagendra Ponna; open 6 days; 1 candidate interviewing; target start 10/19/2026.</w:t>
      </w:r>
    </w:p>
    <w:p>
      <w:pPr>
        <w:spacing w:after="40"/>
        <w:ind w:left="1080" w:hanging="360"/>
      </w:pPr>
      <w:r>
        <w:rPr>
          <w:i/>
        </w:rPr>
        <w:t>• 10/5: 1 candidate interviewing. have not gotten commit form client to backfill.</w:t>
      </w:r>
    </w:p>
    <w:p>
      <w:pPr>
        <w:spacing w:after="40"/>
        <w:ind w:left="1080" w:hanging="360"/>
      </w:pPr>
      <w:r>
        <w:rPr>
          <w:i/>
        </w:rPr>
        <w:t>• 9/28. Let Nikita go due to poor performance. re-opening for backfill. Hire in Hyderabad for more oversight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pStyle w:val="Heading3"/>
      </w:pPr>
      <w:r>
        <w:t>Fairgrove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John Lott-US Sr. DE</w:t>
      </w:r>
      <w:r>
        <w:t xml:space="preserve"> on Fairgrove: MDS +( Finance,Ops and Payroll): 8 hrs/day, a full-time need; 100% probability, Won / Closed (Closed); estimated start Sep 21,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US Sr DV&amp;A / AI</w:t>
      </w:r>
      <w:r>
        <w:t xml:space="preserve"> on Fairgrove: MDS +( Finance,Ops and Payroll): 4 hrs/day, a partial need; 100% probability, Won / Closed (Closed); estimated start Sep 21,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US Sr DV&amp;A-AI</w:t>
      </w:r>
      <w:r>
        <w:t xml:space="preserve"> on Fairgrove: MDS +( Finance,Ops and Payroll): 8 hrs/day, a full-time need; 100% probability, Won / Closed (Closed); estimated start Sep 21,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pStyle w:val="Heading3"/>
      </w:pPr>
      <w:r>
        <w:t>Harvard Business Publishing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DV&amp;A-Alteryx/Tableau</w:t>
      </w:r>
      <w:r>
        <w:t xml:space="preserve"> on HBP-FY2027 Data Engineering Q2: 4 hrs/day, a partial need; 75% probability, Positive Intent of Proposal (Pipeline); estimated start Oct 9,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pStyle w:val="Heading3"/>
      </w:pPr>
      <w:r>
        <w:t>Industrial Physics, Inc.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Sr. DE</w:t>
      </w:r>
      <w:r>
        <w:t xml:space="preserve"> on Industrial Physics - Semantic Layer and MDM foundation: 8.5 hrs/day, above a single full day; 70% probability, SOW (BestCase); estimated start Nov 2,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Sr. Data Eng</w:t>
      </w:r>
      <w:r>
        <w:t xml:space="preserve"> on Industrial Physics - Semantic Layer and MDM foundation: 6.1 hrs/day, a partial need; 70% probability, SOW (BestCase); estimated start Nov 2,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pStyle w:val="Heading3"/>
      </w:pPr>
      <w:r>
        <w:t>New Leaders, Inc.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Sai - US Sr. Full Stack AI Engineer</w:t>
      </w:r>
      <w:r>
        <w:t xml:space="preserve"> on New Leaders - AI POD: Phase 1: 8 hrs/day, a full-time need; 100% probability, Won / Closed (Closed); estimated start Aug 24, 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32 days; 14 candidates interviewing; target start 10/07/2026.</w:t>
      </w:r>
    </w:p>
    <w:p>
      <w:pPr>
        <w:spacing w:after="40"/>
        <w:ind w:left="1080" w:hanging="360"/>
      </w:pPr>
      <w:r>
        <w:rPr>
          <w:i/>
        </w:rPr>
        <w:t>• 10/2: BG still pending. Everything but WA has checked. Manual processing which takes long. Estimated to be complete 10/5. Project work pushed out a week</w:t>
      </w:r>
    </w:p>
    <w:p>
      <w:pPr>
        <w:spacing w:after="40"/>
        <w:ind w:left="1080" w:hanging="360"/>
      </w:pPr>
      <w:r>
        <w:rPr>
          <w:i/>
        </w:rPr>
        <w:t>• 9/25: one part of BG check still pending. SD likely 10/1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pStyle w:val="Heading3"/>
      </w:pPr>
      <w:r>
        <w:t>Internal &amp; SG&amp;A requisitions (no Salesforce demand)</w:t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AI Engineering, Practice Director</w:t>
      </w:r>
      <w:r>
        <w:t>: Full-time, AI Engineering; hiring manager Mark McKenna; target start 11/09/2026.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55 days; 18 candidates interviewing; target start 11/09/2026.</w:t>
      </w:r>
    </w:p>
    <w:p>
      <w:pPr>
        <w:spacing w:after="40"/>
        <w:ind w:left="1080" w:hanging="360"/>
      </w:pPr>
      <w:r>
        <w:rPr>
          <w:i/>
        </w:rPr>
        <w:t>• 10/2: Continue sourcing and screening. Another meeting MM on 10/5</w:t>
      </w:r>
    </w:p>
    <w:p>
      <w:pPr>
        <w:spacing w:after="40"/>
        <w:ind w:left="1080" w:hanging="360"/>
      </w:pPr>
      <w:r>
        <w:rPr>
          <w:i/>
        </w:rPr>
        <w:t>• 9/25. Top candidate did drop. Once other interviewing and actively sourcing more.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Data Management, Practice Director</w:t>
      </w:r>
      <w:r>
        <w:t>: Full-time, Data Management; hiring manager Mark McKenna; target start 11/16/2026.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53 days; 6 candidates interviewing; target start 11/16/2026.</w:t>
      </w:r>
    </w:p>
    <w:p>
      <w:pPr>
        <w:spacing w:after="40"/>
        <w:ind w:left="1080" w:hanging="360"/>
      </w:pPr>
      <w:r>
        <w:rPr>
          <w:i/>
        </w:rPr>
        <w:t>• 10/2: moving forward with Payal. Final step to dine with MM, then possibly meet team</w:t>
      </w:r>
    </w:p>
    <w:p>
      <w:pPr>
        <w:spacing w:after="40"/>
        <w:ind w:left="1080" w:hanging="360"/>
      </w:pPr>
      <w:r>
        <w:rPr>
          <w:i/>
        </w:rPr>
        <w:t>• 9/25: 2 candidates moving to rounds with Owen. continue to source back ups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Delivery Lead</w:t>
      </w:r>
      <w:r>
        <w:t>: Full-time, Delivery Mangement; hiring manager Mark McKenna; target start 11/16/2026.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32 days; 4 candidates interviewing; target start 11/16/2026.</w:t>
      </w:r>
    </w:p>
    <w:p>
      <w:pPr>
        <w:spacing w:after="40"/>
        <w:ind w:left="1080" w:hanging="360"/>
      </w:pPr>
      <w:r>
        <w:rPr>
          <w:i/>
        </w:rPr>
        <w:t>• 10/2: screening more candidates. Moving one to 2nd rounds. Meeting with interview team on 10/5</w:t>
      </w:r>
    </w:p>
    <w:p>
      <w:pPr>
        <w:spacing w:after="40"/>
        <w:ind w:left="1080" w:hanging="360"/>
      </w:pPr>
      <w:r>
        <w:rPr>
          <w:i/>
        </w:rPr>
        <w:t>• 9/25: started interviewing this week. Have not met "the one". Sourcing continues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Marketing Manager</w:t>
      </w:r>
      <w:r>
        <w:t>: Full-time, Marketing; hiring manager Owen Frivold; target start 10/07/2026.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39 days; 3 candidates interviewing; target start 10/07/2026.</w:t>
      </w:r>
    </w:p>
    <w:p>
      <w:pPr>
        <w:spacing w:after="40"/>
        <w:ind w:left="1080" w:hanging="360"/>
      </w:pPr>
      <w:r>
        <w:rPr>
          <w:i/>
        </w:rPr>
        <w:t>• 10/2: plan to hire Julia on 3 month retainer. Jill to discuss and get contractor offer to her</w:t>
      </w:r>
    </w:p>
    <w:p>
      <w:pPr>
        <w:spacing w:after="40"/>
        <w:ind w:left="1080" w:hanging="360"/>
      </w:pPr>
      <w:r>
        <w:rPr>
          <w:i/>
        </w:rPr>
        <w:t>• 9/25:OF and KL  meeting with potential contractor Monday.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p>
      <w:pPr>
        <w:spacing w:after="40"/>
        <w:ind w:left="360" w:hanging="360"/>
      </w:pPr>
      <w:r>
        <w:rPr>
          <w:i w:val="0"/>
        </w:rPr>
        <w:t xml:space="preserve">• </w:t>
      </w:r>
      <w:r>
        <w:rPr>
          <w:b/>
        </w:rPr>
        <w:t>Solutions Architect (Floater)</w:t>
      </w:r>
      <w:r>
        <w:t>: Full-time, Solutions Architecture; hiring manager Mark McKenna; target start 11/30/2026.</w:t>
      </w:r>
    </w:p>
    <w:p>
      <w:pPr>
        <w:spacing w:after="40"/>
        <w:ind w:left="720"/>
      </w:pPr>
      <w:r>
        <w:rPr>
          <w:b/>
          <w:i/>
        </w:rPr>
        <w:t xml:space="preserve">Recruiter Notes: </w:t>
      </w:r>
      <w:r>
        <w:rPr>
          <w:i/>
        </w:rPr>
        <w:t>Jill Austin; open 35 days; 2 candidates interviewing; target start 11/30/2026.</w:t>
      </w:r>
    </w:p>
    <w:p>
      <w:pPr>
        <w:spacing w:after="40"/>
        <w:ind w:left="1080" w:hanging="360"/>
      </w:pPr>
      <w:r>
        <w:rPr>
          <w:i/>
        </w:rPr>
        <w:t>• 10/2: opened for pooling. Likely wont need esp if we hire BSC.</w:t>
      </w:r>
    </w:p>
    <w:p>
      <w:pPr>
        <w:spacing w:after="40"/>
        <w:ind w:left="1080" w:hanging="360"/>
      </w:pPr>
      <w:r>
        <w:rPr>
          <w:i/>
        </w:rPr>
        <w:t>• 9.25: no new activity for this role. Lower priority</w:t>
      </w:r>
    </w:p>
    <w:p>
      <w:pPr>
        <w:spacing w:after="40"/>
        <w:ind w:left="720"/>
      </w:pPr>
      <w:r>
        <w:rPr>
          <w:b/>
          <w:i/>
        </w:rPr>
        <w:t xml:space="preserve">Possible Resource Fits: </w:t>
      </w:r>
      <w:r>
        <w:rPr>
          <w:i/>
        </w:rPr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E8E8"/>
          </w:tcPr>
          <w:p>
            <w:r>
              <w:rPr>
                <w:b/>
              </w:rPr>
              <w:t>COO Comments - Open Roles &amp; Recruiting:</w:t>
            </w:r>
          </w:p>
        </w:tc>
      </w:tr>
      <w:tr>
        <w:tc>
          <w:tcPr>
            <w:tcW w:type="dxa" w:w="9360"/>
          </w:tcPr>
          <w:p/>
          <w:p/>
          <w:p/>
          <w:p/>
          <w:p/>
        </w:tc>
      </w:tr>
    </w:tbl>
    <w:p/>
    <w:sectPr w:rsidR="009539EE" w:rsidRPr="00CF39E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CB95" w14:textId="77777777" w:rsidR="00054BC3" w:rsidRDefault="00054BC3" w:rsidP="00B0093A">
      <w:pPr>
        <w:spacing w:after="0" w:line="240" w:lineRule="auto"/>
      </w:pPr>
      <w:r>
        <w:separator/>
      </w:r>
    </w:p>
  </w:endnote>
  <w:endnote w:type="continuationSeparator" w:id="0">
    <w:p w14:paraId="77D5585A" w14:textId="77777777" w:rsidR="00054BC3" w:rsidRDefault="00054BC3" w:rsidP="00B00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E8DA" w14:textId="3DA4F00A" w:rsidR="00B0093A" w:rsidRPr="00B0093A" w:rsidRDefault="00CF39E9" w:rsidP="00CF39E9">
    <w:pPr>
      <w:rPr>
        <w:sz w:val="16"/>
        <w:szCs w:val="16"/>
      </w:rPr>
    </w:pPr>
    <w:r>
      <w:rPr>
        <w:sz w:val="16"/>
        <w:szCs w:val="16"/>
      </w:rPr>
      <w:t>CONFIDENTIAL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</w:t>
    </w:r>
    <w:r w:rsidR="00B0093A" w:rsidRPr="00B0093A">
      <w:rPr>
        <w:sz w:val="16"/>
        <w:szCs w:val="16"/>
      </w:rPr>
      <w:fldChar w:fldCharType="begin"/>
    </w:r>
    <w:r w:rsidR="00B0093A" w:rsidRPr="00B0093A">
      <w:rPr>
        <w:sz w:val="16"/>
        <w:szCs w:val="16"/>
      </w:rPr>
      <w:instrText xml:space="preserve"> PAGE  \* MERGEFORMAT </w:instrText>
    </w:r>
    <w:r w:rsidR="00B0093A" w:rsidRPr="00B0093A">
      <w:rPr>
        <w:sz w:val="16"/>
        <w:szCs w:val="16"/>
      </w:rPr>
      <w:fldChar w:fldCharType="separate"/>
    </w:r>
    <w:r w:rsidR="00B0093A" w:rsidRPr="00B0093A">
      <w:rPr>
        <w:noProof/>
        <w:sz w:val="16"/>
        <w:szCs w:val="16"/>
      </w:rPr>
      <w:t>1</w:t>
    </w:r>
    <w:r w:rsidR="00B0093A" w:rsidRPr="00B0093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EF879" w14:textId="77777777" w:rsidR="00054BC3" w:rsidRDefault="00054BC3" w:rsidP="00B0093A">
      <w:pPr>
        <w:spacing w:after="0" w:line="240" w:lineRule="auto"/>
      </w:pPr>
      <w:r>
        <w:separator/>
      </w:r>
    </w:p>
  </w:footnote>
  <w:footnote w:type="continuationSeparator" w:id="0">
    <w:p w14:paraId="60425849" w14:textId="77777777" w:rsidR="00054BC3" w:rsidRDefault="00054BC3" w:rsidP="00B00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4E96" w14:textId="1446C2EF" w:rsidR="00B0093A" w:rsidRDefault="00B0093A" w:rsidP="00B0093A">
    <w:pPr>
      <w:pStyle w:val="Header"/>
      <w:jc w:val="right"/>
    </w:pPr>
    <w:r>
      <w:rPr>
        <w:noProof/>
      </w:rPr>
      <w:drawing>
        <wp:inline distT="0" distB="0" distL="0" distR="0" wp14:anchorId="79B10065" wp14:editId="44C65F21">
          <wp:extent cx="1342103" cy="270883"/>
          <wp:effectExtent l="0" t="0" r="4445" b="0"/>
          <wp:docPr id="869439635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439635" name="Picture 1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411" cy="3046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56"/>
    <w:rsid w:val="00053281"/>
    <w:rsid w:val="00054BC3"/>
    <w:rsid w:val="000B2A6D"/>
    <w:rsid w:val="00255A9E"/>
    <w:rsid w:val="003F6A6F"/>
    <w:rsid w:val="00463577"/>
    <w:rsid w:val="005A5837"/>
    <w:rsid w:val="005E507C"/>
    <w:rsid w:val="005E6DFC"/>
    <w:rsid w:val="005F2856"/>
    <w:rsid w:val="009539EE"/>
    <w:rsid w:val="00960232"/>
    <w:rsid w:val="00965895"/>
    <w:rsid w:val="009761D0"/>
    <w:rsid w:val="009D2ECF"/>
    <w:rsid w:val="00AC063E"/>
    <w:rsid w:val="00B0093A"/>
    <w:rsid w:val="00B831CC"/>
    <w:rsid w:val="00CF39E9"/>
    <w:rsid w:val="00E339F5"/>
    <w:rsid w:val="00F66960"/>
    <w:rsid w:val="00F9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C7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93A"/>
    <w:rPr>
      <w:rFonts w:ascii="Aptos Light" w:hAnsi="Aptos Light"/>
      <w:color w:val="110B18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93A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182D4F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364AC" w:themeColor="accen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9E9"/>
    <w:pPr>
      <w:keepNext/>
      <w:keepLines/>
      <w:spacing w:before="160" w:after="80"/>
      <w:outlineLvl w:val="2"/>
    </w:pPr>
    <w:rPr>
      <w:rFonts w:ascii="Aptos" w:eastAsiaTheme="majorEastAsia" w:hAnsi="Aptos" w:cstheme="majorBidi"/>
      <w:b/>
      <w:color w:val="182D4F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D8EC8" w:themeColor="accent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12213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613F8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613F8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34214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34214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3A"/>
    <w:rPr>
      <w:rFonts w:ascii="Aptos" w:eastAsiaTheme="majorEastAsia" w:hAnsi="Aptos" w:cstheme="majorBidi"/>
      <w:b/>
      <w:color w:val="182D4F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93A"/>
    <w:rPr>
      <w:rFonts w:asciiTheme="majorHAnsi" w:eastAsiaTheme="majorEastAsia" w:hAnsiTheme="majorHAnsi" w:cstheme="majorBidi"/>
      <w:color w:val="3364AC" w:themeColor="accen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9E9"/>
    <w:rPr>
      <w:rFonts w:ascii="Aptos" w:eastAsiaTheme="majorEastAsia" w:hAnsi="Aptos" w:cstheme="majorBidi"/>
      <w:b/>
      <w:color w:val="182D4F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E9"/>
    <w:rPr>
      <w:rFonts w:asciiTheme="minorHAnsi" w:eastAsiaTheme="majorEastAsia" w:hAnsiTheme="minorHAnsi" w:cstheme="majorBidi"/>
      <w:i/>
      <w:iCs/>
      <w:color w:val="3D8EC8" w:themeColor="accent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56"/>
    <w:rPr>
      <w:rFonts w:asciiTheme="minorHAnsi" w:eastAsiaTheme="majorEastAsia" w:hAnsiTheme="minorHAnsi" w:cstheme="majorBidi"/>
      <w:color w:val="12213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56"/>
    <w:rPr>
      <w:rFonts w:asciiTheme="minorHAnsi" w:eastAsiaTheme="majorEastAsia" w:hAnsiTheme="minorHAnsi" w:cstheme="majorBidi"/>
      <w:i/>
      <w:iCs/>
      <w:color w:val="613F8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56"/>
    <w:rPr>
      <w:rFonts w:asciiTheme="minorHAnsi" w:eastAsiaTheme="majorEastAsia" w:hAnsiTheme="minorHAnsi" w:cstheme="majorBidi"/>
      <w:color w:val="613F8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56"/>
    <w:rPr>
      <w:rFonts w:asciiTheme="minorHAnsi" w:eastAsiaTheme="majorEastAsia" w:hAnsiTheme="minorHAnsi" w:cstheme="majorBidi"/>
      <w:i/>
      <w:iCs/>
      <w:color w:val="34214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56"/>
    <w:rPr>
      <w:rFonts w:asciiTheme="minorHAnsi" w:eastAsiaTheme="majorEastAsia" w:hAnsiTheme="minorHAnsi" w:cstheme="majorBidi"/>
      <w:color w:val="34214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3A"/>
    <w:pPr>
      <w:numPr>
        <w:ilvl w:val="1"/>
      </w:numPr>
    </w:pPr>
    <w:rPr>
      <w:rFonts w:asciiTheme="minorHAnsi" w:eastAsiaTheme="majorEastAsia" w:hAnsiTheme="minorHAnsi" w:cstheme="majorBidi"/>
      <w:color w:val="EC8E2E" w:themeColor="accent4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3A"/>
    <w:rPr>
      <w:rFonts w:asciiTheme="minorHAnsi" w:eastAsiaTheme="majorEastAsia" w:hAnsiTheme="minorHAnsi" w:cstheme="majorBidi"/>
      <w:color w:val="EC8E2E" w:themeColor="accent4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56"/>
    <w:pPr>
      <w:spacing w:before="160"/>
      <w:jc w:val="center"/>
    </w:pPr>
    <w:rPr>
      <w:i/>
      <w:iCs/>
      <w:color w:val="4A306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56"/>
    <w:rPr>
      <w:i/>
      <w:iCs/>
      <w:color w:val="4A3069" w:themeColor="text1" w:themeTint="BF"/>
    </w:rPr>
  </w:style>
  <w:style w:type="paragraph" w:styleId="ListParagraph">
    <w:name w:val="List Paragraph"/>
    <w:basedOn w:val="Normal"/>
    <w:uiPriority w:val="34"/>
    <w:qFormat/>
    <w:rsid w:val="005F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56"/>
    <w:rPr>
      <w:i/>
      <w:iCs/>
      <w:color w:val="12213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56"/>
    <w:pPr>
      <w:pBdr>
        <w:top w:val="single" w:sz="4" w:space="10" w:color="12213B" w:themeColor="accent1" w:themeShade="BF"/>
        <w:bottom w:val="single" w:sz="4" w:space="10" w:color="12213B" w:themeColor="accent1" w:themeShade="BF"/>
      </w:pBdr>
      <w:spacing w:before="360" w:after="360"/>
      <w:ind w:left="864" w:right="864"/>
      <w:jc w:val="center"/>
    </w:pPr>
    <w:rPr>
      <w:i/>
      <w:iCs/>
      <w:color w:val="12213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56"/>
    <w:rPr>
      <w:i/>
      <w:iCs/>
      <w:color w:val="12213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56"/>
    <w:rPr>
      <w:b/>
      <w:bCs w:val="0"/>
      <w:smallCaps/>
      <w:color w:val="12213B" w:themeColor="accent1" w:themeShade="BF"/>
      <w:spacing w:val="5"/>
    </w:rPr>
  </w:style>
  <w:style w:type="paragraph" w:styleId="NoSpacing">
    <w:name w:val="No Spacing"/>
    <w:uiPriority w:val="1"/>
    <w:qFormat/>
    <w:rsid w:val="00B0093A"/>
    <w:pPr>
      <w:spacing w:after="0" w:line="240" w:lineRule="auto"/>
    </w:pPr>
    <w:rPr>
      <w:rFonts w:ascii="Aptos Light" w:hAnsi="Aptos Light"/>
    </w:rPr>
  </w:style>
  <w:style w:type="character" w:styleId="Strong">
    <w:name w:val="Strong"/>
    <w:basedOn w:val="DefaultParagraphFont"/>
    <w:uiPriority w:val="22"/>
    <w:qFormat/>
    <w:rsid w:val="00B0093A"/>
    <w:rPr>
      <w:b/>
      <w:bCs w:val="0"/>
    </w:rPr>
  </w:style>
  <w:style w:type="paragraph" w:styleId="Header">
    <w:name w:val="header"/>
    <w:basedOn w:val="Normal"/>
    <w:link w:val="HeaderChar"/>
    <w:uiPriority w:val="99"/>
    <w:unhideWhenUsed/>
    <w:rsid w:val="00B00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93A"/>
    <w:rPr>
      <w:rFonts w:ascii="Aptos Light" w:hAnsi="Aptos Light"/>
      <w:color w:val="110B18" w:themeColor="text1"/>
    </w:rPr>
  </w:style>
  <w:style w:type="paragraph" w:styleId="Footer">
    <w:name w:val="footer"/>
    <w:basedOn w:val="Normal"/>
    <w:link w:val="FooterChar"/>
    <w:uiPriority w:val="99"/>
    <w:unhideWhenUsed/>
    <w:rsid w:val="00B00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93A"/>
    <w:rPr>
      <w:rFonts w:ascii="Aptos Light" w:hAnsi="Aptos Light"/>
      <w:color w:val="110B18" w:themeColor="text1"/>
    </w:rPr>
  </w:style>
  <w:style w:type="table" w:styleId="TableGrid">
    <w:name w:val="Table Grid"/>
    <w:basedOn w:val="TableNormal"/>
    <w:uiPriority w:val="39"/>
    <w:rsid w:val="003F6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F6A6F"/>
    <w:pPr>
      <w:spacing w:after="0" w:line="240" w:lineRule="auto"/>
    </w:pPr>
    <w:rPr>
      <w:rFonts w:ascii="Aptos Light" w:hAnsi="Aptos Light"/>
    </w:rPr>
    <w:tblPr>
      <w:tblStyleRowBandSize w:val="1"/>
      <w:tblStyleColBandSize w:val="1"/>
      <w:tblBorders>
        <w:top w:val="single" w:sz="4" w:space="0" w:color="3364AC" w:themeColor="accent2"/>
        <w:bottom w:val="single" w:sz="4" w:space="0" w:color="3364AC" w:themeColor="accent2"/>
      </w:tblBorders>
    </w:tblPr>
    <w:tblStylePr w:type="firstRow">
      <w:rPr>
        <w:rFonts w:ascii="Aptos" w:hAnsi="Aptos"/>
        <w:b/>
        <w:bCs/>
        <w:i w:val="0"/>
      </w:rPr>
      <w:tblPr/>
      <w:tcPr>
        <w:tcBorders>
          <w:bottom w:val="single" w:sz="4" w:space="0" w:color="3364AC" w:themeColor="accent2"/>
        </w:tcBorders>
      </w:tcPr>
    </w:tblStylePr>
    <w:tblStylePr w:type="lastRow">
      <w:pPr>
        <w:jc w:val="right"/>
      </w:pPr>
      <w:rPr>
        <w:rFonts w:ascii="Aptos" w:hAnsi="Aptos"/>
        <w:b/>
        <w:bCs/>
        <w:i w:val="0"/>
      </w:rPr>
      <w:tblPr/>
      <w:tcPr>
        <w:tcBorders>
          <w:top w:val="single" w:sz="4" w:space="0" w:color="3364AC" w:themeColor="accent2"/>
          <w:bottom w:val="single" w:sz="4" w:space="0" w:color="3364AC" w:themeColor="accent2"/>
        </w:tcBorders>
        <w:vAlign w:val="center"/>
      </w:tcPr>
    </w:tblStylePr>
    <w:tblStylePr w:type="firstCol">
      <w:rPr>
        <w:rFonts w:ascii="Aptos" w:hAnsi="Aptos"/>
        <w:b/>
        <w:bCs/>
        <w:i w:val="0"/>
      </w:rPr>
      <w:tblPr/>
      <w:tcPr>
        <w:tcBorders>
          <w:right w:val="nil"/>
        </w:tcBorders>
      </w:tcPr>
    </w:tblStylePr>
    <w:tblStylePr w:type="lastCol">
      <w:pPr>
        <w:jc w:val="right"/>
      </w:pPr>
      <w:rPr>
        <w:rFonts w:ascii="Aptos" w:hAnsi="Aptos"/>
        <w:b/>
        <w:bCs/>
        <w:i w:val="0"/>
      </w:rPr>
      <w:tblPr/>
      <w:tcPr>
        <w:vAlign w:val="center"/>
      </w:tcPr>
    </w:tblStylePr>
    <w:tblStylePr w:type="band1Vert">
      <w:rPr>
        <w:rFonts w:asciiTheme="minorHAnsi" w:hAnsiTheme="minorHAnsi"/>
        <w:color w:val="110B18" w:themeColor="text1"/>
      </w:rPr>
      <w:tblPr/>
      <w:tcPr>
        <w:tcBorders>
          <w:left w:val="single" w:sz="4" w:space="0" w:color="FAF3ED" w:themeColor="accent6" w:themeTint="33"/>
          <w:right w:val="single" w:sz="4" w:space="0" w:color="FAF3ED" w:themeColor="accent6" w:themeTint="33"/>
        </w:tcBorders>
      </w:tcPr>
    </w:tblStylePr>
    <w:tblStylePr w:type="band2Vert">
      <w:rPr>
        <w:rFonts w:asciiTheme="minorHAnsi" w:hAnsiTheme="minorHAnsi"/>
        <w:color w:val="110B18" w:themeColor="text1"/>
      </w:rPr>
      <w:tblPr/>
      <w:tcPr>
        <w:tcBorders>
          <w:left w:val="single" w:sz="4" w:space="0" w:color="FAF3ED" w:themeColor="accent6" w:themeTint="33"/>
          <w:right w:val="single" w:sz="4" w:space="0" w:color="FAF3ED" w:themeColor="accent6" w:themeTint="33"/>
        </w:tcBorders>
      </w:tcPr>
    </w:tblStylePr>
    <w:tblStylePr w:type="band1Horz">
      <w:rPr>
        <w:rFonts w:asciiTheme="minorHAnsi" w:hAnsiTheme="minorHAnsi"/>
        <w:b w:val="0"/>
        <w:i w:val="0"/>
        <w:color w:val="110B18" w:themeColor="text1"/>
      </w:rPr>
      <w:tblPr/>
      <w:tcPr>
        <w:tcBorders>
          <w:top w:val="single" w:sz="4" w:space="0" w:color="FAF3ED" w:themeColor="accent6" w:themeTint="33"/>
          <w:bottom w:val="single" w:sz="4" w:space="0" w:color="FAF3ED" w:themeColor="accent6" w:themeTint="33"/>
        </w:tcBorders>
      </w:tcPr>
    </w:tblStylePr>
    <w:tblStylePr w:type="band2Horz">
      <w:rPr>
        <w:rFonts w:asciiTheme="minorHAnsi" w:hAnsiTheme="minorHAnsi"/>
        <w:b w:val="0"/>
        <w:i w:val="0"/>
        <w:color w:val="110B18" w:themeColor="text1"/>
      </w:rPr>
    </w:tblStylePr>
  </w:style>
  <w:style w:type="table" w:styleId="PlainTable3">
    <w:name w:val="Plain Table 3"/>
    <w:basedOn w:val="TableNormal"/>
    <w:uiPriority w:val="43"/>
    <w:rsid w:val="00E339F5"/>
    <w:pPr>
      <w:spacing w:after="0" w:line="240" w:lineRule="auto"/>
    </w:pPr>
    <w:rPr>
      <w:rFonts w:asciiTheme="minorHAnsi" w:hAnsiTheme="minorHAnsi"/>
    </w:rPr>
    <w:tblPr>
      <w:tblStyleRowBandSize w:val="1"/>
      <w:tblStyleColBandSize w:val="1"/>
    </w:tblPr>
    <w:tblStylePr w:type="firstRow">
      <w:rPr>
        <w:rFonts w:ascii="Aptos" w:hAnsi="Aptos"/>
        <w:b/>
        <w:bCs/>
        <w:i w:val="0"/>
        <w:caps w:val="0"/>
      </w:rPr>
      <w:tblPr/>
      <w:tcPr>
        <w:tcBorders>
          <w:top w:val="nil"/>
          <w:left w:val="nil"/>
          <w:bottom w:val="single" w:sz="4" w:space="0" w:color="3364AC" w:themeColor="accent2"/>
          <w:right w:val="nil"/>
        </w:tcBorders>
      </w:tcPr>
    </w:tblStylePr>
    <w:tblStylePr w:type="lastRow">
      <w:pPr>
        <w:jc w:val="right"/>
      </w:pPr>
      <w:rPr>
        <w:rFonts w:ascii="Aptos" w:hAnsi="Aptos"/>
        <w:b/>
        <w:bCs/>
        <w:i w:val="0"/>
        <w:caps w:val="0"/>
      </w:rPr>
      <w:tblPr/>
      <w:tcPr>
        <w:tcBorders>
          <w:top w:val="single" w:sz="4" w:space="0" w:color="3364AC" w:themeColor="accent2"/>
          <w:bottom w:val="single" w:sz="4" w:space="0" w:color="3364AC" w:themeColor="accent2"/>
        </w:tcBorders>
      </w:tcPr>
    </w:tblStylePr>
    <w:tblStylePr w:type="firstCol">
      <w:pPr>
        <w:jc w:val="left"/>
      </w:pPr>
      <w:rPr>
        <w:rFonts w:ascii="Aptos" w:hAnsi="Aptos"/>
        <w:b/>
        <w:bCs/>
        <w:i w:val="0"/>
        <w:caps w:val="0"/>
      </w:rPr>
      <w:tblPr/>
      <w:tcPr>
        <w:tcBorders>
          <w:top w:val="nil"/>
          <w:left w:val="nil"/>
          <w:bottom w:val="nil"/>
          <w:right w:val="single" w:sz="4" w:space="0" w:color="3364AC" w:themeColor="accent2"/>
        </w:tcBorders>
      </w:tcPr>
    </w:tblStylePr>
    <w:tblStylePr w:type="lastCol">
      <w:rPr>
        <w:rFonts w:ascii="Aptos" w:hAnsi="Aptos"/>
        <w:b/>
        <w:bCs/>
        <w:i w:val="0"/>
        <w:caps/>
      </w:rPr>
      <w:tblPr/>
      <w:tcPr>
        <w:tcBorders>
          <w:left w:val="nil"/>
        </w:tcBorders>
      </w:tcPr>
    </w:tblStylePr>
    <w:tblStylePr w:type="band1Vert">
      <w:rPr>
        <w:rFonts w:asciiTheme="minorHAnsi" w:hAnsiTheme="minorHAnsi"/>
      </w:rPr>
      <w:tblPr/>
      <w:tcPr>
        <w:shd w:val="clear" w:color="auto" w:fill="FAF3ED" w:themeFill="accent6" w:themeFillTint="33"/>
      </w:tcPr>
    </w:tblStylePr>
    <w:tblStylePr w:type="band2Vert">
      <w:rPr>
        <w:rFonts w:asciiTheme="minorHAnsi" w:hAnsiTheme="minorHAnsi"/>
      </w:rPr>
    </w:tblStylePr>
    <w:tblStylePr w:type="band1Horz">
      <w:rPr>
        <w:rFonts w:asciiTheme="minorHAnsi" w:hAnsiTheme="minorHAnsi"/>
        <w:b w:val="0"/>
        <w:i w:val="0"/>
        <w:caps w:val="0"/>
        <w:smallCaps w:val="0"/>
      </w:rPr>
      <w:tblPr/>
      <w:tcPr>
        <w:shd w:val="clear" w:color="auto" w:fill="FAF3ED" w:themeFill="accent6" w:themeFillTint="33"/>
      </w:tcPr>
    </w:tblStylePr>
    <w:tblStylePr w:type="band2Horz">
      <w:rPr>
        <w:rFonts w:asciiTheme="minorHAnsi" w:hAnsiTheme="minorHAnsi"/>
        <w:b w:val="0"/>
        <w:i w:val="0"/>
        <w:caps w:val="0"/>
        <w:smallCaps w:val="0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leartelligence">
  <a:themeElements>
    <a:clrScheme name="Cleartelligence">
      <a:dk1>
        <a:srgbClr val="110B18"/>
      </a:dk1>
      <a:lt1>
        <a:srgbClr val="FFFFFF"/>
      </a:lt1>
      <a:dk2>
        <a:srgbClr val="100C19"/>
      </a:dk2>
      <a:lt2>
        <a:srgbClr val="E8E8E8"/>
      </a:lt2>
      <a:accent1>
        <a:srgbClr val="182D4F"/>
      </a:accent1>
      <a:accent2>
        <a:srgbClr val="3364AC"/>
      </a:accent2>
      <a:accent3>
        <a:srgbClr val="3D8EC8"/>
      </a:accent3>
      <a:accent4>
        <a:srgbClr val="EC8E2E"/>
      </a:accent4>
      <a:accent5>
        <a:srgbClr val="F4AF35"/>
      </a:accent5>
      <a:accent6>
        <a:srgbClr val="E8C5A7"/>
      </a:accent6>
      <a:hlink>
        <a:srgbClr val="19508F"/>
      </a:hlink>
      <a:folHlink>
        <a:srgbClr val="1B508F"/>
      </a:folHlink>
    </a:clrScheme>
    <a:fontScheme name="Cleartelligence">
      <a:majorFont>
        <a:latin typeface="Aptos Light"/>
        <a:ea typeface=""/>
        <a:cs typeface=""/>
      </a:majorFont>
      <a:minorFont>
        <a:latin typeface="Apto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Cleartelligence" id="{2185D1E4-5287-4DE3-8CA5-8554F0E46CEA}" vid="{3AAE15DD-0F4D-49E4-A9E0-1F71B296779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8750b2-2190-44a0-b46e-161c1c466d83">
      <Terms xmlns="http://schemas.microsoft.com/office/infopath/2007/PartnerControls"/>
    </lcf76f155ced4ddcb4097134ff3c332f>
    <TaxCatchAll xmlns="44aae471-91db-46c1-9156-3570cc8213f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C2B8219581E4B9CFA1169F38F7306" ma:contentTypeVersion="10" ma:contentTypeDescription="Create a new document." ma:contentTypeScope="" ma:versionID="0099a3c15a42d5d5e0b7da86a357c0dd">
  <xsd:schema xmlns:xsd="http://www.w3.org/2001/XMLSchema" xmlns:xs="http://www.w3.org/2001/XMLSchema" xmlns:p="http://schemas.microsoft.com/office/2006/metadata/properties" xmlns:ns2="2b8750b2-2190-44a0-b46e-161c1c466d83" xmlns:ns3="44aae471-91db-46c1-9156-3570cc8213f4" targetNamespace="http://schemas.microsoft.com/office/2006/metadata/properties" ma:root="true" ma:fieldsID="fda3ada2893e1413cc9715ba21f38881" ns2:_="" ns3:_="">
    <xsd:import namespace="2b8750b2-2190-44a0-b46e-161c1c466d83"/>
    <xsd:import namespace="44aae471-91db-46c1-9156-3570cc8213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750b2-2190-44a0-b46e-161c1c466d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2ce076-3877-465a-9720-2d0d50912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ae471-91db-46c1-9156-3570cc8213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ded391-ccca-4fdc-a266-4ac851a20ebd}" ma:internalName="TaxCatchAll" ma:showField="CatchAllData" ma:web="44aae471-91db-46c1-9156-3570cc8213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43D341-E6C6-43D7-B3E7-B8BD32905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494451-AC7C-45AF-9325-368CAB576699}"/>
</file>

<file path=customXml/itemProps3.xml><?xml version="1.0" encoding="utf-8"?>
<ds:datastoreItem xmlns:ds="http://schemas.openxmlformats.org/officeDocument/2006/customXml" ds:itemID="{7A0151F5-1CA0-405D-A4BD-E2D49B6656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Cleartelligence - 2025.dotx</Template>
  <TotalTime>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Zegel</dc:creator>
  <cp:keywords/>
  <dc:description/>
  <cp:lastModifiedBy>Kevin Lazorik</cp:lastModifiedBy>
  <cp:revision>5</cp:revision>
  <dcterms:created xsi:type="dcterms:W3CDTF">2025-04-28T22:02:00Z</dcterms:created>
  <dcterms:modified xsi:type="dcterms:W3CDTF">2025-10-14T13:44:00Z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0x010100B53C2B8219581E4B9CFA1169F38F7306</vt:lpwstr>
  </property>
  <property fmtid="{D5CDD505-2E9C-101B-9397-08002B2CF9AE}" pid="3" name="MediaServiceImageTags">
    <vt:lpwstr/>
  </property>
</Properties>
</file>