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36"/>
        </w:rPr>
        <w:t>Elm Street Community Arts Center</w:t>
      </w:r>
    </w:p>
    <w:p>
      <w:pPr>
        <w:jc w:val="center"/>
      </w:pPr>
      <w:r>
        <w:rPr>
          <w:rFonts w:ascii="Arial" w:hAnsi="Arial"/>
          <w:b/>
          <w:sz w:val="26"/>
        </w:rPr>
        <w:t>Weekend Workshop Expansion — Planning Notes</w:t>
      </w:r>
    </w:p>
    <w:p>
      <w:pPr>
        <w:jc w:val="center"/>
      </w:pPr>
      <w:r>
        <w:rPr>
          <w:rFonts w:ascii="Arial" w:hAnsi="Arial"/>
          <w:b/>
          <w:color w:val="2E7D32"/>
          <w:sz w:val="20"/>
        </w:rPr>
        <w:t>Status: APPROVED by Program Committee — June 30, 2026</w:t>
      </w:r>
    </w:p>
    <w:p>
      <w:pPr>
        <w:jc w:val="center"/>
      </w:pPr>
      <w:r>
        <w:rPr>
          <w:rFonts w:ascii="Arial" w:hAnsi="Arial"/>
          <w:i/>
          <w:color w:val="595959"/>
          <w:sz w:val="18"/>
        </w:rPr>
        <w:t>Prepared by: Program Coordinator  |  Distribution: Program Committee, Executive Director</w:t>
      </w:r>
    </w:p>
    <w:p/>
    <w:p>
      <w:pPr>
        <w:pStyle w:val="Heading1"/>
      </w:pPr>
      <w:r>
        <w:t>Background and Goal</w:t>
      </w:r>
    </w:p>
    <w:p>
      <w:r>
        <w:t>Weekend workshop attendance has been flat for three consecutive quarters. The Spring 2026 member survey (42 respondents, collected May 1–June 28) shows steady interest in pottery and painting, a preference for Saturday sessions, and cost and childcare as the two most common barriers to attending. This document evaluates three ways to expand the weekend workshop schedule for Fall 2026 and recommends criteria for choosing between them.</w:t>
      </w:r>
    </w:p>
    <w:p>
      <w:r>
        <w:rPr>
          <w:b/>
        </w:rPr>
        <w:t xml:space="preserve">Goal: </w:t>
      </w:r>
      <w:r>
        <w:t>increase weekend workshop attendance by 20% over the Fall 2026 quarter, without exceeding the approved program budget.</w:t>
      </w:r>
    </w:p>
    <w:p>
      <w:pPr>
        <w:pStyle w:val="Heading1"/>
      </w:pPr>
      <w:r>
        <w:t>Budget and Constraints</w:t>
      </w:r>
    </w:p>
    <w:p>
      <w:pPr>
        <w:pStyle w:val="ListBullet"/>
      </w:pPr>
      <w:r>
        <w:rPr>
          <w:b/>
        </w:rPr>
        <w:t xml:space="preserve">Approved program budget: </w:t>
      </w:r>
      <w:r>
        <w:t>$4,500 for the quarter (instructor stipends, supplies, and marketing combined)</w:t>
      </w:r>
    </w:p>
    <w:p>
      <w:pPr>
        <w:pStyle w:val="ListBullet"/>
      </w:pPr>
      <w:r>
        <w:rPr>
          <w:b/>
        </w:rPr>
        <w:t xml:space="preserve">Room availability: </w:t>
      </w:r>
      <w:r>
        <w:t>Studio A is open Saturday and Sunday, 9:00 a.m.–4:00 p.m. only</w:t>
      </w:r>
    </w:p>
    <w:p>
      <w:pPr>
        <w:pStyle w:val="ListBullet"/>
      </w:pPr>
      <w:r>
        <w:rPr>
          <w:b/>
        </w:rPr>
        <w:t xml:space="preserve">Staffing: </w:t>
      </w:r>
      <w:r>
        <w:t>Two staff members are certified to supervise weekend sessions; no weekend overtime budget remains</w:t>
      </w:r>
    </w:p>
    <w:p>
      <w:pPr>
        <w:pStyle w:val="ListBullet"/>
      </w:pPr>
      <w:r>
        <w:rPr>
          <w:b/>
        </w:rPr>
        <w:t xml:space="preserve">Marketing lead time: </w:t>
      </w:r>
      <w:r>
        <w:t>Flyers and newsletter placement require 3 weeks' notice before a session launches</w:t>
      </w:r>
    </w:p>
    <w:p>
      <w:pPr>
        <w:pStyle w:val="ListBullet"/>
      </w:pPr>
      <w:r>
        <w:rPr>
          <w:b/>
        </w:rPr>
        <w:t xml:space="preserve">Childcare: </w:t>
      </w:r>
      <w:r>
        <w:t>No on-site childcare currently offered; a part-time sitter would cost $20/hour</w:t>
      </w:r>
    </w:p>
    <w:p>
      <w:pPr>
        <w:pStyle w:val="Heading1"/>
      </w:pPr>
      <w:r>
        <w:t>Options Under Consideration</w:t>
      </w:r>
    </w:p>
    <w:p>
      <w:r>
        <w:t>All three options fit within the approved budget individually. Only one option will be funded for the Fall 2026 launch.</w:t>
      </w:r>
    </w:p>
    <w:tbl>
      <w:tblPr>
        <w:tblW w:type="auto" w:w="0"/>
        <w:jc w:val="center"/>
        <w:tblLayout w:type="fixed"/>
        <w:tblLook w:firstColumn="1" w:firstRow="1" w:lastColumn="0" w:lastRow="0" w:noHBand="0" w:noVBand="1" w:val="04A0"/>
      </w:tblPr>
      <w:tblGrid>
        <w:gridCol w:w="2160"/>
        <w:gridCol w:w="2160"/>
        <w:gridCol w:w="2160"/>
        <w:gridCol w:w="2160"/>
      </w:tblGrid>
      <w:tr>
        <w:tc>
          <w:tcPr>
            <w:tcW w:type="dxa" w:w="2160"/>
            <w:shd w:val="clear" w:fill="4A6FA5"/>
          </w:tcPr>
          <w:p>
            <w:r/>
            <w:r>
              <w:rPr>
                <w:rFonts w:ascii="Arial" w:hAnsi="Arial"/>
                <w:b/>
                <w:color w:val="FFFFFF"/>
                <w:sz w:val="19"/>
              </w:rPr>
            </w:r>
          </w:p>
        </w:tc>
        <w:tc>
          <w:tcPr>
            <w:tcW w:type="dxa" w:w="2448"/>
            <w:shd w:val="clear" w:fill="4A6FA5"/>
          </w:tcPr>
          <w:p>
            <w:pPr>
              <w:jc w:val="center"/>
            </w:pPr>
            <w:r/>
            <w:r>
              <w:rPr>
                <w:rFonts w:ascii="Arial" w:hAnsi="Arial"/>
                <w:b/>
                <w:color w:val="FFFFFF"/>
                <w:sz w:val="19"/>
              </w:rPr>
              <w:t>Option A: Saturday Pottery</w:t>
            </w:r>
          </w:p>
        </w:tc>
        <w:tc>
          <w:tcPr>
            <w:tcW w:type="dxa" w:w="2448"/>
            <w:shd w:val="clear" w:fill="4A6FA5"/>
          </w:tcPr>
          <w:p>
            <w:pPr>
              <w:jc w:val="center"/>
            </w:pPr>
            <w:r/>
            <w:r>
              <w:rPr>
                <w:rFonts w:ascii="Arial" w:hAnsi="Arial"/>
                <w:b/>
                <w:color w:val="FFFFFF"/>
                <w:sz w:val="19"/>
              </w:rPr>
              <w:t>Option B: Sunday Photography Walk</w:t>
            </w:r>
          </w:p>
        </w:tc>
        <w:tc>
          <w:tcPr>
            <w:tcW w:type="dxa" w:w="2448"/>
            <w:shd w:val="clear" w:fill="4A6FA5"/>
          </w:tcPr>
          <w:p>
            <w:pPr>
              <w:jc w:val="center"/>
            </w:pPr>
            <w:r/>
            <w:r>
              <w:rPr>
                <w:rFonts w:ascii="Arial" w:hAnsi="Arial"/>
                <w:b/>
                <w:color w:val="FFFFFF"/>
                <w:sz w:val="19"/>
              </w:rPr>
              <w:t>Option C: Friday Evening Painting Social</w:t>
            </w:r>
          </w:p>
        </w:tc>
      </w:tr>
      <w:tr>
        <w:tc>
          <w:tcPr>
            <w:tcW w:type="dxa" w:w="2160"/>
          </w:tcPr>
          <w:p>
            <w:r/>
            <w:r>
              <w:rPr>
                <w:rFonts w:ascii="Arial" w:hAnsi="Arial"/>
                <w:b/>
                <w:sz w:val="19"/>
              </w:rPr>
              <w:t>Day / time</w:t>
            </w:r>
          </w:p>
        </w:tc>
        <w:tc>
          <w:tcPr>
            <w:tcW w:type="dxa" w:w="2448"/>
          </w:tcPr>
          <w:p>
            <w:r/>
            <w:r>
              <w:rPr>
                <w:rFonts w:ascii="Arial" w:hAnsi="Arial"/>
                <w:b w:val="0"/>
                <w:sz w:val="19"/>
              </w:rPr>
              <w:t>Saturday, 10:00–12:00</w:t>
            </w:r>
          </w:p>
        </w:tc>
        <w:tc>
          <w:tcPr>
            <w:tcW w:type="dxa" w:w="2448"/>
          </w:tcPr>
          <w:p>
            <w:r/>
            <w:r>
              <w:rPr>
                <w:rFonts w:ascii="Arial" w:hAnsi="Arial"/>
                <w:b w:val="0"/>
                <w:sz w:val="19"/>
              </w:rPr>
              <w:t>Sunday, 1:00–3:00</w:t>
            </w:r>
          </w:p>
        </w:tc>
        <w:tc>
          <w:tcPr>
            <w:tcW w:type="dxa" w:w="2448"/>
          </w:tcPr>
          <w:p>
            <w:r/>
            <w:r>
              <w:rPr>
                <w:rFonts w:ascii="Arial" w:hAnsi="Arial"/>
                <w:b w:val="0"/>
                <w:sz w:val="19"/>
              </w:rPr>
              <w:t>Friday, 6:00–8:00</w:t>
            </w:r>
          </w:p>
        </w:tc>
      </w:tr>
      <w:tr>
        <w:tc>
          <w:tcPr>
            <w:tcW w:type="dxa" w:w="2160"/>
            <w:shd w:val="clear" w:fill="F2F2F2"/>
          </w:tcPr>
          <w:p>
            <w:r/>
            <w:r>
              <w:rPr>
                <w:rFonts w:ascii="Arial" w:hAnsi="Arial"/>
                <w:b/>
                <w:sz w:val="19"/>
              </w:rPr>
              <w:t>Format</w:t>
            </w:r>
          </w:p>
        </w:tc>
        <w:tc>
          <w:tcPr>
            <w:tcW w:type="dxa" w:w="2448"/>
            <w:shd w:val="clear" w:fill="F2F2F2"/>
          </w:tcPr>
          <w:p>
            <w:r/>
            <w:r>
              <w:rPr>
                <w:rFonts w:ascii="Arial" w:hAnsi="Arial"/>
                <w:b w:val="0"/>
                <w:sz w:val="19"/>
              </w:rPr>
              <w:t>6-week series, beginner wheel-throwing</w:t>
            </w:r>
          </w:p>
        </w:tc>
        <w:tc>
          <w:tcPr>
            <w:tcW w:type="dxa" w:w="2448"/>
            <w:shd w:val="clear" w:fill="F2F2F2"/>
          </w:tcPr>
          <w:p>
            <w:r/>
            <w:r>
              <w:rPr>
                <w:rFonts w:ascii="Arial" w:hAnsi="Arial"/>
                <w:b w:val="0"/>
                <w:sz w:val="19"/>
              </w:rPr>
              <w:t>Drop-in, single session, outdoors + gallery critique</w:t>
            </w:r>
          </w:p>
        </w:tc>
        <w:tc>
          <w:tcPr>
            <w:tcW w:type="dxa" w:w="2448"/>
            <w:shd w:val="clear" w:fill="F2F2F2"/>
          </w:tcPr>
          <w:p>
            <w:r/>
            <w:r>
              <w:rPr>
                <w:rFonts w:ascii="Arial" w:hAnsi="Arial"/>
                <w:b w:val="0"/>
                <w:sz w:val="19"/>
              </w:rPr>
              <w:t>Drop-in, single session, guided social painting</w:t>
            </w:r>
          </w:p>
        </w:tc>
      </w:tr>
      <w:tr>
        <w:tc>
          <w:tcPr>
            <w:tcW w:type="dxa" w:w="2160"/>
          </w:tcPr>
          <w:p>
            <w:r/>
            <w:r>
              <w:rPr>
                <w:rFonts w:ascii="Arial" w:hAnsi="Arial"/>
                <w:b/>
                <w:sz w:val="19"/>
              </w:rPr>
              <w:t>Target audience</w:t>
            </w:r>
          </w:p>
        </w:tc>
        <w:tc>
          <w:tcPr>
            <w:tcW w:type="dxa" w:w="2448"/>
          </w:tcPr>
          <w:p>
            <w:r/>
            <w:r>
              <w:rPr>
                <w:rFonts w:ascii="Arial" w:hAnsi="Arial"/>
                <w:b w:val="0"/>
                <w:sz w:val="19"/>
              </w:rPr>
              <w:t>Adults and teens 14+</w:t>
            </w:r>
          </w:p>
        </w:tc>
        <w:tc>
          <w:tcPr>
            <w:tcW w:type="dxa" w:w="2448"/>
          </w:tcPr>
          <w:p>
            <w:r/>
            <w:r>
              <w:rPr>
                <w:rFonts w:ascii="Arial" w:hAnsi="Arial"/>
                <w:b w:val="0"/>
                <w:sz w:val="19"/>
              </w:rPr>
              <w:t>All ages, families welcome</w:t>
            </w:r>
          </w:p>
        </w:tc>
        <w:tc>
          <w:tcPr>
            <w:tcW w:type="dxa" w:w="2448"/>
          </w:tcPr>
          <w:p>
            <w:r/>
            <w:r>
              <w:rPr>
                <w:rFonts w:ascii="Arial" w:hAnsi="Arial"/>
                <w:b w:val="0"/>
                <w:sz w:val="19"/>
              </w:rPr>
              <w:t>Adults 21+</w:t>
            </w:r>
          </w:p>
        </w:tc>
      </w:tr>
      <w:tr>
        <w:tc>
          <w:tcPr>
            <w:tcW w:type="dxa" w:w="2160"/>
            <w:shd w:val="clear" w:fill="F2F2F2"/>
          </w:tcPr>
          <w:p>
            <w:r/>
            <w:r>
              <w:rPr>
                <w:rFonts w:ascii="Arial" w:hAnsi="Arial"/>
                <w:b/>
                <w:sz w:val="19"/>
              </w:rPr>
              <w:t>Instructor cost</w:t>
            </w:r>
          </w:p>
        </w:tc>
        <w:tc>
          <w:tcPr>
            <w:tcW w:type="dxa" w:w="2448"/>
            <w:shd w:val="clear" w:fill="F2F2F2"/>
          </w:tcPr>
          <w:p>
            <w:r/>
            <w:r>
              <w:rPr>
                <w:rFonts w:ascii="Arial" w:hAnsi="Arial"/>
                <w:b w:val="0"/>
                <w:sz w:val="19"/>
              </w:rPr>
              <w:t>$60/session x 6 = $360</w:t>
            </w:r>
          </w:p>
        </w:tc>
        <w:tc>
          <w:tcPr>
            <w:tcW w:type="dxa" w:w="2448"/>
            <w:shd w:val="clear" w:fill="F2F2F2"/>
          </w:tcPr>
          <w:p>
            <w:r/>
            <w:r>
              <w:rPr>
                <w:rFonts w:ascii="Arial" w:hAnsi="Arial"/>
                <w:b w:val="0"/>
                <w:sz w:val="19"/>
              </w:rPr>
              <w:t>$45/session</w:t>
            </w:r>
          </w:p>
        </w:tc>
        <w:tc>
          <w:tcPr>
            <w:tcW w:type="dxa" w:w="2448"/>
            <w:shd w:val="clear" w:fill="F2F2F2"/>
          </w:tcPr>
          <w:p>
            <w:r/>
            <w:r>
              <w:rPr>
                <w:rFonts w:ascii="Arial" w:hAnsi="Arial"/>
                <w:b w:val="0"/>
                <w:sz w:val="19"/>
              </w:rPr>
              <w:t>$50/session</w:t>
            </w:r>
          </w:p>
        </w:tc>
      </w:tr>
      <w:tr>
        <w:tc>
          <w:tcPr>
            <w:tcW w:type="dxa" w:w="2160"/>
          </w:tcPr>
          <w:p>
            <w:r/>
            <w:r>
              <w:rPr>
                <w:rFonts w:ascii="Arial" w:hAnsi="Arial"/>
                <w:b/>
                <w:sz w:val="19"/>
              </w:rPr>
              <w:t>Supply cost</w:t>
            </w:r>
          </w:p>
        </w:tc>
        <w:tc>
          <w:tcPr>
            <w:tcW w:type="dxa" w:w="2448"/>
          </w:tcPr>
          <w:p>
            <w:r/>
            <w:r>
              <w:rPr>
                <w:rFonts w:ascii="Arial" w:hAnsi="Arial"/>
                <w:b w:val="0"/>
                <w:sz w:val="19"/>
              </w:rPr>
              <w:t>$18/participant (clay, glaze)</w:t>
            </w:r>
          </w:p>
        </w:tc>
        <w:tc>
          <w:tcPr>
            <w:tcW w:type="dxa" w:w="2448"/>
          </w:tcPr>
          <w:p>
            <w:r/>
            <w:r>
              <w:rPr>
                <w:rFonts w:ascii="Arial" w:hAnsi="Arial"/>
                <w:b w:val="0"/>
                <w:sz w:val="19"/>
              </w:rPr>
              <w:t>$0 (participants use own devices)</w:t>
            </w:r>
          </w:p>
        </w:tc>
        <w:tc>
          <w:tcPr>
            <w:tcW w:type="dxa" w:w="2448"/>
          </w:tcPr>
          <w:p>
            <w:r/>
            <w:r>
              <w:rPr>
                <w:rFonts w:ascii="Arial" w:hAnsi="Arial"/>
                <w:b w:val="0"/>
                <w:sz w:val="19"/>
              </w:rPr>
              <w:t>$12/participant (paint, canvas)</w:t>
            </w:r>
          </w:p>
        </w:tc>
      </w:tr>
      <w:tr>
        <w:tc>
          <w:tcPr>
            <w:tcW w:type="dxa" w:w="2160"/>
            <w:shd w:val="clear" w:fill="F2F2F2"/>
          </w:tcPr>
          <w:p>
            <w:r/>
            <w:r>
              <w:rPr>
                <w:rFonts w:ascii="Arial" w:hAnsi="Arial"/>
                <w:b/>
                <w:sz w:val="19"/>
              </w:rPr>
              <w:t>Capacity</w:t>
            </w:r>
          </w:p>
        </w:tc>
        <w:tc>
          <w:tcPr>
            <w:tcW w:type="dxa" w:w="2448"/>
            <w:shd w:val="clear" w:fill="F2F2F2"/>
          </w:tcPr>
          <w:p>
            <w:r/>
            <w:r>
              <w:rPr>
                <w:rFonts w:ascii="Arial" w:hAnsi="Arial"/>
                <w:b w:val="0"/>
                <w:sz w:val="19"/>
              </w:rPr>
              <w:t>12 participants</w:t>
            </w:r>
          </w:p>
        </w:tc>
        <w:tc>
          <w:tcPr>
            <w:tcW w:type="dxa" w:w="2448"/>
            <w:shd w:val="clear" w:fill="F2F2F2"/>
          </w:tcPr>
          <w:p>
            <w:r/>
            <w:r>
              <w:rPr>
                <w:rFonts w:ascii="Arial" w:hAnsi="Arial"/>
                <w:b w:val="0"/>
                <w:sz w:val="19"/>
              </w:rPr>
              <w:t>20 participants</w:t>
            </w:r>
          </w:p>
        </w:tc>
        <w:tc>
          <w:tcPr>
            <w:tcW w:type="dxa" w:w="2448"/>
            <w:shd w:val="clear" w:fill="F2F2F2"/>
          </w:tcPr>
          <w:p>
            <w:r/>
            <w:r>
              <w:rPr>
                <w:rFonts w:ascii="Arial" w:hAnsi="Arial"/>
                <w:b w:val="0"/>
                <w:sz w:val="19"/>
              </w:rPr>
              <w:t>16 participants</w:t>
            </w:r>
          </w:p>
        </w:tc>
      </w:tr>
      <w:tr>
        <w:tc>
          <w:tcPr>
            <w:tcW w:type="dxa" w:w="2160"/>
          </w:tcPr>
          <w:p>
            <w:r/>
            <w:r>
              <w:rPr>
                <w:rFonts w:ascii="Arial" w:hAnsi="Arial"/>
                <w:b/>
                <w:sz w:val="19"/>
              </w:rPr>
              <w:t>Childcare offered</w:t>
            </w:r>
          </w:p>
        </w:tc>
        <w:tc>
          <w:tcPr>
            <w:tcW w:type="dxa" w:w="2448"/>
          </w:tcPr>
          <w:p>
            <w:r/>
            <w:r>
              <w:rPr>
                <w:rFonts w:ascii="Arial" w:hAnsi="Arial"/>
                <w:b w:val="0"/>
                <w:sz w:val="19"/>
              </w:rPr>
              <w:t>No</w:t>
            </w:r>
          </w:p>
        </w:tc>
        <w:tc>
          <w:tcPr>
            <w:tcW w:type="dxa" w:w="2448"/>
          </w:tcPr>
          <w:p>
            <w:r/>
            <w:r>
              <w:rPr>
                <w:rFonts w:ascii="Arial" w:hAnsi="Arial"/>
                <w:b w:val="0"/>
                <w:sz w:val="19"/>
              </w:rPr>
              <w:t>Not needed (family format)</w:t>
            </w:r>
          </w:p>
        </w:tc>
        <w:tc>
          <w:tcPr>
            <w:tcW w:type="dxa" w:w="2448"/>
          </w:tcPr>
          <w:p>
            <w:r/>
            <w:r>
              <w:rPr>
                <w:rFonts w:ascii="Arial" w:hAnsi="Arial"/>
                <w:b w:val="0"/>
                <w:sz w:val="19"/>
              </w:rPr>
              <w:t>No</w:t>
            </w:r>
          </w:p>
        </w:tc>
      </w:tr>
      <w:tr>
        <w:tc>
          <w:tcPr>
            <w:tcW w:type="dxa" w:w="2160"/>
            <w:shd w:val="clear" w:fill="F2F2F2"/>
          </w:tcPr>
          <w:p>
            <w:r/>
            <w:r>
              <w:rPr>
                <w:rFonts w:ascii="Arial" w:hAnsi="Arial"/>
                <w:b/>
                <w:sz w:val="19"/>
              </w:rPr>
              <w:t>Estimated cost to launch</w:t>
            </w:r>
          </w:p>
        </w:tc>
        <w:tc>
          <w:tcPr>
            <w:tcW w:type="dxa" w:w="2448"/>
            <w:shd w:val="clear" w:fill="F2F2F2"/>
          </w:tcPr>
          <w:p>
            <w:r/>
            <w:r>
              <w:rPr>
                <w:rFonts w:ascii="Arial" w:hAnsi="Arial"/>
                <w:b w:val="0"/>
                <w:sz w:val="19"/>
              </w:rPr>
              <w:t>$576 (6 weeks, 12 participants, incl. supplies)</w:t>
            </w:r>
          </w:p>
        </w:tc>
        <w:tc>
          <w:tcPr>
            <w:tcW w:type="dxa" w:w="2448"/>
            <w:shd w:val="clear" w:fill="F2F2F2"/>
          </w:tcPr>
          <w:p>
            <w:r/>
            <w:r>
              <w:rPr>
                <w:rFonts w:ascii="Arial" w:hAnsi="Arial"/>
                <w:b w:val="0"/>
                <w:sz w:val="19"/>
              </w:rPr>
              <w:t>$45 (1 session)</w:t>
            </w:r>
          </w:p>
        </w:tc>
        <w:tc>
          <w:tcPr>
            <w:tcW w:type="dxa" w:w="2448"/>
            <w:shd w:val="clear" w:fill="F2F2F2"/>
          </w:tcPr>
          <w:p>
            <w:r/>
            <w:r>
              <w:rPr>
                <w:rFonts w:ascii="Arial" w:hAnsi="Arial"/>
                <w:b w:val="0"/>
                <w:sz w:val="19"/>
              </w:rPr>
              <w:t>$242 (1 session, 16 participants)</w:t>
            </w:r>
          </w:p>
        </w:tc>
      </w:tr>
    </w:tbl>
    <w:p/>
    <w:p>
      <w:pPr>
        <w:pStyle w:val="Heading1"/>
      </w:pPr>
      <w:r>
        <w:t>Success Metrics</w:t>
      </w:r>
    </w:p>
    <w:p>
      <w:pPr>
        <w:pStyle w:val="ListBullet"/>
      </w:pPr>
      <w:r>
        <w:t>Attendance: fill at least 75% of session capacity by the second offering</w:t>
      </w:r>
    </w:p>
    <w:p>
      <w:pPr>
        <w:pStyle w:val="ListBullet"/>
      </w:pPr>
      <w:r>
        <w:t>Retention: at least 30% of attendees return for a second weekend session within the quarter</w:t>
      </w:r>
    </w:p>
    <w:p>
      <w:pPr>
        <w:pStyle w:val="ListBullet"/>
      </w:pPr>
      <w:r>
        <w:t>Cost per attendee: stay at or below $30 per attendee once launch costs are included</w:t>
      </w:r>
    </w:p>
    <w:p>
      <w:pPr>
        <w:pStyle w:val="ListBullet"/>
      </w:pPr>
      <w:r>
        <w:t>Survey follow-up: post-session rating of 4.0 or higher (5-point scale)</w:t>
      </w:r>
    </w:p>
    <w:p>
      <w:pPr>
        <w:pStyle w:val="Heading1"/>
      </w:pPr>
      <w:r>
        <w:t>Decision Needed</w:t>
      </w:r>
    </w:p>
    <w:p>
      <w:r>
        <w:t>The Program Committee has approved moving forward with exactly one option for the Fall 2026 launch. The Program Coordinator will compare the three options above against the survey findings and this quarter's budget, and bring a one-page recommendation with a comparison table to the next committee meeting.</w:t>
      </w:r>
    </w:p>
    <w:p/>
    <w:p>
      <w:pPr>
        <w:pStyle w:val="Heading1"/>
      </w:pPr>
      <w:r>
        <w:t>Approval</w:t>
      </w:r>
    </w:p>
    <w:tbl>
      <w:tblPr>
        <w:tblW w:type="auto" w:w="0"/>
        <w:tblLayout w:type="fixed"/>
        <w:tblLook w:firstColumn="1" w:firstRow="1" w:lastColumn="0" w:lastRow="0" w:noHBand="0" w:noVBand="1" w:val="04A0"/>
      </w:tblPr>
      <w:tblGrid>
        <w:gridCol w:w="4320"/>
        <w:gridCol w:w="4320"/>
      </w:tblGrid>
      <w:tr>
        <w:tc>
          <w:tcPr>
            <w:tcW w:type="dxa" w:w="3168"/>
            <w:shd w:val="clear" w:fill="EAEFF7"/>
          </w:tcPr>
          <w:p>
            <w:r/>
            <w:r>
              <w:rPr>
                <w:rFonts w:ascii="Arial" w:hAnsi="Arial"/>
                <w:b/>
                <w:sz w:val="20"/>
              </w:rPr>
              <w:t>Approved by</w:t>
            </w:r>
          </w:p>
        </w:tc>
        <w:tc>
          <w:tcPr>
            <w:tcW w:type="dxa" w:w="6192"/>
          </w:tcPr>
          <w:p>
            <w:r/>
            <w:r>
              <w:rPr>
                <w:rFonts w:ascii="Arial" w:hAnsi="Arial"/>
                <w:b w:val="0"/>
                <w:sz w:val="20"/>
              </w:rPr>
              <w:t>Program Committee (unanimous vote, June 30, 2026)</w:t>
            </w:r>
          </w:p>
        </w:tc>
      </w:tr>
      <w:tr>
        <w:tc>
          <w:tcPr>
            <w:tcW w:type="dxa" w:w="3168"/>
            <w:shd w:val="clear" w:fill="EAEFF7"/>
          </w:tcPr>
          <w:p>
            <w:r/>
            <w:r>
              <w:rPr>
                <w:rFonts w:ascii="Arial" w:hAnsi="Arial"/>
                <w:b/>
                <w:sz w:val="20"/>
              </w:rPr>
              <w:t>Executive Director sign-off</w:t>
            </w:r>
          </w:p>
        </w:tc>
        <w:tc>
          <w:tcPr>
            <w:tcW w:type="dxa" w:w="6192"/>
          </w:tcPr>
          <w:p>
            <w:r/>
            <w:r>
              <w:rPr>
                <w:rFonts w:ascii="Arial" w:hAnsi="Arial"/>
                <w:b w:val="0"/>
                <w:sz w:val="20"/>
              </w:rPr>
              <w:t>Approved June 30, 2026</w:t>
            </w:r>
          </w:p>
        </w:tc>
      </w:tr>
      <w:tr>
        <w:tc>
          <w:tcPr>
            <w:tcW w:type="dxa" w:w="3168"/>
            <w:shd w:val="clear" w:fill="EAEFF7"/>
          </w:tcPr>
          <w:p>
            <w:r/>
            <w:r>
              <w:rPr>
                <w:rFonts w:ascii="Arial" w:hAnsi="Arial"/>
                <w:b/>
                <w:sz w:val="20"/>
              </w:rPr>
              <w:t>Next review</w:t>
            </w:r>
          </w:p>
        </w:tc>
        <w:tc>
          <w:tcPr>
            <w:tcW w:type="dxa" w:w="6192"/>
          </w:tcPr>
          <w:p>
            <w:r/>
            <w:r>
              <w:rPr>
                <w:rFonts w:ascii="Arial" w:hAnsi="Arial"/>
                <w:b w:val="0"/>
                <w:sz w:val="20"/>
              </w:rPr>
              <w:t>End of Fall 2026 quarter, alongside attendance and budget results</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i/>
        <w:color w:val="808080"/>
        <w:sz w:val="16"/>
      </w:rPr>
      <w:t>Internal planning document — approved for staff use — not for public distribution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386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