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8"/>
        </w:rPr>
        <w:t>NORTHSTAR HOME STUDIO</w:t>
      </w:r>
    </w:p>
    <w:p>
      <w:pPr>
        <w:spacing w:before="0" w:after="40"/>
      </w:pPr>
      <w:r>
        <w:rPr>
          <w:rFonts w:ascii="Calibri" w:hAnsi="Calibri"/>
          <w:b/>
          <w:i w:val="0"/>
          <w:color w:val="222222"/>
          <w:sz w:val="46"/>
        </w:rPr>
        <w:t>Monthly Client Summary</w:t>
      </w:r>
    </w:p>
    <w:p>
      <w:pPr>
        <w:spacing w:before="0" w:after="180"/>
      </w:pPr>
      <w:r>
        <w:rPr>
          <w:rFonts w:ascii="Calibri" w:hAnsi="Calibri"/>
          <w:b w:val="0"/>
          <w:i w:val="0"/>
          <w:color w:val="667085"/>
          <w:sz w:val="24"/>
        </w:rPr>
        <w:t>June 2026</w:t>
      </w:r>
    </w:p>
    <w:p>
      <w:pPr>
        <w:spacing w:before="0" w:after="140" w:line="264" w:lineRule="auto"/>
      </w:pPr>
      <w:r>
        <w:rPr>
          <w:rFonts w:ascii="Calibri" w:hAnsi="Calibri"/>
          <w:b/>
          <w:i w:val="0"/>
          <w:color w:val="1F4D78"/>
          <w:sz w:val="22"/>
        </w:rPr>
        <w:t>June was another positive month. More people visited the website, more became leads, and sales revenue rose faster than advertising costs.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i w:val="0"/>
          <w:color w:val="2E74B5"/>
          <w:sz w:val="26"/>
        </w:rPr>
        <w:t>Results at a glance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1800"/>
        <w:gridCol w:w="1800"/>
        <w:gridCol w:w="1860"/>
      </w:tblGrid>
      <w:tr>
        <w:trPr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Measure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June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May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Change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Website visits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18,420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17,050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+8%</w:t>
            </w:r>
          </w:p>
        </w:tc>
      </w:tr>
      <w:tr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New leads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536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488</w:t>
            </w:r>
          </w:p>
        </w:tc>
        <w:tc>
          <w:tcPr>
            <w:tcW w:type="dxa" w:w="1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+10%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Booked consultations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121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109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+11%</w:t>
            </w:r>
          </w:p>
        </w:tc>
      </w:tr>
      <w:tr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Sales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47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42</w:t>
            </w:r>
          </w:p>
        </w:tc>
        <w:tc>
          <w:tcPr>
            <w:tcW w:type="dxa" w:w="1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+12%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Sales revenue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$71,850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$64,200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+12%</w:t>
            </w:r>
          </w:p>
        </w:tc>
      </w:tr>
      <w:tr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Advertising spend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$8,400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$8,100</w:t>
            </w:r>
          </w:p>
        </w:tc>
        <w:tc>
          <w:tcPr>
            <w:tcW w:type="dxa" w:w="1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+4%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Cost per lead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$15.67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$16.60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6% lower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80" w:after="80"/>
      </w:pPr>
      <w:r>
        <w:rPr>
          <w:rFonts w:ascii="Calibri" w:hAnsi="Calibri"/>
          <w:b/>
          <w:i w:val="0"/>
          <w:color w:val="2E74B5"/>
          <w:sz w:val="26"/>
        </w:rPr>
        <w:t>What happened</w:t>
      </w:r>
    </w:p>
    <w:p>
      <w:pPr>
        <w:spacing w:before="0" w:after="80" w:line="264" w:lineRule="auto"/>
      </w:pPr>
      <w:r>
        <w:rPr>
          <w:rFonts w:ascii="Calibri" w:hAnsi="Calibri"/>
          <w:b w:val="0"/>
          <w:i w:val="0"/>
          <w:color w:val="222222"/>
          <w:sz w:val="21"/>
        </w:rPr>
        <w:t>The refreshed search advertisements brought in more relevant visitors. The new booking-page headline also appears to have helped: booked consultations increased from 109 to 121.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i w:val="0"/>
          <w:color w:val="2E74B5"/>
          <w:sz w:val="26"/>
        </w:rPr>
        <w:t>What it means</w:t>
      </w:r>
    </w:p>
    <w:p>
      <w:pPr>
        <w:spacing w:before="0" w:after="100" w:line="264" w:lineRule="auto"/>
      </w:pPr>
      <w:r>
        <w:rPr>
          <w:rFonts w:ascii="Calibri" w:hAnsi="Calibri"/>
          <w:b w:val="0"/>
          <w:i w:val="0"/>
          <w:color w:val="222222"/>
          <w:sz w:val="21"/>
        </w:rPr>
        <w:t>The campaign is becoming more efficient. Advertising spend rose by only 4%, while leads rose by 10% and revenue rose by 12%. The cost of gaining each lead fell from $16.60 to $15.67.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Recommended next step: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Move 10% of next month's advertising budget from the lowest-performing general campaign into the search campaign that generated the strongest qualified leads.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 w:val="0"/>
        <w:i/>
        <w:color w:val="667085"/>
        <w:sz w:val="16"/>
      </w:rPr>
      <w:t>Fictional example for Project setup and testing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7085"/>
        <w:sz w:val="17"/>
      </w:rPr>
      <w:t>SAMPLE • MONTHLY CLIENT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