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Calibri" w:hAnsi="Calibri"/>
          <w:b/>
          <w:i w:val="0"/>
          <w:color w:val="17324D"/>
          <w:sz w:val="46"/>
        </w:rPr>
        <w:t>Blog Post Social Summary</w:t>
      </w:r>
    </w:p>
    <w:p>
      <w:pPr>
        <w:pStyle w:val="Subtitle"/>
        <w:keepNext/>
      </w:pPr>
      <w:r>
        <w:rPr>
          <w:rFonts w:ascii="Calibri" w:hAnsi="Calibri"/>
          <w:b w:val="0"/>
          <w:i w:val="0"/>
          <w:color w:val="52606D"/>
          <w:sz w:val="22"/>
        </w:rPr>
        <w:t>A written specification for a reusable ChatGPT skill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00"/>
        <w:gridCol w:w="1780"/>
        <w:gridCol w:w="7080"/>
      </w:tblGrid>
      <w:tr>
        <w:trPr>
          <w:cantSplit/>
        </w:trPr>
        <w:tc>
          <w:tcPr>
            <w:tcW w:type="dxa" w:w="50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17324D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1</w:t>
            </w:r>
          </w:p>
        </w:tc>
        <w:tc>
          <w:tcPr>
            <w:tcW w:type="dxa" w:w="17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EAF2F7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Name</w:t>
            </w:r>
          </w:p>
        </w:tc>
        <w:tc>
          <w:tcPr>
            <w:tcW w:type="dxa" w:w="70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FFFFFF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3"/>
                <w:sz w:val="21"/>
              </w:rPr>
              <w:t>Blog Post Social Summary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17324D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2</w:t>
            </w:r>
          </w:p>
        </w:tc>
        <w:tc>
          <w:tcPr>
            <w:tcW w:type="dxa" w:w="17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EAF2F7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Inputs</w:t>
            </w:r>
          </w:p>
        </w:tc>
        <w:tc>
          <w:tcPr>
            <w:tcW w:type="dxa" w:w="70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F6F9FB"/>
            <w:tcMar>
              <w:top w:w="70" w:type="dxa"/>
              <w:bottom w:w="70" w:type="dxa"/>
              <w:start w:w="120" w:type="dxa"/>
              <w:end w:w="120" w:type="dxa"/>
            </w:tcMar>
          </w:tcPr>
          <w:p/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Required: the published blog post as pasted text, an uploaded document, or an accessible link.</w:t>
            </w:r>
          </w:p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Required: the target audience, such as new customers or event attendees.</w:t>
            </w:r>
          </w:p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Optional: a preferred call to action. If none is given, use an action stated in the source.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17324D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3</w:t>
            </w:r>
          </w:p>
        </w:tc>
        <w:tc>
          <w:tcPr>
            <w:tcW w:type="dxa" w:w="17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EAF2F7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Steps</w:t>
            </w:r>
          </w:p>
        </w:tc>
        <w:tc>
          <w:tcPr>
            <w:tcW w:type="dxa" w:w="70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FFFFFF"/>
            <w:tcMar>
              <w:top w:w="70" w:type="dxa"/>
              <w:bottom w:w="70" w:type="dxa"/>
              <w:start w:w="120" w:type="dxa"/>
              <w:end w:w="120" w:type="dxa"/>
            </w:tcMar>
          </w:tcPr>
          <w:p/>
          <w:p>
            <w:pPr>
              <w:pStyle w:val="ListNumber"/>
              <w:keepLines w:val="0"/>
              <w:spacing w:before="0" w:after="24" w:line="245" w:lineRule="auto"/>
              <w:ind w:left="317" w:hanging="216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Read the source and identify its main point, target audience, and next action.</w:t>
            </w:r>
          </w:p>
          <w:p>
            <w:pPr>
              <w:pStyle w:val="ListNumber"/>
              <w:keepLines w:val="0"/>
              <w:spacing w:before="0" w:after="24" w:line="245" w:lineRule="auto"/>
              <w:ind w:left="317" w:hanging="216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List the source facts that support the main point.</w:t>
            </w:r>
          </w:p>
          <w:p>
            <w:pPr>
              <w:pStyle w:val="ListNumber"/>
              <w:keepLines w:val="0"/>
              <w:spacing w:before="0" w:after="24" w:line="245" w:lineRule="auto"/>
              <w:ind w:left="317" w:hanging="216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Draft exactly three sentences. Put the call to action in the final sentence.</w:t>
            </w:r>
          </w:p>
          <w:p>
            <w:pPr>
              <w:pStyle w:val="ListNumber"/>
              <w:keepLines w:val="0"/>
              <w:spacing w:before="0" w:after="24" w:line="245" w:lineRule="auto"/>
              <w:ind w:left="317" w:hanging="216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Check every factual claim against the source, then return the summary only.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17324D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4</w:t>
            </w:r>
          </w:p>
        </w:tc>
        <w:tc>
          <w:tcPr>
            <w:tcW w:type="dxa" w:w="17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EAF2F7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Rules</w:t>
            </w:r>
          </w:p>
        </w:tc>
        <w:tc>
          <w:tcPr>
            <w:tcW w:type="dxa" w:w="70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F6F9FB"/>
            <w:tcMar>
              <w:top w:w="70" w:type="dxa"/>
              <w:bottom w:w="70" w:type="dxa"/>
              <w:start w:w="120" w:type="dxa"/>
              <w:end w:w="120" w:type="dxa"/>
            </w:tcMar>
          </w:tcPr>
          <w:p/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Use plain, professional language. Do not add hashtags or emoji unless asked.</w:t>
            </w:r>
          </w:p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Do not invent facts, quotations, dates, links, offers, or benefits.</w:t>
            </w:r>
          </w:p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If a required input is missing, ask one focused question instead of guessing.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17324D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5</w:t>
            </w:r>
          </w:p>
        </w:tc>
        <w:tc>
          <w:tcPr>
            <w:tcW w:type="dxa" w:w="17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EAF2F7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Example</w:t>
            </w:r>
          </w:p>
        </w:tc>
        <w:tc>
          <w:tcPr>
            <w:tcW w:type="dxa" w:w="70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FFFFFF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40" w:line="247" w:lineRule="auto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 xml:space="preserve">Input (condensed): 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BrightDesk will hold free 30-minute online setup clinics every Wednesday at 2:00 p.m. ET, starting August 12. Customers can bring one setup question. Registration is required.</w:t>
            </w:r>
          </w:p>
          <w:p>
            <w:pPr>
              <w:keepLines w:val="0"/>
              <w:spacing w:before="0" w:after="0" w:line="247" w:lineRule="auto"/>
            </w:pPr>
            <w:r>
              <w:rPr>
                <w:rFonts w:ascii="Calibri" w:hAnsi="Calibri"/>
                <w:b/>
                <w:i w:val="0"/>
                <w:color w:val="17324D"/>
                <w:sz w:val="18"/>
              </w:rPr>
              <w:t xml:space="preserve">Output: </w:t>
            </w:r>
            <w:r>
              <w:rPr>
                <w:rFonts w:ascii="Calibri" w:hAnsi="Calibri"/>
                <w:b w:val="0"/>
                <w:i/>
                <w:color w:val="1F2933"/>
                <w:sz w:val="18"/>
              </w:rPr>
              <w:t>Need help setting up BrightDesk? Free 30-minute online clinics begin August 12 and run every Wednesday at 2:00 p.m. ET. Register for a clinic and bring one setup question.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17324D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6</w:t>
            </w:r>
          </w:p>
        </w:tc>
        <w:tc>
          <w:tcPr>
            <w:tcW w:type="dxa" w:w="17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EAF2F7"/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keepLines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7324D"/>
                <w:sz w:val="20"/>
              </w:rPr>
              <w:t>Acceptance criteria</w:t>
            </w:r>
          </w:p>
        </w:tc>
        <w:tc>
          <w:tcPr>
            <w:tcW w:type="dxa" w:w="7080"/>
            <w:vAlign w:val="center"/>
            <w:tcBorders>
              <w:top w:val="single" w:sz="6" w:color="B8C7D1"/>
              <w:left w:val="single" w:sz="6" w:color="B8C7D1"/>
              <w:bottom w:val="single" w:sz="6" w:color="B8C7D1"/>
              <w:right w:val="single" w:sz="6" w:color="B8C7D1"/>
              <w:insideH w:val="single" w:sz="6" w:color="B8C7D1"/>
              <w:insideV w:val="single" w:sz="6" w:color="B8C7D1"/>
            </w:tcBorders>
            <w:shd w:fill="F6F9FB"/>
            <w:tcMar>
              <w:top w:w="70" w:type="dxa"/>
              <w:bottom w:w="70" w:type="dxa"/>
              <w:start w:w="120" w:type="dxa"/>
              <w:end w:w="120" w:type="dxa"/>
            </w:tcMar>
          </w:tcPr>
          <w:p/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The output contains exactly three sentences.</w:t>
            </w:r>
          </w:p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The final sentence contains one clear call to action.</w:t>
            </w:r>
          </w:p>
          <w:p>
            <w:pPr>
              <w:pStyle w:val="ListBullet"/>
              <w:keepLines w:val="0"/>
              <w:spacing w:before="0" w:after="30" w:line="247" w:lineRule="auto"/>
              <w:ind w:left="288" w:hanging="187"/>
            </w:pPr>
            <w:r>
              <w:rPr>
                <w:rFonts w:ascii="Calibri" w:hAnsi="Calibri"/>
                <w:b w:val="0"/>
                <w:i w:val="0"/>
                <w:color w:val="1F2933"/>
                <w:sz w:val="19"/>
              </w:rPr>
              <w:t>Every factual claim can be traced to the source.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979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Lines w:val="0"/>
      <w:spacing w:before="0" w:after="0" w:line="240" w:lineRule="auto"/>
      <w:jc w:val="right"/>
    </w:pPr>
    <w:r>
      <w:rPr>
        <w:rFonts w:ascii="Calibri" w:hAnsi="Calibri"/>
        <w:b w:val="0"/>
        <w:i w:val="0"/>
        <w:color w:val="52606D"/>
        <w:sz w:val="17"/>
      </w:rPr>
      <w:t>Reusable skill template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Lines w:val="0"/>
      <w:spacing w:before="0" w:after="0" w:line="240" w:lineRule="auto"/>
      <w:jc w:val="left"/>
    </w:pPr>
    <w:r>
      <w:rPr>
        <w:rFonts w:ascii="Calibri" w:hAnsi="Calibri"/>
        <w:b/>
        <w:i w:val="0"/>
        <w:color w:val="52606D"/>
        <w:sz w:val="17"/>
      </w:rPr>
      <w:t>CHAPTER 3.3  •  EXAMPLE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9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F6B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F6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17324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i/>
      <w:iCs/>
      <w:color w:val="52606D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 Social Summary Skill Specification</dc:title>
  <dc:subject>Example reusable skill specification for Chapter 3.3</dc:subject>
  <dc:creator>Mark J. Price</dc:creator>
  <cp:keywords>ChatGPT, reusable skill, specification, social summary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