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BACA" w14:textId="77777777" w:rsidR="00A42737" w:rsidRDefault="00000000">
      <w:pPr>
        <w:spacing w:after="100"/>
      </w:pPr>
      <w:r>
        <w:rPr>
          <w:b/>
          <w:bCs/>
          <w:color w:val="1F3864"/>
          <w:sz w:val="30"/>
          <w:szCs w:val="30"/>
        </w:rPr>
        <w:t>Case Study: Cutting Weekly Reporting Time Without Losing Accuracy</w:t>
      </w:r>
    </w:p>
    <w:p w14:paraId="65A9C095" w14:textId="2FCCF70E" w:rsidR="00A42737" w:rsidRDefault="00000000">
      <w:pPr>
        <w:spacing w:after="140"/>
      </w:pPr>
      <w:r>
        <w:rPr>
          <w:i/>
          <w:iCs/>
          <w:color w:val="595959"/>
        </w:rPr>
        <w:t>A mid-sized services team's weekly status report, before and after a C</w:t>
      </w:r>
      <w:r w:rsidR="00E14728">
        <w:rPr>
          <w:i/>
          <w:iCs/>
          <w:color w:val="595959"/>
        </w:rPr>
        <w:t>laude</w:t>
      </w:r>
      <w:r>
        <w:rPr>
          <w:i/>
          <w:iCs/>
          <w:color w:val="595959"/>
        </w:rPr>
        <w:t>-assisted workflow.</w:t>
      </w:r>
    </w:p>
    <w:p w14:paraId="3C4DEEDE" w14:textId="77777777" w:rsidR="00A42737" w:rsidRDefault="00000000">
      <w:pPr>
        <w:pBdr>
          <w:top w:val="single" w:sz="6" w:space="0" w:color="1F3864"/>
          <w:bottom w:val="single" w:sz="6" w:space="0" w:color="1F3864"/>
        </w:pBdr>
        <w:spacing w:before="60" w:after="60"/>
      </w:pPr>
      <w:r>
        <w:rPr>
          <w:b/>
          <w:bCs/>
          <w:color w:val="1F3864"/>
          <w:sz w:val="22"/>
          <w:szCs w:val="22"/>
        </w:rPr>
        <w:t>Weekly reporting dropped from 3 hours to 75 minutes, with reports delivered a day earlier and no drop in accuracy.</w:t>
      </w:r>
    </w:p>
    <w:p w14:paraId="14D19337" w14:textId="77777777" w:rsidR="00A42737" w:rsidRDefault="00A42737">
      <w:pPr>
        <w:spacing w:before="22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380"/>
      </w:tblGrid>
      <w:tr w:rsidR="00A42737" w14:paraId="079E867B" w14:textId="77777777">
        <w:tblPrEx>
          <w:tblCellMar>
            <w:top w:w="0" w:type="dxa"/>
            <w:bottom w:w="0" w:type="dxa"/>
          </w:tblCellMar>
        </w:tblPrEx>
        <w:tc>
          <w:tcPr>
            <w:tcW w:w="620" w:type="dxa"/>
            <w:tcBorders>
              <w:top w:val="single" w:sz="4" w:space="0" w:color="BFBFBF"/>
              <w:left w:val="single" w:sz="4" w:space="0" w:color="BFBFBF"/>
              <w:bottom w:val="single" w:sz="4" w:space="0" w:color="BFBFBF"/>
              <w:right w:val="single" w:sz="4" w:space="0" w:color="BFBFBF"/>
            </w:tcBorders>
            <w:shd w:val="clear" w:color="auto" w:fill="3B5941"/>
            <w:tcMar>
              <w:top w:w="160" w:type="dxa"/>
              <w:left w:w="80" w:type="dxa"/>
              <w:bottom w:w="160" w:type="dxa"/>
              <w:right w:w="80" w:type="dxa"/>
            </w:tcMar>
            <w:vAlign w:val="center"/>
          </w:tcPr>
          <w:p w14:paraId="47097348" w14:textId="77777777" w:rsidR="00A42737" w:rsidRDefault="00000000">
            <w:pPr>
              <w:jc w:val="center"/>
            </w:pPr>
            <w:r>
              <w:rPr>
                <w:b/>
                <w:bCs/>
                <w:color w:val="FFFFFF"/>
                <w:sz w:val="30"/>
                <w:szCs w:val="30"/>
              </w:rPr>
              <w:t>①</w:t>
            </w:r>
          </w:p>
        </w:tc>
        <w:tc>
          <w:tcPr>
            <w:tcW w:w="9380" w:type="dxa"/>
            <w:tcBorders>
              <w:top w:val="single" w:sz="4" w:space="0" w:color="BFBFBF"/>
              <w:left w:val="single" w:sz="4" w:space="0" w:color="BFBFBF"/>
              <w:bottom w:val="single" w:sz="4" w:space="0" w:color="BFBFBF"/>
              <w:right w:val="single" w:sz="4" w:space="0" w:color="BFBFBF"/>
            </w:tcBorders>
            <w:tcMar>
              <w:top w:w="160" w:type="dxa"/>
              <w:left w:w="200" w:type="dxa"/>
              <w:bottom w:w="140" w:type="dxa"/>
              <w:right w:w="200" w:type="dxa"/>
            </w:tcMar>
          </w:tcPr>
          <w:p w14:paraId="509863E0" w14:textId="77777777" w:rsidR="00A42737" w:rsidRDefault="00000000">
            <w:pPr>
              <w:spacing w:after="40"/>
            </w:pPr>
            <w:r>
              <w:rPr>
                <w:b/>
                <w:bCs/>
                <w:color w:val="3B5941"/>
                <w:sz w:val="24"/>
                <w:szCs w:val="24"/>
              </w:rPr>
              <w:t>BEFORE</w:t>
            </w:r>
            <w:r>
              <w:rPr>
                <w:i/>
                <w:iCs/>
                <w:color w:val="595959"/>
                <w:sz w:val="18"/>
                <w:szCs w:val="18"/>
              </w:rPr>
              <w:t xml:space="preserve">   What was happening?</w:t>
            </w:r>
          </w:p>
          <w:p w14:paraId="013C7699" w14:textId="77777777" w:rsidR="00A42737" w:rsidRDefault="00000000">
            <w:r>
              <w:t>The weekly status report took about three hours to complete, most of it spent gathering figures from three separate systems and reformatting them by hand. Updates were inconsistent week to week, since the result depended on whoever happened to write that week's report.</w:t>
            </w:r>
          </w:p>
        </w:tc>
      </w:tr>
      <w:tr w:rsidR="00A42737" w14:paraId="1EA36AC2" w14:textId="77777777">
        <w:tblPrEx>
          <w:tblCellMar>
            <w:top w:w="0" w:type="dxa"/>
            <w:bottom w:w="0" w:type="dxa"/>
          </w:tblCellMar>
        </w:tblPrEx>
        <w:tc>
          <w:tcPr>
            <w:tcW w:w="620" w:type="dxa"/>
            <w:tcBorders>
              <w:top w:val="single" w:sz="4" w:space="0" w:color="BFBFBF"/>
              <w:left w:val="single" w:sz="4" w:space="0" w:color="BFBFBF"/>
              <w:bottom w:val="single" w:sz="4" w:space="0" w:color="BFBFBF"/>
              <w:right w:val="single" w:sz="4" w:space="0" w:color="BFBFBF"/>
            </w:tcBorders>
            <w:shd w:val="clear" w:color="auto" w:fill="B08A2E"/>
            <w:tcMar>
              <w:top w:w="160" w:type="dxa"/>
              <w:left w:w="80" w:type="dxa"/>
              <w:bottom w:w="160" w:type="dxa"/>
              <w:right w:w="80" w:type="dxa"/>
            </w:tcMar>
            <w:vAlign w:val="center"/>
          </w:tcPr>
          <w:p w14:paraId="6799C751" w14:textId="77777777" w:rsidR="00A42737" w:rsidRDefault="00000000">
            <w:pPr>
              <w:jc w:val="center"/>
            </w:pPr>
            <w:r>
              <w:rPr>
                <w:b/>
                <w:bCs/>
                <w:color w:val="FFFFFF"/>
                <w:sz w:val="30"/>
                <w:szCs w:val="30"/>
              </w:rPr>
              <w:t>②</w:t>
            </w:r>
          </w:p>
        </w:tc>
        <w:tc>
          <w:tcPr>
            <w:tcW w:w="9380" w:type="dxa"/>
            <w:tcBorders>
              <w:top w:val="single" w:sz="4" w:space="0" w:color="BFBFBF"/>
              <w:left w:val="single" w:sz="4" w:space="0" w:color="BFBFBF"/>
              <w:bottom w:val="single" w:sz="4" w:space="0" w:color="BFBFBF"/>
              <w:right w:val="single" w:sz="4" w:space="0" w:color="BFBFBF"/>
            </w:tcBorders>
            <w:tcMar>
              <w:top w:w="160" w:type="dxa"/>
              <w:left w:w="200" w:type="dxa"/>
              <w:bottom w:w="140" w:type="dxa"/>
              <w:right w:w="200" w:type="dxa"/>
            </w:tcMar>
          </w:tcPr>
          <w:p w14:paraId="11806155" w14:textId="77777777" w:rsidR="00A42737" w:rsidRDefault="00000000">
            <w:pPr>
              <w:spacing w:after="40"/>
            </w:pPr>
            <w:r>
              <w:rPr>
                <w:b/>
                <w:bCs/>
                <w:color w:val="B08A2E"/>
                <w:sz w:val="24"/>
                <w:szCs w:val="24"/>
              </w:rPr>
              <w:t>INTERVENTION</w:t>
            </w:r>
            <w:r>
              <w:rPr>
                <w:i/>
                <w:iCs/>
                <w:color w:val="595959"/>
                <w:sz w:val="18"/>
                <w:szCs w:val="18"/>
              </w:rPr>
              <w:t xml:space="preserve">   What did you change?</w:t>
            </w:r>
          </w:p>
          <w:p w14:paraId="0522AF15" w14:textId="3F124B35" w:rsidR="00A42737" w:rsidRDefault="00000000">
            <w:r>
              <w:t>Standardized the intake so the same data points are pulled the same way every week. Built a C</w:t>
            </w:r>
            <w:r w:rsidR="00E14728">
              <w:t>laude</w:t>
            </w:r>
            <w:r>
              <w:t xml:space="preserve"> prompt that turns the pasted data into a first draft of the report. Added a human review step to check the figures and the tone before sending.</w:t>
            </w:r>
          </w:p>
        </w:tc>
      </w:tr>
      <w:tr w:rsidR="00A42737" w14:paraId="05D2290C" w14:textId="77777777">
        <w:tblPrEx>
          <w:tblCellMar>
            <w:top w:w="0" w:type="dxa"/>
            <w:bottom w:w="0" w:type="dxa"/>
          </w:tblCellMar>
        </w:tblPrEx>
        <w:tc>
          <w:tcPr>
            <w:tcW w:w="620" w:type="dxa"/>
            <w:tcBorders>
              <w:top w:val="single" w:sz="4" w:space="0" w:color="BFBFBF"/>
              <w:left w:val="single" w:sz="4" w:space="0" w:color="BFBFBF"/>
              <w:bottom w:val="single" w:sz="4" w:space="0" w:color="BFBFBF"/>
              <w:right w:val="single" w:sz="4" w:space="0" w:color="BFBFBF"/>
            </w:tcBorders>
            <w:shd w:val="clear" w:color="auto" w:fill="C1571A"/>
            <w:tcMar>
              <w:top w:w="160" w:type="dxa"/>
              <w:left w:w="80" w:type="dxa"/>
              <w:bottom w:w="160" w:type="dxa"/>
              <w:right w:w="80" w:type="dxa"/>
            </w:tcMar>
            <w:vAlign w:val="center"/>
          </w:tcPr>
          <w:p w14:paraId="7E435BCE" w14:textId="77777777" w:rsidR="00A42737" w:rsidRDefault="00000000">
            <w:pPr>
              <w:jc w:val="center"/>
            </w:pPr>
            <w:r>
              <w:rPr>
                <w:b/>
                <w:bCs/>
                <w:color w:val="FFFFFF"/>
                <w:sz w:val="30"/>
                <w:szCs w:val="30"/>
              </w:rPr>
              <w:t>③</w:t>
            </w:r>
          </w:p>
        </w:tc>
        <w:tc>
          <w:tcPr>
            <w:tcW w:w="9380" w:type="dxa"/>
            <w:tcBorders>
              <w:top w:val="single" w:sz="4" w:space="0" w:color="BFBFBF"/>
              <w:left w:val="single" w:sz="4" w:space="0" w:color="BFBFBF"/>
              <w:bottom w:val="single" w:sz="4" w:space="0" w:color="BFBFBF"/>
              <w:right w:val="single" w:sz="4" w:space="0" w:color="BFBFBF"/>
            </w:tcBorders>
            <w:tcMar>
              <w:top w:w="160" w:type="dxa"/>
              <w:left w:w="200" w:type="dxa"/>
              <w:bottom w:w="140" w:type="dxa"/>
              <w:right w:w="200" w:type="dxa"/>
            </w:tcMar>
          </w:tcPr>
          <w:p w14:paraId="7925EB0A" w14:textId="77777777" w:rsidR="00A42737" w:rsidRDefault="00000000">
            <w:pPr>
              <w:spacing w:after="40"/>
            </w:pPr>
            <w:r>
              <w:rPr>
                <w:b/>
                <w:bCs/>
                <w:color w:val="C1571A"/>
                <w:sz w:val="24"/>
                <w:szCs w:val="24"/>
              </w:rPr>
              <w:t>AFTER</w:t>
            </w:r>
            <w:r>
              <w:rPr>
                <w:i/>
                <w:iCs/>
                <w:color w:val="595959"/>
                <w:sz w:val="18"/>
                <w:szCs w:val="18"/>
              </w:rPr>
              <w:t xml:space="preserve">   What improved?</w:t>
            </w:r>
          </w:p>
          <w:p w14:paraId="3EB6CC8E" w14:textId="77777777" w:rsidR="00A42737" w:rsidRDefault="00000000">
            <w:r>
              <w:t>The same report now takes about 75 minutes from start to finish, most of it the human review step. Reports go out a full day earlier than before, giving stakeholders more time to act on the numbers.</w:t>
            </w:r>
          </w:p>
        </w:tc>
      </w:tr>
      <w:tr w:rsidR="00A42737" w14:paraId="08EA7B53" w14:textId="77777777">
        <w:tblPrEx>
          <w:tblCellMar>
            <w:top w:w="0" w:type="dxa"/>
            <w:bottom w:w="0" w:type="dxa"/>
          </w:tblCellMar>
        </w:tblPrEx>
        <w:tc>
          <w:tcPr>
            <w:tcW w:w="620" w:type="dxa"/>
            <w:tcBorders>
              <w:top w:val="single" w:sz="4" w:space="0" w:color="BFBFBF"/>
              <w:left w:val="single" w:sz="4" w:space="0" w:color="BFBFBF"/>
              <w:bottom w:val="single" w:sz="4" w:space="0" w:color="BFBFBF"/>
              <w:right w:val="single" w:sz="4" w:space="0" w:color="BFBFBF"/>
            </w:tcBorders>
            <w:shd w:val="clear" w:color="auto" w:fill="4A5D23"/>
            <w:tcMar>
              <w:top w:w="160" w:type="dxa"/>
              <w:left w:w="80" w:type="dxa"/>
              <w:bottom w:w="160" w:type="dxa"/>
              <w:right w:w="80" w:type="dxa"/>
            </w:tcMar>
            <w:vAlign w:val="center"/>
          </w:tcPr>
          <w:p w14:paraId="6A7D7372" w14:textId="77777777" w:rsidR="00A42737" w:rsidRDefault="00000000">
            <w:pPr>
              <w:jc w:val="center"/>
            </w:pPr>
            <w:r>
              <w:rPr>
                <w:b/>
                <w:bCs/>
                <w:color w:val="FFFFFF"/>
                <w:sz w:val="30"/>
                <w:szCs w:val="30"/>
              </w:rPr>
              <w:t>④</w:t>
            </w:r>
          </w:p>
        </w:tc>
        <w:tc>
          <w:tcPr>
            <w:tcW w:w="9380" w:type="dxa"/>
            <w:tcBorders>
              <w:top w:val="single" w:sz="4" w:space="0" w:color="BFBFBF"/>
              <w:left w:val="single" w:sz="4" w:space="0" w:color="BFBFBF"/>
              <w:bottom w:val="single" w:sz="4" w:space="0" w:color="BFBFBF"/>
              <w:right w:val="single" w:sz="4" w:space="0" w:color="BFBFBF"/>
            </w:tcBorders>
            <w:tcMar>
              <w:top w:w="160" w:type="dxa"/>
              <w:left w:w="200" w:type="dxa"/>
              <w:bottom w:w="140" w:type="dxa"/>
              <w:right w:w="200" w:type="dxa"/>
            </w:tcMar>
          </w:tcPr>
          <w:p w14:paraId="69C2BE31" w14:textId="77777777" w:rsidR="00A42737" w:rsidRDefault="00000000">
            <w:pPr>
              <w:spacing w:after="40"/>
            </w:pPr>
            <w:r>
              <w:rPr>
                <w:b/>
                <w:bCs/>
                <w:color w:val="4A5D23"/>
                <w:sz w:val="24"/>
                <w:szCs w:val="24"/>
              </w:rPr>
              <w:t>EVIDENCE</w:t>
            </w:r>
            <w:r>
              <w:rPr>
                <w:i/>
                <w:iCs/>
                <w:color w:val="595959"/>
                <w:sz w:val="18"/>
                <w:szCs w:val="18"/>
              </w:rPr>
              <w:t xml:space="preserve">   What proves it?</w:t>
            </w:r>
          </w:p>
          <w:p w14:paraId="6F075F93" w14:textId="77777777" w:rsidR="00A42737" w:rsidRDefault="00000000">
            <w:r>
              <w:t>Time logs from four consecutive weekly cycles, confirmed by the reporting manager. Before-and-after time sheets are available on request, with client-identifying details removed.</w:t>
            </w:r>
          </w:p>
        </w:tc>
      </w:tr>
    </w:tbl>
    <w:p w14:paraId="2689C871" w14:textId="77777777" w:rsidR="00A42737" w:rsidRDefault="00000000">
      <w:pPr>
        <w:spacing w:before="220"/>
      </w:pPr>
      <w:r>
        <w:rPr>
          <w:i/>
          <w:iCs/>
          <w:color w:val="595959"/>
          <w:sz w:val="17"/>
          <w:szCs w:val="17"/>
        </w:rPr>
        <w:t>Client-identifying details have been generalized to protect confidential information.</w:t>
      </w:r>
    </w:p>
    <w:sectPr w:rsidR="00A42737">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E1CF1"/>
    <w:multiLevelType w:val="hybridMultilevel"/>
    <w:tmpl w:val="129C639E"/>
    <w:lvl w:ilvl="0" w:tplc="1680A76C">
      <w:start w:val="1"/>
      <w:numFmt w:val="bullet"/>
      <w:lvlText w:val="●"/>
      <w:lvlJc w:val="left"/>
      <w:pPr>
        <w:ind w:left="720" w:hanging="360"/>
      </w:pPr>
    </w:lvl>
    <w:lvl w:ilvl="1" w:tplc="73BA2FDA">
      <w:start w:val="1"/>
      <w:numFmt w:val="bullet"/>
      <w:lvlText w:val="○"/>
      <w:lvlJc w:val="left"/>
      <w:pPr>
        <w:ind w:left="1440" w:hanging="360"/>
      </w:pPr>
    </w:lvl>
    <w:lvl w:ilvl="2" w:tplc="07CEB342">
      <w:start w:val="1"/>
      <w:numFmt w:val="bullet"/>
      <w:lvlText w:val="■"/>
      <w:lvlJc w:val="left"/>
      <w:pPr>
        <w:ind w:left="2160" w:hanging="360"/>
      </w:pPr>
    </w:lvl>
    <w:lvl w:ilvl="3" w:tplc="5A12BCBA">
      <w:start w:val="1"/>
      <w:numFmt w:val="bullet"/>
      <w:lvlText w:val="●"/>
      <w:lvlJc w:val="left"/>
      <w:pPr>
        <w:ind w:left="2880" w:hanging="360"/>
      </w:pPr>
    </w:lvl>
    <w:lvl w:ilvl="4" w:tplc="A1BE7178">
      <w:start w:val="1"/>
      <w:numFmt w:val="bullet"/>
      <w:lvlText w:val="○"/>
      <w:lvlJc w:val="left"/>
      <w:pPr>
        <w:ind w:left="3600" w:hanging="360"/>
      </w:pPr>
    </w:lvl>
    <w:lvl w:ilvl="5" w:tplc="8E803E5A">
      <w:start w:val="1"/>
      <w:numFmt w:val="bullet"/>
      <w:lvlText w:val="■"/>
      <w:lvlJc w:val="left"/>
      <w:pPr>
        <w:ind w:left="4320" w:hanging="360"/>
      </w:pPr>
    </w:lvl>
    <w:lvl w:ilvl="6" w:tplc="6C50D874">
      <w:start w:val="1"/>
      <w:numFmt w:val="bullet"/>
      <w:lvlText w:val="●"/>
      <w:lvlJc w:val="left"/>
      <w:pPr>
        <w:ind w:left="5040" w:hanging="360"/>
      </w:pPr>
    </w:lvl>
    <w:lvl w:ilvl="7" w:tplc="7C1CE34E">
      <w:start w:val="1"/>
      <w:numFmt w:val="bullet"/>
      <w:lvlText w:val="●"/>
      <w:lvlJc w:val="left"/>
      <w:pPr>
        <w:ind w:left="5760" w:hanging="360"/>
      </w:pPr>
    </w:lvl>
    <w:lvl w:ilvl="8" w:tplc="CAA0F6CE">
      <w:start w:val="1"/>
      <w:numFmt w:val="bullet"/>
      <w:lvlText w:val="●"/>
      <w:lvlJc w:val="left"/>
      <w:pPr>
        <w:ind w:left="6480" w:hanging="360"/>
      </w:pPr>
    </w:lvl>
  </w:abstractNum>
  <w:num w:numId="1" w16cid:durableId="2131775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737"/>
    <w:rsid w:val="001413F5"/>
    <w:rsid w:val="00A42737"/>
    <w:rsid w:val="00E147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54F6"/>
  <w15:docId w15:val="{70FC79DF-AD10-4BA3-A5AB-7D171FD9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Price</cp:lastModifiedBy>
  <cp:revision>2</cp:revision>
  <dcterms:created xsi:type="dcterms:W3CDTF">2026-08-02T06:14:00Z</dcterms:created>
  <dcterms:modified xsi:type="dcterms:W3CDTF">2026-08-17T09:24:00Z</dcterms:modified>
</cp:coreProperties>
</file>