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Four-day week evidence review: customer-facing teams</w:t>
      </w:r>
    </w:p>
    <w:p>
      <w:r>
        <w:rPr>
          <w:b/>
          <w:bCs/>
          <w:rStyle w:val="Normal"/>
        </w:rPr>
        <w:t xml:space="preserve">Summary.</w:t>
      </w:r>
      <w:r>
        <w:rPr>
          <w:rStyle w:val="Normal"/>
        </w:rPr>
        <w:t xml:space="preserve"> Evidence published from </w:t>
      </w:r>
      <w:r>
        <w:rPr>
          <w:b/>
          <w:bCs/>
          <w:rStyle w:val="Normal"/>
        </w:rPr>
        <w:t xml:space="preserve">October 2021 to 5 October 2026</w:t>
      </w:r>
      <w:r>
        <w:rPr>
          <w:rStyle w:val="Normal"/>
        </w:rPr>
        <w:t xml:space="preserve"> supports a </w:t>
      </w:r>
      <w:r>
        <w:rPr>
          <w:b/>
          <w:bCs/>
          <w:rStyle w:val="Normal"/>
        </w:rPr>
        <w:t xml:space="preserve">reversible three-month trial</w:t>
      </w:r>
      <w:r>
        <w:rPr>
          <w:rStyle w:val="Normal"/>
        </w:rPr>
        <w:t xml:space="preserve">, not immediate permanent adoption. The strongest direct evidence comes from one public-sector contact centre: service performance was </w:t>
      </w:r>
      <w:r>
        <w:rPr>
          <w:b/>
          <w:bCs/>
          <w:rStyle w:val="Normal"/>
        </w:rPr>
        <w:t xml:space="preserve">mixed in its first three months</w:t>
      </w:r>
      <w:r>
        <w:rPr>
          <w:rStyle w:val="Normal"/>
        </w:rPr>
        <w:t xml:space="preserve">—answer time worsened, while answer rate and first-contact resolution were broadly maintained—but the longer 27-month analysis found a statistically significant improvement in calls answered. Staff-wellbeing improvements are much more consistent across studies, especially under </w:t>
      </w:r>
      <w:r>
        <w:rPr>
          <w:b/>
          <w:bCs/>
          <w:rStyle w:val="Normal"/>
        </w:rPr>
        <w:t xml:space="preserve">genuinely reduced hours at unchanged pay</w:t>
      </w:r>
      <w:r>
        <w:rPr>
          <w:rStyle w:val="Normal"/>
        </w:rPr>
        <w:t xml:space="preserve">, but customer response-time and cost evidence remains sparse. Comparable frontline cases show that continuous coverage is possible, yet results are observational and highly context-dependent. I excluded fictional/sample enterprise material.</w:t>
      </w:r>
    </w:p>
    <w:p>
      <w:pPr>
        <w:pBdr>
          <w:top w:val="single" w:color="auto" w:sz="12"/>
        </w:pBdr>
        <w:spacing w:after="0"/>
      </w:pPr>
    </w:p>
    <w:p>
      <w:pPr>
        <w:pStyle w:val="Heading2"/>
      </w:pPr>
      <w:r>
        <w:rPr>
          <w:rStyle w:val="Normal"/>
        </w:rPr>
        <w:t xml:space="preserve">1. Productivity</w:t>
      </w:r>
    </w:p>
    <w:p>
      <w:pPr>
        <w:pStyle w:val="ListParagraph"/>
        <w:pStyle w:val="ListParagraph"/>
        <w:numPr>
          <w:ilvl w:val="0"/>
          <w:numId w:val="1"/>
        </w:numPr>
        <w:numPr>
          <w:ilvl w:val="0"/>
          <w:numId w:val="2"/>
        </w:numPr>
      </w:pPr>
      <w:r>
        <w:rPr>
          <w:b/>
          <w:bCs/>
          <w:rStyle w:val="Normal"/>
        </w:rPr>
        <w:t xml:space="preserve">Direct call-centre evidence — South Cambridgeshire District Council (SCDC), UK; moderate quality.</w:t>
      </w:r>
      <w:r>
        <w:rPr>
          <w:rStyle w:val="Normal"/>
        </w:rPr>
        <w:t xml:space="preserve"> Around 500 desk-based staff entered an initial January–March 2023 reduced-hours trial, initially based on a </w:t>
      </w:r>
      <w:r>
        <w:rPr>
          <w:b/>
          <w:bCs/>
          <w:rStyle w:val="Normal"/>
        </w:rPr>
        <w:t xml:space="preserve">30-hour week</w:t>
      </w:r>
      <w:r>
        <w:rPr>
          <w:rStyle w:val="Normal"/>
        </w:rPr>
        <w:t xml:space="preserve">, later harmonised to 32 hours. During the first three months, nine of 16 organisation-wide KPIs improved year-on-year, but customer-contact results were mixed and the regression estimates attributed to the four-day week were </w:t>
      </w:r>
      <w:r>
        <w:rPr>
          <w:b/>
          <w:bCs/>
          <w:rStyle w:val="Normal"/>
        </w:rPr>
        <w:t xml:space="preserve">not statistically significant</w:t>
      </w:r>
      <w:r>
        <w:rPr>
          <w:rStyle w:val="Normal"/>
        </w:rPr>
        <w:t xml:space="preserve">. The later 27-month evaluation found that, after adjustment for pandemic effects, </w:t>
      </w:r>
      <w:r>
        <w:rPr>
          <w:b/>
          <w:bCs/>
          <w:rStyle w:val="Normal"/>
        </w:rPr>
        <w:t xml:space="preserve">21 of 24 KPIs improved or did not significantly change</w:t>
      </w:r>
      <w:r>
        <w:rPr>
          <w:rStyle w:val="Normal"/>
        </w:rPr>
        <w:t xml:space="preserve">, with nine statistically significant improvements; however, results were mostly service- or organisation-level rather than productivity per support-agent hour. </w:t>
      </w:r>
      <w:hyperlink w:history="1" r:id="rIdg-n0pfjo_aigmxx9bkf1v">
        <w:r>
          <w:rPr>
            <w:rStyle w:val="Hyperlink"/>
          </w:rPr>
          <w:t xml:space="preserve">[bennettsch....cam.ac.uk]</w:t>
        </w:r>
      </w:hyperlink>
      <w:r>
        <w:rPr>
          <w:rStyle w:val="Normal"/>
        </w:rPr>
        <w:t xml:space="preserve">, </w:t>
      </w:r>
      <w:hyperlink w:history="1" r:id="rIdjz2igsxpfe48lb_kcecj3">
        <w:r>
          <w:rPr>
            <w:rStyle w:val="Hyperlink"/>
          </w:rPr>
          <w:t xml:space="preserve">[scambs.mod...ngov.co.uk]</w:t>
        </w:r>
      </w:hyperlink>
    </w:p>
    <w:p>
      <w:pPr>
        <w:pStyle w:val="ListParagraph"/>
        <w:pStyle w:val="ListParagraph"/>
        <w:numPr>
          <w:ilvl w:val="0"/>
          <w:numId w:val="1"/>
        </w:numPr>
        <w:numPr>
          <w:ilvl w:val="0"/>
          <w:numId w:val="2"/>
        </w:numPr>
      </w:pPr>
      <w:r>
        <w:rPr>
          <w:b/>
          <w:bCs/>
          <w:rStyle w:val="Normal"/>
        </w:rPr>
        <w:t xml:space="preserve">Indirect, multi-sector evidence — 2022 UK pilot; moderate-low quality.</w:t>
      </w:r>
      <w:r>
        <w:rPr>
          <w:rStyle w:val="Normal"/>
        </w:rPr>
        <w:t xml:space="preserve"> Sixty-one organisations and about 2,900 employees ran a six-month, full-pay trial using varied reduced-hours arrangements—not one uniform four-day schedule. Revenue rose </w:t>
      </w:r>
      <w:r>
        <w:rPr>
          <w:b/>
          <w:bCs/>
          <w:rStyle w:val="Normal"/>
        </w:rPr>
        <w:t xml:space="preserve">1.4% from trial start to end among the 23 organisations supplying adequate data</w:t>
      </w:r>
      <w:r>
        <w:rPr>
          <w:rStyle w:val="Normal"/>
        </w:rPr>
        <w:t xml:space="preserve">; self-rated work ability rose from 7.06 to 7.88/10. The study did not collect a common objective productivity measure because participating organisations measured output differently, and customer-facing results were not separable. </w:t>
      </w:r>
      <w:hyperlink w:history="1" r:id="rIdtjk-ulvtfvvthft6zcpqg">
        <w:r>
          <w:rPr>
            <w:rStyle w:val="Hyperlink"/>
          </w:rPr>
          <w:t xml:space="preserve">[autonomy.work]</w:t>
        </w:r>
      </w:hyperlink>
      <w:r>
        <w:rPr>
          <w:rStyle w:val="Normal"/>
        </w:rPr>
        <w:t xml:space="preserve">, </w:t>
      </w:r>
      <w:hyperlink w:history="1" r:id="rIdfn6pcaodhtjn2hqxu5vxj">
        <w:r>
          <w:rPr>
            <w:rStyle w:val="Hyperlink"/>
          </w:rPr>
          <w:t xml:space="preserve">[cam.ac.uk]</w:t>
        </w:r>
      </w:hyperlink>
    </w:p>
    <w:p>
      <w:pPr>
        <w:pStyle w:val="ListParagraph"/>
        <w:pStyle w:val="ListParagraph"/>
        <w:numPr>
          <w:ilvl w:val="0"/>
          <w:numId w:val="1"/>
        </w:numPr>
        <w:numPr>
          <w:ilvl w:val="0"/>
          <w:numId w:val="2"/>
        </w:numPr>
      </w:pPr>
      <w:r>
        <w:rPr>
          <w:b/>
          <w:bCs/>
          <w:rStyle w:val="Normal"/>
        </w:rPr>
        <w:t xml:space="preserve">Comparable customer-facing evidence — Awin; weak company self-report.</w:t>
      </w:r>
      <w:r>
        <w:rPr>
          <w:rStyle w:val="Normal"/>
        </w:rPr>
        <w:t xml:space="preserve"> After an 18-month “Flexi-Week,” 1,300 employees could take one full day off or split the fifth day into two half-days. Awin reported client SLAs maintained, gross profit growing by an annual average of 13% from 2019–2022, and 92% of surveyed staff saying they were more productive. These figures are company-reported, have no disclosed counterfactual, and cannot isolate the effect of the schedule from business growth or other changes.</w:t>
      </w:r>
    </w:p>
    <w:p>
      <w:pPr>
        <w:pStyle w:val="ListParagraph"/>
        <w:pStyle w:val="ListParagraph"/>
        <w:numPr>
          <w:ilvl w:val="0"/>
          <w:numId w:val="1"/>
        </w:numPr>
        <w:numPr>
          <w:ilvl w:val="0"/>
          <w:numId w:val="2"/>
        </w:numPr>
      </w:pPr>
      <w:r>
        <w:rPr>
          <w:b/>
          <w:bCs/>
          <w:rStyle w:val="Normal"/>
        </w:rPr>
        <w:t xml:space="preserve">Peer-reviewed evidence is about perceived ability, not operational productivity.</w:t>
      </w:r>
      <w:r>
        <w:rPr>
          <w:rStyle w:val="Normal"/>
        </w:rPr>
        <w:t xml:space="preserve"> The 2025 </w:t>
      </w:r>
      <w:r>
        <w:rPr>
          <w:i/>
          <w:iCs/>
          <w:rStyle w:val="Normal"/>
        </w:rPr>
        <w:t xml:space="preserve">Nature Human Behaviour</w:t>
      </w:r>
      <w:r>
        <w:rPr>
          <w:rStyle w:val="Normal"/>
        </w:rPr>
        <w:t xml:space="preserve"> study followed 2,896 employees in 141 volunteer organisations through six-month, pay-preserving work-time reductions and included 12 control companies. It found improved self-reported work ability, but it did </w:t>
      </w:r>
      <w:r>
        <w:rPr>
          <w:b/>
          <w:bCs/>
          <w:rStyle w:val="Normal"/>
        </w:rPr>
        <w:t xml:space="preserve">not</w:t>
      </w:r>
      <w:r>
        <w:rPr>
          <w:rStyle w:val="Normal"/>
        </w:rPr>
        <w:t xml:space="preserve"> report support tickets, calls, revenue, staffing costs or customer SLAs; therefore it is strong evidence on wellbeing, not direct proof of support-team productivity. </w:t>
      </w:r>
      <w:hyperlink w:history="1" r:id="rIdy-d1oqgflp8w0dxffomqk">
        <w:r>
          <w:rPr>
            <w:rStyle w:val="Hyperlink"/>
          </w:rPr>
          <w:t xml:space="preserve">[nature.com]</w:t>
        </w:r>
      </w:hyperlink>
      <w:r>
        <w:rPr>
          <w:rStyle w:val="Normal"/>
        </w:rPr>
        <w:t xml:space="preserve">, </w:t>
      </w:r>
      <w:hyperlink w:history="1" r:id="rIdafgfpjcncfzd0b5adstme">
        <w:r>
          <w:rPr>
            <w:rStyle w:val="Hyperlink"/>
          </w:rPr>
          <w:t xml:space="preserve">[phys.org]</w:t>
        </w:r>
      </w:hyperlink>
    </w:p>
    <w:p>
      <w:r>
        <w:rPr>
          <w:b/>
          <w:bCs/>
          <w:rStyle w:val="Normal"/>
        </w:rPr>
        <w:t xml:space="preserve">Bottom line:</w:t>
      </w:r>
      <w:r>
        <w:rPr>
          <w:rStyle w:val="Normal"/>
        </w:rPr>
        <w:t xml:space="preserve"> productivity generally held up, but </w:t>
      </w:r>
      <w:r>
        <w:rPr>
          <w:b/>
          <w:bCs/>
          <w:rStyle w:val="Normal"/>
        </w:rPr>
        <w:t xml:space="preserve">support-output per paid hour has rarely been measured directly</w:t>
      </w:r>
      <w:r>
        <w:rPr>
          <w:rStyle w:val="Normal"/>
        </w:rPr>
        <w:t xml:space="preserve">.</w:t>
      </w:r>
    </w:p>
    <w:p>
      <w:pPr>
        <w:pBdr>
          <w:top w:val="single" w:color="auto" w:sz="12"/>
        </w:pBdr>
        <w:spacing w:after="0"/>
      </w:pPr>
    </w:p>
    <w:p>
      <w:pPr>
        <w:pStyle w:val="Heading2"/>
      </w:pPr>
      <w:r>
        <w:rPr>
          <w:rStyle w:val="Normal"/>
        </w:rPr>
        <w:t xml:space="preserve">2. Customer response times / service levels</w:t>
      </w:r>
    </w:p>
    <w:p>
      <w:pPr>
        <w:pStyle w:val="ListParagraph"/>
        <w:pStyle w:val="ListParagraph"/>
        <w:numPr>
          <w:ilvl w:val="0"/>
          <w:numId w:val="1"/>
        </w:numPr>
        <w:numPr>
          <w:ilvl w:val="0"/>
          <w:numId w:val="3"/>
        </w:numPr>
      </w:pPr>
      <w:r>
        <w:rPr>
          <w:b/>
          <w:bCs/>
          <w:rStyle w:val="Normal"/>
        </w:rPr>
        <w:t xml:space="preserve">Direct call-centre evidence — SCDC, initial three months.</w:t>
      </w:r>
      <w:r>
        <w:rPr>
          <w:rStyle w:val="Normal"/>
        </w:rPr>
        <w:t xml:space="preserve"> First-contact resolution was </w:t>
      </w:r>
      <w:r>
        <w:rPr>
          <w:b/>
          <w:bCs/>
          <w:rStyle w:val="Normal"/>
        </w:rPr>
        <w:t xml:space="preserve">81.04%, 77.78% and 78.76%</w:t>
      </w:r>
      <w:r>
        <w:rPr>
          <w:rStyle w:val="Normal"/>
        </w:rPr>
        <w:t xml:space="preserve"> in January–March 2023, versus an 80% target. Calls answered were </w:t>
      </w:r>
      <w:r>
        <w:rPr>
          <w:b/>
          <w:bCs/>
          <w:rStyle w:val="Normal"/>
        </w:rPr>
        <w:t xml:space="preserve">91.02%, 91.61% and 88.01%</w:t>
      </w:r>
      <w:r>
        <w:rPr>
          <w:rStyle w:val="Normal"/>
        </w:rPr>
        <w:t xml:space="preserve">, versus a 90% target. Average answer time was </w:t>
      </w:r>
      <w:r>
        <w:rPr>
          <w:b/>
          <w:bCs/>
          <w:rStyle w:val="Normal"/>
        </w:rPr>
        <w:t xml:space="preserve">139, 141 and 178 seconds</w:t>
      </w:r>
      <w:r>
        <w:rPr>
          <w:rStyle w:val="Normal"/>
        </w:rPr>
        <w:t xml:space="preserve">, against a 100-second target, and each trial month was slower than at least the preceding 18 months. None of the four-day-week regression effects for these three contact metrics was statistically significant. </w:t>
      </w:r>
      <w:hyperlink w:history="1" r:id="rIdcillc8l30s9d4ruuo8hxo">
        <w:r>
          <w:rPr>
            <w:rStyle w:val="Hyperlink"/>
          </w:rPr>
          <w:t xml:space="preserve">[bennettsch....cam.ac.uk]</w:t>
        </w:r>
      </w:hyperlink>
      <w:r>
        <w:rPr>
          <w:rStyle w:val="Normal"/>
        </w:rPr>
        <w:t xml:space="preserve">, </w:t>
      </w:r>
      <w:hyperlink w:history="1" r:id="rIdww3b1pbmnnx7txabosgqa">
        <w:r>
          <w:rPr>
            <w:rStyle w:val="Hyperlink"/>
          </w:rPr>
          <w:t xml:space="preserve">[scambs.mod...ngov.co.uk]</w:t>
        </w:r>
      </w:hyperlink>
    </w:p>
    <w:p>
      <w:pPr>
        <w:pStyle w:val="ListParagraph"/>
        <w:pStyle w:val="ListParagraph"/>
        <w:numPr>
          <w:ilvl w:val="0"/>
          <w:numId w:val="1"/>
        </w:numPr>
        <w:numPr>
          <w:ilvl w:val="0"/>
          <w:numId w:val="3"/>
        </w:numPr>
      </w:pPr>
      <w:r>
        <w:rPr>
          <w:b/>
          <w:bCs/>
          <w:rStyle w:val="Normal"/>
        </w:rPr>
        <w:t xml:space="preserve">Direct call-centre evidence — SCDC, longer follow-up.</w:t>
      </w:r>
      <w:r>
        <w:rPr>
          <w:rStyle w:val="Normal"/>
        </w:rPr>
        <w:t xml:space="preserve"> Across 27 months, the percentage of contact-centre calls answered and the percentage of complaints answered on time showed statistically significant improvement. A separate 2025 mystery-shopper exercise made 400 calls and scored the contact centre </w:t>
      </w:r>
      <w:r>
        <w:rPr>
          <w:b/>
          <w:bCs/>
          <w:rStyle w:val="Normal"/>
        </w:rPr>
        <w:t xml:space="preserve">81%</w:t>
      </w:r>
      <w:r>
        <w:rPr>
          <w:rStyle w:val="Normal"/>
        </w:rPr>
        <w:t xml:space="preserve">, matching its 2023 result and exceeding the evaluator’s 68% local-authority benchmark. However, a 2025 representative survey found a statistically significant perceived decline in contact-centre satisfaction among both residents and businesses. Operational measures and retrospective perceptions therefore conflict. </w:t>
      </w:r>
      <w:hyperlink w:history="1" r:id="rIdfg0vgu-xxhwevmprabs4l">
        <w:r>
          <w:rPr>
            <w:rStyle w:val="Hyperlink"/>
          </w:rPr>
          <w:t xml:space="preserve">[scambs.mod...ngov.co.uk]</w:t>
        </w:r>
      </w:hyperlink>
      <w:r>
        <w:rPr>
          <w:rStyle w:val="Normal"/>
        </w:rPr>
        <w:t xml:space="preserve">, </w:t>
      </w:r>
      <w:hyperlink w:history="1" r:id="rIdibpe2x5s1u0smkbdb7lkp">
        <w:r>
          <w:rPr>
            <w:rStyle w:val="Hyperlink"/>
          </w:rPr>
          <w:t xml:space="preserve">[scambs.gov.uk]</w:t>
        </w:r>
      </w:hyperlink>
    </w:p>
    <w:p>
      <w:pPr>
        <w:pStyle w:val="ListParagraph"/>
        <w:pStyle w:val="ListParagraph"/>
        <w:numPr>
          <w:ilvl w:val="0"/>
          <w:numId w:val="1"/>
        </w:numPr>
        <w:numPr>
          <w:ilvl w:val="0"/>
          <w:numId w:val="3"/>
        </w:numPr>
      </w:pPr>
      <w:r>
        <w:rPr>
          <w:b/>
          <w:bCs/>
          <w:rStyle w:val="Normal"/>
        </w:rPr>
        <w:t xml:space="preserve">Comparable frontline evidence — Golden Police Department, US; low-moderate quality.</w:t>
      </w:r>
      <w:r>
        <w:rPr>
          <w:rStyle w:val="Normal"/>
        </w:rPr>
        <w:t xml:space="preserve"> All 72 staff, including 54 sworn officers, moved from 40 to 32 hours for six months while maintaining continuous service. Across 15,362 calls in July–December 2023, average response time was lower in every month than in the corresponding 2022 month; published summaries report Priority 1 response time down 5% and Priority 2 down 7%. This is a useful coverage analogy, but it is policing rather than support, with a historical—not concurrent—comparator and no randomisation.</w:t>
      </w:r>
    </w:p>
    <w:p>
      <w:pPr>
        <w:pStyle w:val="ListParagraph"/>
        <w:pStyle w:val="ListParagraph"/>
        <w:numPr>
          <w:ilvl w:val="0"/>
          <w:numId w:val="1"/>
        </w:numPr>
        <w:numPr>
          <w:ilvl w:val="0"/>
          <w:numId w:val="3"/>
        </w:numPr>
      </w:pPr>
      <w:r>
        <w:rPr>
          <w:b/>
          <w:bCs/>
          <w:rStyle w:val="Normal"/>
        </w:rPr>
        <w:t xml:space="preserve">Comparable customer-facing evidence — Awin and Sharjah Government; weak.</w:t>
      </w:r>
      <w:r>
        <w:rPr>
          <w:rStyle w:val="Normal"/>
        </w:rPr>
        <w:t xml:space="preserve"> Awin reported NPS improving </w:t>
      </w:r>
      <w:r>
        <w:rPr>
          <w:b/>
          <w:bCs/>
          <w:rStyle w:val="Normal"/>
        </w:rPr>
        <w:t xml:space="preserve">20.7 points</w:t>
      </w:r>
      <w:r>
        <w:rPr>
          <w:rStyle w:val="Normal"/>
        </w:rPr>
        <w:t xml:space="preserve"> and client SLAs maintained, but published no response-time, answer-rate or abandonment data. Sharjah’s official summary reported 94% customer satisfaction with service quality, 85% satisfaction with response speed and 86% saying service access was unaffected; it did not publish sample size, survey instrument, baseline values or departmental results. </w:t>
      </w:r>
      <w:hyperlink w:history="1" r:id="rIdvnwpznyw1p60w55ntcefo">
        <w:r>
          <w:rPr>
            <w:rStyle w:val="Hyperlink"/>
          </w:rPr>
          <w:t xml:space="preserve">[awin.com]</w:t>
        </w:r>
      </w:hyperlink>
      <w:r>
        <w:rPr>
          <w:rStyle w:val="Normal"/>
        </w:rPr>
        <w:t xml:space="preserve">, </w:t>
      </w:r>
      <w:hyperlink w:history="1" r:id="rIdz-exscjt5jy1hch0_dynt">
        <w:r>
          <w:rPr>
            <w:rStyle w:val="Hyperlink"/>
          </w:rPr>
          <w:t xml:space="preserve">[ec.shj.ae]</w:t>
        </w:r>
      </w:hyperlink>
    </w:p>
    <w:p>
      <w:r>
        <w:rPr>
          <w:b/>
          <w:bCs/>
          <w:rStyle w:val="Normal"/>
        </w:rPr>
        <w:t xml:space="preserve">Bottom line:</w:t>
      </w:r>
      <w:r>
        <w:rPr>
          <w:rStyle w:val="Normal"/>
        </w:rPr>
        <w:t xml:space="preserve"> direct evidence does </w:t>
      </w:r>
      <w:r>
        <w:rPr>
          <w:b/>
          <w:bCs/>
          <w:rStyle w:val="Normal"/>
        </w:rPr>
        <w:t xml:space="preserve">not</w:t>
      </w:r>
      <w:r>
        <w:rPr>
          <w:rStyle w:val="Normal"/>
        </w:rPr>
        <w:t xml:space="preserve"> show a guaranteed service improvement. SCDC suggests early degradation in answer time can coexist with longer-term improvement in answer rate.</w:t>
      </w:r>
    </w:p>
    <w:p>
      <w:pPr>
        <w:pBdr>
          <w:top w:val="single" w:color="auto" w:sz="12"/>
        </w:pBdr>
        <w:spacing w:after="0"/>
      </w:pPr>
    </w:p>
    <w:p>
      <w:pPr>
        <w:pStyle w:val="Heading2"/>
      </w:pPr>
      <w:r>
        <w:rPr>
          <w:rStyle w:val="Normal"/>
        </w:rPr>
        <w:t xml:space="preserve">3. Staff wellbeing</w:t>
      </w:r>
    </w:p>
    <w:p>
      <w:pPr>
        <w:pStyle w:val="ListParagraph"/>
        <w:pStyle w:val="ListParagraph"/>
        <w:numPr>
          <w:ilvl w:val="0"/>
          <w:numId w:val="1"/>
        </w:numPr>
        <w:numPr>
          <w:ilvl w:val="0"/>
          <w:numId w:val="4"/>
        </w:numPr>
      </w:pPr>
      <w:r>
        <w:rPr>
          <w:b/>
          <w:bCs/>
          <w:rStyle w:val="Normal"/>
        </w:rPr>
        <w:t xml:space="preserve">Best available evidence — peer-reviewed, multi-country; moderate-high quality.</w:t>
      </w:r>
      <w:r>
        <w:rPr>
          <w:rStyle w:val="Normal"/>
        </w:rPr>
        <w:t xml:space="preserve"> In the six-month </w:t>
      </w:r>
      <w:r>
        <w:rPr>
          <w:i/>
          <w:iCs/>
          <w:rStyle w:val="Normal"/>
        </w:rPr>
        <w:t xml:space="preserve">Nature Human Behaviour</w:t>
      </w:r>
      <w:r>
        <w:rPr>
          <w:rStyle w:val="Normal"/>
        </w:rPr>
        <w:t xml:space="preserve"> study, average weekly hours fell by about five. Burnout fell by roughly </w:t>
      </w:r>
      <w:r>
        <w:rPr>
          <w:b/>
          <w:bCs/>
          <w:rStyle w:val="Normal"/>
        </w:rPr>
        <w:t xml:space="preserve">0.44 on a five-point scale</w:t>
      </w:r>
      <w:r>
        <w:rPr>
          <w:rStyle w:val="Normal"/>
        </w:rPr>
        <w:t xml:space="preserve">, job satisfaction rose </w:t>
      </w:r>
      <w:r>
        <w:rPr>
          <w:b/>
          <w:bCs/>
          <w:rStyle w:val="Normal"/>
        </w:rPr>
        <w:t xml:space="preserve">0.52 on a ten-point scale</w:t>
      </w:r>
      <w:r>
        <w:rPr>
          <w:rStyle w:val="Normal"/>
        </w:rPr>
        <w:t xml:space="preserve">, mental health rose </w:t>
      </w:r>
      <w:r>
        <w:rPr>
          <w:b/>
          <w:bCs/>
          <w:rStyle w:val="Normal"/>
        </w:rPr>
        <w:t xml:space="preserve">0.39</w:t>
      </w:r>
      <w:r>
        <w:rPr>
          <w:rStyle w:val="Normal"/>
        </w:rPr>
        <w:t xml:space="preserve">, and physical health rose </w:t>
      </w:r>
      <w:r>
        <w:rPr>
          <w:b/>
          <w:bCs/>
          <w:rStyle w:val="Normal"/>
        </w:rPr>
        <w:t xml:space="preserve">0.28</w:t>
      </w:r>
      <w:r>
        <w:rPr>
          <w:rStyle w:val="Normal"/>
        </w:rPr>
        <w:t xml:space="preserve"> on five-point scales. Improvements were not observed in the 12 control companies, and larger individual reductions in hours were associated with larger gains. Limitations include voluntary organisations, mostly small Anglophone employers, non-random assignment and self-reported outcomes. </w:t>
      </w:r>
      <w:hyperlink w:history="1" r:id="rIdyqez0znuwsbornpdpumm_">
        <w:r>
          <w:rPr>
            <w:rStyle w:val="Hyperlink"/>
          </w:rPr>
          <w:t xml:space="preserve">[nature.com]</w:t>
        </w:r>
      </w:hyperlink>
      <w:r>
        <w:rPr>
          <w:rStyle w:val="Normal"/>
        </w:rPr>
        <w:t xml:space="preserve">, </w:t>
      </w:r>
      <w:hyperlink w:history="1" r:id="rIdnhbnmnt7xm7a-b9tezmcu">
        <w:r>
          <w:rPr>
            <w:rStyle w:val="Hyperlink"/>
          </w:rPr>
          <w:t xml:space="preserve">[phys.org]</w:t>
        </w:r>
      </w:hyperlink>
      <w:r>
        <w:rPr>
          <w:rStyle w:val="Normal"/>
        </w:rPr>
        <w:t xml:space="preserve">, </w:t>
      </w:r>
      <w:hyperlink w:history="1" r:id="rId1hfqitt6gfxbyesjpg-ng">
        <w:r>
          <w:rPr>
            <w:rStyle w:val="Hyperlink"/>
          </w:rPr>
          <w:t xml:space="preserve">[biz.chosun.com]</w:t>
        </w:r>
      </w:hyperlink>
    </w:p>
    <w:p>
      <w:pPr>
        <w:pStyle w:val="ListParagraph"/>
        <w:pStyle w:val="ListParagraph"/>
        <w:numPr>
          <w:ilvl w:val="0"/>
          <w:numId w:val="1"/>
        </w:numPr>
        <w:numPr>
          <w:ilvl w:val="0"/>
          <w:numId w:val="4"/>
        </w:numPr>
      </w:pPr>
      <w:r>
        <w:rPr>
          <w:b/>
          <w:bCs/>
          <w:rStyle w:val="Normal"/>
        </w:rPr>
        <w:t xml:space="preserve">SCDC — sustained but organisation-wide self-report.</w:t>
      </w:r>
      <w:r>
        <w:rPr>
          <w:rStyle w:val="Normal"/>
        </w:rPr>
        <w:t xml:space="preserve"> Across four surveys—310 responses pre-trial and 468 in 2025—overall health rose 16%, mental health 17%, physical health 15%, and intention-to-stay 19%. Yet </w:t>
      </w:r>
      <w:r>
        <w:rPr>
          <w:b/>
          <w:bCs/>
          <w:rStyle w:val="Normal"/>
        </w:rPr>
        <w:t xml:space="preserve">63%</w:t>
      </w:r>
      <w:r>
        <w:rPr>
          <w:rStyle w:val="Normal"/>
        </w:rPr>
        <w:t xml:space="preserve"> said workdays had intensified, </w:t>
      </w:r>
      <w:r>
        <w:rPr>
          <w:b/>
          <w:bCs/>
          <w:rStyle w:val="Normal"/>
        </w:rPr>
        <w:t xml:space="preserve">24%</w:t>
      </w:r>
      <w:r>
        <w:rPr>
          <w:rStyle w:val="Normal"/>
        </w:rPr>
        <w:t xml:space="preserve"> reported increased stress, and </w:t>
      </w:r>
      <w:r>
        <w:rPr>
          <w:b/>
          <w:bCs/>
          <w:rStyle w:val="Normal"/>
        </w:rPr>
        <w:t xml:space="preserve">31%</w:t>
      </w:r>
      <w:r>
        <w:rPr>
          <w:rStyle w:val="Normal"/>
        </w:rPr>
        <w:t xml:space="preserve"> said they consistently worked more than the intended reduced hours. These results cannot isolate contact-centre employees, and changing response samples plus the absence of a control group limit causal confidence.</w:t>
      </w:r>
    </w:p>
    <w:p>
      <w:pPr>
        <w:pStyle w:val="ListParagraph"/>
        <w:pStyle w:val="ListParagraph"/>
        <w:numPr>
          <w:ilvl w:val="0"/>
          <w:numId w:val="1"/>
        </w:numPr>
        <w:numPr>
          <w:ilvl w:val="0"/>
          <w:numId w:val="4"/>
        </w:numPr>
      </w:pPr>
      <w:r>
        <w:rPr>
          <w:b/>
          <w:bCs/>
          <w:rStyle w:val="Normal"/>
        </w:rPr>
        <w:t xml:space="preserve">UK pilot — consistent direction, weaker design.</w:t>
      </w:r>
      <w:r>
        <w:rPr>
          <w:rStyle w:val="Normal"/>
        </w:rPr>
        <w:t xml:space="preserve"> After six months, 39% of employees reported less stress and 71% lower burnout. Recorded sick/personal days fell from 2.0 to 0.7 per employee per month and resignations from 2.0 to 0.8 per 100 employees, but the report states these absence and turnover changes could not be shown statistically significant because of small samples and labour-market contingencies. </w:t>
      </w:r>
      <w:hyperlink w:history="1" r:id="rId1akot0geclhmej127lnux">
        <w:r>
          <w:rPr>
            <w:rStyle w:val="Hyperlink"/>
          </w:rPr>
          <w:t xml:space="preserve">[autonomy.work]</w:t>
        </w:r>
      </w:hyperlink>
      <w:r>
        <w:rPr>
          <w:rStyle w:val="Normal"/>
        </w:rPr>
        <w:t xml:space="preserve">, </w:t>
      </w:r>
      <w:hyperlink w:history="1" r:id="rId--js7hdt2sbksop-1we-7">
        <w:r>
          <w:rPr>
            <w:rStyle w:val="Hyperlink"/>
          </w:rPr>
          <w:t xml:space="preserve">[cam.ac.uk]</w:t>
        </w:r>
      </w:hyperlink>
    </w:p>
    <w:p>
      <w:r>
        <w:rPr>
          <w:b/>
          <w:bCs/>
          <w:rStyle w:val="Normal"/>
        </w:rPr>
        <w:t xml:space="preserve">Bottom line:</w:t>
      </w:r>
      <w:r>
        <w:rPr>
          <w:rStyle w:val="Normal"/>
        </w:rPr>
        <w:t xml:space="preserve"> wellbeing improvement is the </w:t>
      </w:r>
      <w:r>
        <w:rPr>
          <w:b/>
          <w:bCs/>
          <w:rStyle w:val="Normal"/>
        </w:rPr>
        <w:t xml:space="preserve">most consistent finding</w:t>
      </w:r>
      <w:r>
        <w:rPr>
          <w:rStyle w:val="Normal"/>
        </w:rPr>
        <w:t xml:space="preserve">, but hidden fifth-day work and work intensification should be treated as failure modes, not dismissed.</w:t>
      </w:r>
    </w:p>
    <w:p>
      <w:pPr>
        <w:pBdr>
          <w:top w:val="single" w:color="auto" w:sz="12"/>
        </w:pBdr>
        <w:spacing w:after="0"/>
      </w:pPr>
    </w:p>
    <w:p>
      <w:pPr>
        <w:pStyle w:val="Heading2"/>
      </w:pPr>
      <w:r>
        <w:rPr>
          <w:rStyle w:val="Normal"/>
        </w:rPr>
        <w:t xml:space="preserve">4. Costs</w:t>
      </w:r>
    </w:p>
    <w:p>
      <w:pPr>
        <w:pStyle w:val="ListParagraph"/>
        <w:pStyle w:val="ListParagraph"/>
        <w:numPr>
          <w:ilvl w:val="0"/>
          <w:numId w:val="1"/>
        </w:numPr>
        <w:numPr>
          <w:ilvl w:val="0"/>
          <w:numId w:val="5"/>
        </w:numPr>
      </w:pPr>
      <w:r>
        <w:rPr>
          <w:b/>
          <w:bCs/>
          <w:rStyle w:val="Normal"/>
        </w:rPr>
        <w:t xml:space="preserve">SCDC — strongest financial evidence, but organisation-wide.</w:t>
      </w:r>
      <w:r>
        <w:rPr>
          <w:rStyle w:val="Normal"/>
        </w:rPr>
        <w:t xml:space="preserve"> The council reported an ongoing annual net saving of </w:t>
      </w:r>
      <w:r>
        <w:rPr>
          <w:b/>
          <w:bCs/>
          <w:rStyle w:val="Normal"/>
        </w:rPr>
        <w:t xml:space="preserve">£399,263</w:t>
      </w:r>
      <w:r>
        <w:rPr>
          <w:rStyle w:val="Normal"/>
        </w:rPr>
        <w:t xml:space="preserve">, comprising £626,103 of savings—mainly agency staffing and recruitment expenses—against £226,840 of additional annual costs. Making the waste-service arrangement permanent also required two vehicles with a stated </w:t>
      </w:r>
      <w:r>
        <w:rPr>
          <w:b/>
          <w:bCs/>
          <w:rStyle w:val="Normal"/>
        </w:rPr>
        <w:t xml:space="preserve">£500,000 upfront capital cost</w:t>
      </w:r>
      <w:r>
        <w:rPr>
          <w:rStyle w:val="Normal"/>
        </w:rPr>
        <w:t xml:space="preserve">. No contact-centre-specific cost result was published. </w:t>
      </w:r>
      <w:hyperlink w:history="1" r:id="rId4dehmpzbyzge6-om1j9ox">
        <w:r>
          <w:rPr>
            <w:rStyle w:val="Hyperlink"/>
          </w:rPr>
          <w:t xml:space="preserve">[scambs.mod...ngov.co.uk]</w:t>
        </w:r>
      </w:hyperlink>
      <w:r>
        <w:rPr>
          <w:rStyle w:val="Normal"/>
        </w:rPr>
        <w:t xml:space="preserve">, </w:t>
      </w:r>
      <w:hyperlink w:history="1" r:id="rId_zte-izqnclsgm4aye1jm">
        <w:r>
          <w:rPr>
            <w:rStyle w:val="Hyperlink"/>
          </w:rPr>
          <w:t xml:space="preserve">[scambs.gov.uk]</w:t>
        </w:r>
      </w:hyperlink>
    </w:p>
    <w:p>
      <w:pPr>
        <w:pStyle w:val="ListParagraph"/>
        <w:pStyle w:val="ListParagraph"/>
        <w:numPr>
          <w:ilvl w:val="0"/>
          <w:numId w:val="1"/>
        </w:numPr>
        <w:numPr>
          <w:ilvl w:val="0"/>
          <w:numId w:val="5"/>
        </w:numPr>
      </w:pPr>
      <w:r>
        <w:rPr>
          <w:b/>
          <w:bCs/>
          <w:rStyle w:val="Normal"/>
        </w:rPr>
        <w:t xml:space="preserve">Golden Police — comparable, not support.</w:t>
      </w:r>
      <w:r>
        <w:rPr>
          <w:rStyle w:val="Normal"/>
        </w:rPr>
        <w:t xml:space="preserve"> The six-month pilot reportedly saved </w:t>
      </w:r>
      <w:r>
        <w:rPr>
          <w:b/>
          <w:bCs/>
          <w:rStyle w:val="Normal"/>
        </w:rPr>
        <w:t xml:space="preserve">$115,000 in overtime compensation</w:t>
      </w:r>
      <w:r>
        <w:rPr>
          <w:rStyle w:val="Normal"/>
        </w:rPr>
        <w:t xml:space="preserve">; the city paid </w:t>
      </w:r>
      <w:r>
        <w:rPr>
          <w:b/>
          <w:bCs/>
          <w:rStyle w:val="Normal"/>
        </w:rPr>
        <w:t xml:space="preserve">$15,000</w:t>
      </w:r>
      <w:r>
        <w:rPr>
          <w:rStyle w:val="Normal"/>
        </w:rPr>
        <w:t xml:space="preserve"> to 4 Day Week Global for pilot assistance. Different overtime rules were part of the intervention, so the saving cannot be attributed solely to higher productivity.</w:t>
      </w:r>
    </w:p>
    <w:p>
      <w:pPr>
        <w:pStyle w:val="ListParagraph"/>
        <w:pStyle w:val="ListParagraph"/>
        <w:numPr>
          <w:ilvl w:val="0"/>
          <w:numId w:val="1"/>
        </w:numPr>
        <w:numPr>
          <w:ilvl w:val="0"/>
          <w:numId w:val="5"/>
        </w:numPr>
      </w:pPr>
      <w:r>
        <w:rPr>
          <w:b/>
          <w:bCs/>
          <w:rStyle w:val="Normal"/>
        </w:rPr>
        <w:t xml:space="preserve">Other evidence is insufficient for a cost conclusion.</w:t>
      </w:r>
      <w:r>
        <w:rPr>
          <w:rStyle w:val="Normal"/>
        </w:rPr>
        <w:t xml:space="preserve"> The UK pilot reported stable revenue rather than labour-cost savings. Awin reported profit growth but no implementation or incremental staffing cost. Sharjah stated that financial performance improved but published no monetary values. None provides a defensible estimate of the likely cost for a 12-person support operation. </w:t>
      </w:r>
      <w:hyperlink w:history="1" r:id="rIdkjqpjvzngnjf21yzraau3">
        <w:r>
          <w:rPr>
            <w:rStyle w:val="Hyperlink"/>
          </w:rPr>
          <w:t xml:space="preserve">[autonomy.work]</w:t>
        </w:r>
      </w:hyperlink>
      <w:r>
        <w:rPr>
          <w:rStyle w:val="Normal"/>
        </w:rPr>
        <w:t xml:space="preserve">, </w:t>
      </w:r>
      <w:hyperlink w:history="1" r:id="rId7qruxhefsxcf5bo8skoh0">
        <w:r>
          <w:rPr>
            <w:rStyle w:val="Hyperlink"/>
          </w:rPr>
          <w:t xml:space="preserve">[awin.com]</w:t>
        </w:r>
      </w:hyperlink>
      <w:r>
        <w:rPr>
          <w:rStyle w:val="Normal"/>
        </w:rPr>
        <w:t xml:space="preserve">, </w:t>
      </w:r>
      <w:hyperlink w:history="1" r:id="rIdpkt26ogocl-hdvneyjdoy">
        <w:r>
          <w:rPr>
            <w:rStyle w:val="Hyperlink"/>
          </w:rPr>
          <w:t xml:space="preserve">[ec.shj.ae]</w:t>
        </w:r>
      </w:hyperlink>
    </w:p>
    <w:p>
      <w:pPr>
        <w:pBdr>
          <w:top w:val="single" w:color="auto" w:sz="12"/>
        </w:pBdr>
        <w:spacing w:after="0"/>
      </w:pPr>
    </w:p>
    <w:p>
      <w:pPr>
        <w:pStyle w:val="Heading2"/>
      </w:pPr>
      <w:r>
        <w:rPr>
          <w:rStyle w:val="Normal"/>
        </w:rPr>
        <w:t xml:space="preserve">5. Where the evidence is weak</w:t>
      </w:r>
    </w:p>
    <w:p>
      <w:pPr>
        <w:pStyle w:val="ListParagraph"/>
        <w:pStyle w:val="ListParagraph"/>
        <w:numPr>
          <w:ilvl w:val="0"/>
          <w:numId w:val="1"/>
        </w:numPr>
        <w:numPr>
          <w:ilvl w:val="0"/>
          <w:numId w:val="6"/>
        </w:numPr>
      </w:pPr>
      <w:r>
        <w:rPr>
          <w:rStyle w:val="Normal"/>
        </w:rPr>
        <w:t xml:space="preserve">I found </w:t>
      </w:r>
      <w:r>
        <w:rPr>
          <w:b/>
          <w:bCs/>
          <w:rStyle w:val="Normal"/>
        </w:rPr>
        <w:t xml:space="preserve">no peer-reviewed trial focused specifically on a support or call-centre team</w:t>
      </w:r>
      <w:r>
        <w:rPr>
          <w:rStyle w:val="Normal"/>
        </w:rPr>
        <w:t xml:space="preserve"> that reports wait time, abandonment, SLA attainment, staffing and cost together.</w:t>
      </w:r>
    </w:p>
    <w:p>
      <w:pPr>
        <w:pStyle w:val="ListParagraph"/>
        <w:pStyle w:val="ListParagraph"/>
        <w:numPr>
          <w:ilvl w:val="0"/>
          <w:numId w:val="1"/>
        </w:numPr>
        <w:numPr>
          <w:ilvl w:val="0"/>
          <w:numId w:val="6"/>
        </w:numPr>
      </w:pPr>
      <w:r>
        <w:rPr>
          <w:rStyle w:val="Normal"/>
        </w:rPr>
        <w:t xml:space="preserve">SCDC is the principal direct case, but it is </w:t>
      </w:r>
      <w:r>
        <w:rPr>
          <w:b/>
          <w:bCs/>
          <w:rStyle w:val="Normal"/>
        </w:rPr>
        <w:t xml:space="preserve">one council</w:t>
      </w:r>
      <w:r>
        <w:rPr>
          <w:rStyle w:val="Normal"/>
        </w:rPr>
        <w:t xml:space="preserve">, several changes occurred alongside reduced hours, the council supplied the underlying data, and regression cannot prove causation. </w:t>
      </w:r>
      <w:hyperlink w:history="1" r:id="rIdvtk3q6vahrspwqo1s5uhg">
        <w:r>
          <w:rPr>
            <w:rStyle w:val="Hyperlink"/>
          </w:rPr>
          <w:t xml:space="preserve">[bennettsch....cam.ac.uk]</w:t>
        </w:r>
      </w:hyperlink>
      <w:r>
        <w:rPr>
          <w:rStyle w:val="Normal"/>
        </w:rPr>
        <w:t xml:space="preserve">, </w:t>
      </w:r>
      <w:hyperlink w:history="1" r:id="rIdkxt5lttq-hqumxnxpwo8q">
        <w:r>
          <w:rPr>
            <w:rStyle w:val="Hyperlink"/>
          </w:rPr>
          <w:t xml:space="preserve">[scambs.mod...ngov.co.uk]</w:t>
        </w:r>
      </w:hyperlink>
    </w:p>
    <w:p>
      <w:pPr>
        <w:pStyle w:val="ListParagraph"/>
        <w:pStyle w:val="ListParagraph"/>
        <w:numPr>
          <w:ilvl w:val="0"/>
          <w:numId w:val="1"/>
        </w:numPr>
        <w:numPr>
          <w:ilvl w:val="0"/>
          <w:numId w:val="6"/>
        </w:numPr>
      </w:pPr>
      <w:r>
        <w:rPr>
          <w:rStyle w:val="Normal"/>
        </w:rPr>
        <w:t xml:space="preserve">The substantive evidence concerns </w:t>
      </w:r>
      <w:r>
        <w:rPr>
          <w:b/>
          <w:bCs/>
          <w:rStyle w:val="Normal"/>
        </w:rPr>
        <w:t xml:space="preserve">reduced hours at unchanged pay</w:t>
      </w:r>
      <w:r>
        <w:rPr>
          <w:rStyle w:val="Normal"/>
        </w:rPr>
        <w:t xml:space="preserve">. It should not be applied to a conventional compressed 4×10-hour week. Golden’s city materials call the pilot “compressed,” but actual hours fell from 40 to 32; Awin, SCDC and the major trials also reduced time rather than merely rearranging 40 hours.</w:t>
      </w:r>
    </w:p>
    <w:p>
      <w:pPr>
        <w:pStyle w:val="ListParagraph"/>
        <w:pStyle w:val="ListParagraph"/>
        <w:numPr>
          <w:ilvl w:val="0"/>
          <w:numId w:val="1"/>
        </w:numPr>
        <w:numPr>
          <w:ilvl w:val="0"/>
          <w:numId w:val="6"/>
        </w:numPr>
      </w:pPr>
      <w:r>
        <w:rPr>
          <w:rStyle w:val="Normal"/>
        </w:rPr>
        <w:t xml:space="preserve">Buffer’s detailed Customer Advocacy account was published in June 2021—outside the requested range. Its January 2022 update reports organisation-wide sentiment but no support-specific response-time or customer-satisfaction result, so I did not treat it as direct empirical support evidence. </w:t>
      </w:r>
      <w:hyperlink w:history="1" r:id="rIda3tg5bsatqb717dzh5hre">
        <w:r>
          <w:rPr>
            <w:rStyle w:val="Hyperlink"/>
          </w:rPr>
          <w:t xml:space="preserve">[buffer.com]</w:t>
        </w:r>
      </w:hyperlink>
      <w:r>
        <w:rPr>
          <w:rStyle w:val="Normal"/>
        </w:rPr>
        <w:t xml:space="preserve">, </w:t>
      </w:r>
      <w:hyperlink w:history="1" r:id="rIdz4wjwyyccx_ksjix138z3">
        <w:r>
          <w:rPr>
            <w:rStyle w:val="Hyperlink"/>
          </w:rPr>
          <w:t xml:space="preserve">[buffer.com]</w:t>
        </w:r>
      </w:hyperlink>
    </w:p>
    <w:p>
      <w:pPr>
        <w:pBdr>
          <w:top w:val="single" w:color="auto" w:sz="12"/>
        </w:pBdr>
        <w:spacing w:after="0"/>
      </w:pPr>
    </w:p>
    <w:p>
      <w:pPr>
        <w:pStyle w:val="Heading2"/>
      </w:pPr>
      <w:r>
        <w:rPr>
          <w:rStyle w:val="Normal"/>
        </w:rPr>
        <w:t xml:space="preserve">6. Questions for our own trial</w:t>
      </w:r>
    </w:p>
    <w:p>
      <w:pPr>
        <w:pStyle w:val="Heading3"/>
      </w:pPr>
      <w:r>
        <w:rPr>
          <w:rStyle w:val="Normal"/>
        </w:rPr>
        <w:t xml:space="preserve">Service and productivity</w:t>
      </w:r>
    </w:p>
    <w:p>
      <w:pPr>
        <w:pStyle w:val="ListParagraph"/>
        <w:numPr>
          <w:ilvl w:val="0"/>
          <w:numId w:val="7"/>
        </w:numPr>
      </w:pPr>
      <w:r>
        <w:rPr>
          <w:b/>
          <w:bCs/>
          <w:rStyle w:val="Normal"/>
        </w:rPr>
        <w:t xml:space="preserve">Which model are we testing:</w:t>
      </w:r>
      <w:r>
        <w:rPr>
          <w:rStyle w:val="Normal"/>
        </w:rPr>
        <w:t xml:space="preserve"> genuinely reduced contracted hours or the same hours compressed into four days?</w:t>
      </w:r>
    </w:p>
    <w:p>
      <w:pPr>
        <w:pStyle w:val="ListParagraph"/>
        <w:numPr>
          <w:ilvl w:val="0"/>
          <w:numId w:val="7"/>
        </w:numPr>
      </w:pPr>
      <w:r>
        <w:rPr>
          <w:rStyle w:val="Normal"/>
        </w:rPr>
        <w:t xml:space="preserve">What will happen to </w:t>
      </w:r>
      <w:r>
        <w:rPr>
          <w:b/>
          <w:bCs/>
          <w:rStyle w:val="Normal"/>
        </w:rPr>
        <w:t xml:space="preserve">tickets received, tickets resolved, backlog size/age, reopen rate, escalation rate and QA score</w:t>
      </w:r>
      <w:r>
        <w:rPr>
          <w:rStyle w:val="Normal"/>
        </w:rPr>
        <w:t xml:space="preserve">, both per week and per paid hour?</w:t>
      </w:r>
    </w:p>
    <w:p>
      <w:pPr>
        <w:pStyle w:val="ListParagraph"/>
        <w:numPr>
          <w:ilvl w:val="0"/>
          <w:numId w:val="7"/>
        </w:numPr>
      </w:pPr>
      <w:r>
        <w:rPr>
          <w:rStyle w:val="Normal"/>
        </w:rPr>
        <w:t xml:space="preserve">What will happen to </w:t>
      </w:r>
      <w:r>
        <w:rPr>
          <w:b/>
          <w:bCs/>
          <w:rStyle w:val="Normal"/>
        </w:rPr>
        <w:t xml:space="preserve">median and tail first-response time, resolution time, SLA attainment, answer rate, abandonment, CSAT and complaints</w:t>
      </w:r>
      <w:r>
        <w:rPr>
          <w:rStyle w:val="Normal"/>
        </w:rPr>
        <w:t xml:space="preserve">, by channel and day?</w:t>
      </w:r>
    </w:p>
    <w:p>
      <w:pPr>
        <w:pStyle w:val="ListParagraph"/>
        <w:numPr>
          <w:ilvl w:val="0"/>
          <w:numId w:val="7"/>
        </w:numPr>
      </w:pPr>
      <w:r>
        <w:rPr>
          <w:rStyle w:val="Normal"/>
        </w:rPr>
        <w:t xml:space="preserve">Can all required opening hours and escalation coverage be maintained without shifting work to another team?</w:t>
      </w:r>
    </w:p>
    <w:p>
      <w:pPr>
        <w:pStyle w:val="Heading3"/>
      </w:pPr>
      <w:r>
        <w:rPr>
          <w:rStyle w:val="Normal"/>
        </w:rPr>
        <w:t xml:space="preserve">Wellbeing and sustainability</w:t>
      </w:r>
    </w:p>
    <w:p>
      <w:pPr>
        <w:pStyle w:val="ListParagraph"/>
        <w:numPr>
          <w:ilvl w:val="0"/>
          <w:numId w:val="8"/>
        </w:numPr>
      </w:pPr>
      <w:r>
        <w:rPr>
          <w:rStyle w:val="Normal"/>
        </w:rPr>
        <w:t xml:space="preserve">Do burnout, stress, work-life balance, job satisfaction, absence and intention-to-stay change from the pre-trial baseline?</w:t>
      </w:r>
    </w:p>
    <w:p>
      <w:pPr>
        <w:pStyle w:val="ListParagraph"/>
        <w:numPr>
          <w:ilvl w:val="0"/>
          <w:numId w:val="8"/>
        </w:numPr>
      </w:pPr>
      <w:r>
        <w:rPr>
          <w:rStyle w:val="Normal"/>
        </w:rPr>
        <w:t xml:space="preserve">How many people work on their nominal day off, exceed the intended hours or report intensified workdays?</w:t>
      </w:r>
    </w:p>
    <w:p>
      <w:pPr>
        <w:pStyle w:val="ListParagraph"/>
        <w:numPr>
          <w:ilvl w:val="0"/>
          <w:numId w:val="8"/>
        </w:numPr>
      </w:pPr>
      <w:r>
        <w:rPr>
          <w:rStyle w:val="Normal"/>
        </w:rPr>
        <w:t xml:space="preserve">Are outcomes equitable across each rota, channel and type of support work?</w:t>
      </w:r>
    </w:p>
    <w:p>
      <w:pPr>
        <w:pStyle w:val="Heading3"/>
      </w:pPr>
      <w:r>
        <w:rPr>
          <w:rStyle w:val="Normal"/>
        </w:rPr>
        <w:t xml:space="preserve">Costs and decision quality</w:t>
      </w:r>
    </w:p>
    <w:p>
      <w:pPr>
        <w:pStyle w:val="ListParagraph"/>
        <w:numPr>
          <w:ilvl w:val="0"/>
          <w:numId w:val="9"/>
        </w:numPr>
      </w:pPr>
      <w:r>
        <w:rPr>
          <w:rStyle w:val="Normal"/>
        </w:rPr>
        <w:t xml:space="preserve">What happens to overtime, contractors, temporary cover, shift premiums, recruitment, absence and manager time?</w:t>
      </w:r>
    </w:p>
    <w:p>
      <w:pPr>
        <w:pStyle w:val="ListParagraph"/>
        <w:numPr>
          <w:ilvl w:val="0"/>
          <w:numId w:val="9"/>
        </w:numPr>
      </w:pPr>
      <w:r>
        <w:rPr>
          <w:rStyle w:val="Normal"/>
        </w:rPr>
        <w:t xml:space="preserve">What one-off implementation costs arise from scheduling, tooling, training or additional cover?</w:t>
      </w:r>
    </w:p>
    <w:p>
      <w:pPr>
        <w:pStyle w:val="ListParagraph"/>
        <w:numPr>
          <w:ilvl w:val="0"/>
          <w:numId w:val="9"/>
        </w:numPr>
      </w:pPr>
      <w:r>
        <w:rPr>
          <w:rStyle w:val="Normal"/>
        </w:rPr>
        <w:t xml:space="preserve">How will seasonality, product incidents, launches and changes in ticket mix be separated from the schedule effect?</w:t>
      </w:r>
    </w:p>
    <w:p>
      <w:pPr>
        <w:pStyle w:val="ListParagraph"/>
        <w:numPr>
          <w:ilvl w:val="0"/>
          <w:numId w:val="9"/>
        </w:numPr>
      </w:pPr>
      <w:r>
        <w:rPr>
          <w:rStyle w:val="Normal"/>
        </w:rPr>
        <w:t xml:space="preserve">What pre-agreed evidence would justify </w:t>
      </w:r>
      <w:r>
        <w:rPr>
          <w:b/>
          <w:bCs/>
          <w:rStyle w:val="Normal"/>
        </w:rPr>
        <w:t xml:space="preserve">continuing, modifying or stopping</w:t>
      </w:r>
      <w:r>
        <w:rPr>
          <w:rStyle w:val="Normal"/>
        </w:rPr>
        <w:t xml:space="preserve"> the trial?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8"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9"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n0pfjo_aigmxx9bkf1v" Type="http://schemas.openxmlformats.org/officeDocument/2006/relationships/hyperlink" Target="https://www.bennettschool.cam.ac.uk/wp-content/uploads/2023/07/Evaluation-of-the-KPIs.pdf" TargetMode="External"/><Relationship Id="rIdjz2igsxpfe48lb_kcecj3" Type="http://schemas.openxmlformats.org/officeDocument/2006/relationships/hyperlink" Target="https://scambs.moderngov.co.uk/documents/s139837/Four-day%20Week%20Update%20and%20Future%20Arrangements.pdf" TargetMode="External"/><Relationship Id="rIdtjk-ulvtfvvthft6zcpqg" Type="http://schemas.openxmlformats.org/officeDocument/2006/relationships/hyperlink" Target="https://autonomy.work/wp-content/uploads/2023/02/The-results-are-in-The-UKs-four-day-week-pilot.pdf" TargetMode="External"/><Relationship Id="rIdfn6pcaodhtjn2hqxu5vxj" Type="http://schemas.openxmlformats.org/officeDocument/2006/relationships/hyperlink" Target="https://www.cam.ac.uk/stories/fourdayweek" TargetMode="External"/><Relationship Id="rIdy-d1oqgflp8w0dxffomqk" Type="http://schemas.openxmlformats.org/officeDocument/2006/relationships/hyperlink" Target="https://www.nature.com/articles/s41562-025-02259-6" TargetMode="External"/><Relationship Id="rIdafgfpjcncfzd0b5adstme" Type="http://schemas.openxmlformats.org/officeDocument/2006/relationships/hyperlink" Target="https://phys.org/news/2025-07-day-workweek-boosts-job-satisfaction.html" TargetMode="External"/><Relationship Id="rIdcillc8l30s9d4ruuo8hxo" Type="http://schemas.openxmlformats.org/officeDocument/2006/relationships/hyperlink" Target="https://www.bennettschool.cam.ac.uk/wp-content/uploads/2023/07/Evaluation-of-the-KPIs.pdf" TargetMode="External"/><Relationship Id="rIdww3b1pbmnnx7txabosgqa" Type="http://schemas.openxmlformats.org/officeDocument/2006/relationships/hyperlink" Target="https://scambs.moderngov.co.uk/documents/s139837/Four-day%20Week%20Update%20and%20Future%20Arrangements.pdf" TargetMode="External"/><Relationship Id="rIdfg0vgu-xxhwevmprabs4l" Type="http://schemas.openxmlformats.org/officeDocument/2006/relationships/hyperlink" Target="https://scambs.moderngov.co.uk/documents/s139837/Four-day%20Week%20Update%20and%20Future%20Arrangements.pdf" TargetMode="External"/><Relationship Id="rIdibpe2x5s1u0smkbdb7lkp" Type="http://schemas.openxmlformats.org/officeDocument/2006/relationships/hyperlink" Target="https://www.scambs.gov.uk/four-day-working-week" TargetMode="External"/><Relationship Id="rIdvnwpznyw1p60w55ntcefo" Type="http://schemas.openxmlformats.org/officeDocument/2006/relationships/hyperlink" Target="https://www.awin.com/gb/news-and-events/awin-news/awin-flexible-work-week" TargetMode="External"/><Relationship Id="rIdz-exscjt5jy1hch0_dynt" Type="http://schemas.openxmlformats.org/officeDocument/2006/relationships/hyperlink" Target="https://ec.shj.ae/en/news/sec-reviews-evaluation-study-of-the-new-weekly-work-system/" TargetMode="External"/><Relationship Id="rIdyqez0znuwsbornpdpumm_" Type="http://schemas.openxmlformats.org/officeDocument/2006/relationships/hyperlink" Target="https://www.nature.com/articles/s41562-025-02259-6" TargetMode="External"/><Relationship Id="rIdnhbnmnt7xm7a-b9tezmcu" Type="http://schemas.openxmlformats.org/officeDocument/2006/relationships/hyperlink" Target="https://phys.org/news/2025-07-day-workweek-boosts-job-satisfaction.html" TargetMode="External"/><Relationship Id="rId1hfqitt6gfxbyesjpg-ng" Type="http://schemas.openxmlformats.org/officeDocument/2006/relationships/hyperlink" Target="https://biz.chosun.com/en/en-science/2025/07/22/64QBYUDEEFB3ZJMRBPCD5YPZ2U/" TargetMode="External"/><Relationship Id="rId1akot0geclhmej127lnux" Type="http://schemas.openxmlformats.org/officeDocument/2006/relationships/hyperlink" Target="https://autonomy.work/wp-content/uploads/2023/02/The-results-are-in-The-UKs-four-day-week-pilot.pdf" TargetMode="External"/><Relationship Id="rId--js7hdt2sbksop-1we-7" Type="http://schemas.openxmlformats.org/officeDocument/2006/relationships/hyperlink" Target="https://www.cam.ac.uk/stories/fourdayweek" TargetMode="External"/><Relationship Id="rId4dehmpzbyzge6-om1j9ox" Type="http://schemas.openxmlformats.org/officeDocument/2006/relationships/hyperlink" Target="https://scambs.moderngov.co.uk/documents/s139837/Four-day%20Week%20Update%20and%20Future%20Arrangements.pdf" TargetMode="External"/><Relationship Id="rId_zte-izqnclsgm4aye1jm" Type="http://schemas.openxmlformats.org/officeDocument/2006/relationships/hyperlink" Target="https://www.scambs.gov.uk/four-day-working-week" TargetMode="External"/><Relationship Id="rIdkjqpjvzngnjf21yzraau3" Type="http://schemas.openxmlformats.org/officeDocument/2006/relationships/hyperlink" Target="https://autonomy.work/wp-content/uploads/2023/02/The-results-are-in-The-UKs-four-day-week-pilot.pdf" TargetMode="External"/><Relationship Id="rId7qruxhefsxcf5bo8skoh0" Type="http://schemas.openxmlformats.org/officeDocument/2006/relationships/hyperlink" Target="https://www.awin.com/gb/news-and-events/awin-news/awin-flexible-work-week" TargetMode="External"/><Relationship Id="rIdpkt26ogocl-hdvneyjdoy" Type="http://schemas.openxmlformats.org/officeDocument/2006/relationships/hyperlink" Target="https://ec.shj.ae/en/news/sec-reviews-study-of-evaluating-new-weekly-work-system/" TargetMode="External"/><Relationship Id="rIdvtk3q6vahrspwqo1s5uhg" Type="http://schemas.openxmlformats.org/officeDocument/2006/relationships/hyperlink" Target="https://www.bennettschool.cam.ac.uk/wp-content/uploads/2023/07/Evaluation-of-the-KPIs.pdf" TargetMode="External"/><Relationship Id="rIdkxt5lttq-hqumxnxpwo8q" Type="http://schemas.openxmlformats.org/officeDocument/2006/relationships/hyperlink" Target="https://scambs.moderngov.co.uk/documents/s139837/Four-day%20Week%20Update%20and%20Future%20Arrangements.pdf" TargetMode="External"/><Relationship Id="rIda3tg5bsatqb717dzh5hre" Type="http://schemas.openxmlformats.org/officeDocument/2006/relationships/hyperlink" Target="https://buffer.com/resources/customer-advocacy-4-day-workweek/" TargetMode="External"/><Relationship Id="rIdz4wjwyyccx_ksjix138z3" Type="http://schemas.openxmlformats.org/officeDocument/2006/relationships/hyperlink" Target="https://buffer.com/resources/four-day-workweek-at-buffer/"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2026-10-05T11:47:37.524Z</dcterms:created>
  <dcterms:modified xsi:type="dcterms:W3CDTF">2026-10-05T11:47:37.524Z</dcterms:modified>
</cp:coreProperties>
</file>

<file path=docProps/custom.xml><?xml version="1.0" encoding="utf-8"?>
<Properties xmlns="http://schemas.openxmlformats.org/officeDocument/2006/custom-properties" xmlns:vt="http://schemas.openxmlformats.org/officeDocument/2006/docPropsVTypes"/>
</file>