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w:t>
      </w:r>
    </w:p>
    <w:p>
      <w:r>
        <w:t>TO: Litigation team</w:t>
      </w:r>
    </w:p>
    <w:p>
      <w:r>
        <w:t>FROM: Elena Harper, Senior Associate</w:t>
      </w:r>
    </w:p>
    <w:p>
      <w:r>
        <w:t>DATE: February 22, 2027</w:t>
      </w:r>
    </w:p>
    <w:p>
      <w:r>
        <w:t>RE: Discovery response</w:t>
      </w:r>
    </w:p>
    <w:p>
      <w:r>
        <w:t>Hi all, I wanted to send a quick note about the discovery response in the Whitfield matter, and the main thing is that we need to get our objections and responses to opposing counsel by Friday, March 5, which is tighter than I would like given that the client still has not sent the last batch of emails from the finance team, so I will need each of you to send me the privilege review notes for your custodians, the updated document index, the signed verification from the client, and your list of any documents you think we should withhold, and I also want to ask whether anyone knows if the court will let us ask for a short extension if the client is late, because I could not find the local rule on that and I do not want to promise something we cannot deliver, thanks, Elena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