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brief: Stride Pro running shoe launch</w:t>
      </w:r>
    </w:p>
    <w:p>
      <w:r>
        <w:t>Owner: Priya Nair. Date: March 2026. Status: Approved.</w:t>
      </w:r>
    </w:p>
    <w:p>
      <w:pPr>
        <w:pStyle w:val="Heading2"/>
      </w:pPr>
      <w:r>
        <w:t>Objective</w:t>
      </w:r>
    </w:p>
    <w:p>
      <w:r>
        <w:t>Introduce the Stride Pro to runners who log 15 or more miles a week and drive 12,000 pre-orders in the first six weeks.</w:t>
      </w:r>
    </w:p>
    <w:p>
      <w:pPr>
        <w:pStyle w:val="Heading2"/>
      </w:pPr>
      <w:r>
        <w:t>Audience</w:t>
      </w:r>
    </w:p>
    <w:p>
      <w:r>
        <w:t>Committed recreational runners aged 25 to 45 who buy new shoes every six to eight months.</w:t>
      </w:r>
    </w:p>
    <w:p>
      <w:pPr>
        <w:pStyle w:val="Heading2"/>
      </w:pPr>
      <w:r>
        <w:t>Key messages</w:t>
      </w:r>
    </w:p>
    <w:p>
      <w:pPr>
        <w:pStyle w:val="ListBullet"/>
      </w:pPr>
      <w:r>
        <w:t>Lighter by 20 grams than the previous model</w:t>
      </w:r>
    </w:p>
    <w:p>
      <w:pPr>
        <w:pStyle w:val="ListBullet"/>
      </w:pPr>
      <w:r>
        <w:t>Same cushioning, new upper</w:t>
      </w:r>
    </w:p>
    <w:p>
      <w:pPr>
        <w:pStyle w:val="ListBullet"/>
      </w:pPr>
      <w:r>
        <w:t>Available in four colors</w:t>
      </w:r>
    </w:p>
    <w:p>
      <w:pPr>
        <w:pStyle w:val="Heading2"/>
      </w:pPr>
      <w: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Creative review</w:t>
            </w:r>
          </w:p>
        </w:tc>
        <w:tc>
          <w:tcPr>
            <w:tcW w:type="dxa" w:w="4320"/>
          </w:tcPr>
          <w:p>
            <w:r>
              <w:t>April 6, 2026</w:t>
            </w:r>
          </w:p>
        </w:tc>
      </w:tr>
      <w:tr>
        <w:tc>
          <w:tcPr>
            <w:tcW w:type="dxa" w:w="4320"/>
          </w:tcPr>
          <w:p>
            <w:r>
              <w:t>Pre-order opens</w:t>
            </w:r>
          </w:p>
        </w:tc>
        <w:tc>
          <w:tcPr>
            <w:tcW w:type="dxa" w:w="4320"/>
          </w:tcPr>
          <w:p>
            <w:r>
              <w:t>May 4, 2026</w:t>
            </w:r>
          </w:p>
        </w:tc>
      </w:tr>
      <w:tr>
        <w:tc>
          <w:tcPr>
            <w:tcW w:type="dxa" w:w="4320"/>
          </w:tcPr>
          <w:p>
            <w:r>
              <w:t>Launch event</w:t>
            </w:r>
          </w:p>
        </w:tc>
        <w:tc>
          <w:tcPr>
            <w:tcW w:type="dxa" w:w="4320"/>
          </w:tcPr>
          <w:p>
            <w:r>
              <w:t>May 21, 2026</w:t>
            </w:r>
          </w:p>
        </w:tc>
      </w:tr>
    </w:tbl>
    <w:p>
      <w:pPr>
        <w:pStyle w:val="Heading2"/>
      </w:pPr>
      <w:r>
        <w:t>Budget</w:t>
      </w:r>
    </w:p>
    <w:p>
      <w:r>
        <w:t>US$240,000 total: US$120,000 paid social, US$70,000 influencer partnerships, US$50,000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