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Problem — Anchoring the Phenomenon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(squares on a chess board), 729 (pots in a 27 × 27 nursery grid) and 100,000 (an amount in shillings) can each be written as a short chain of repeated multiplication of the same factor.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Building Index Language: Bases, Exponents and Expanded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Discovering the Product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Discovering the Quotient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Discovering the Power-of-a-Power Law: (aᵐ)ⁿ = aᵐⁿ</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Consolidating and Applying All Four Laws of Indices — Multi-Step Computations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multiplied by 10² (for example 10² litres of water per person) using the Product Law on the powers of 10, with the coefficient 4.8 unchanged.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Work from the inside of the brackets outwards: in P3 and P4 the power-of-a-power sits inside the brackets, so it is simplified first. Expressing answers in index form keeps computations compact and comparable, exactly as scientists, journalists and government planners in Kenya require.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each of Kenya's 4.8 × 10⁷ people is assumed to use 10² litres of water, the total of 4.8 × 10⁹ litres is reached in one step using the Product Law — exactly the kind of efficient, unambiguous computation that makes index notation indispensable for anyone working with national-scale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Real-Life Applications and Problem Solving — Explain &amp; DQB Refinement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that the ratio of two equal distances, 10³ ÷ 10³, is 10⁰ = 1. Learners also refined their Driving Question Board by moving remaining 'Still not sure' questions to 'What we now know' and authored personal consensus statements explaining why the tiny superscript number is so powerful.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Index Laws Map: Synthesis, Final Explanation and Portfolio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county populations, tea-farm dilution, maize-harvest ratios and digital-storage sizes.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jdmnf2sd6atv-pdsn-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c8u-9y-szb1_o0l6jvs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aqsbrqjxnkewnhkxtss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jdmnf2sd6atv-pdsn-c" Type="http://schemas.openxmlformats.org/officeDocument/2006/relationships/hyperlink" Target="https://creativecommons.org/licenses/by-nc/4.0/" TargetMode="External"/><Relationship Id="rIdqc8u-9y-szb1_o0l6jvsl" Type="http://schemas.openxmlformats.org/officeDocument/2006/relationships/hyperlink" Target="https://creativecommons.org/licenses/by-nc/4.0/" TargetMode="External"/><Relationship Id="rIdzaqsbrqjxnkewnhkxtss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2026-10-18T00:28:22.562Z</dcterms:created>
  <dcterms:modified xsi:type="dcterms:W3CDTF">2026-10-18T00:28:22.562Z</dcterms:modified>
</cp:coreProperties>
</file>

<file path=docProps/custom.xml><?xml version="1.0" encoding="utf-8"?>
<Properties xmlns="http://schemas.openxmlformats.org/officeDocument/2006/custom-properties" xmlns:vt="http://schemas.openxmlformats.org/officeDocument/2006/docPropsVTypes"/>
</file>