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Calibri" w:hAnsi="Calibri"/>
          <w:b/>
          <w:i w:val="0"/>
          <w:color w:val="1F3864"/>
          <w:sz w:val="28"/>
        </w:rPr>
        <w:t>Mathematics | Grade 10 | Sub-Strand 1.3: Quadratic Expressions and Equations</w:t>
      </w:r>
    </w:p>
    <w:p>
      <w:pPr>
        <w:spacing w:before="0" w:after="120"/>
        <w:jc w:val="left"/>
      </w:pPr>
      <w:r>
        <w:rPr>
          <w:rFonts w:ascii="Calibri" w:hAnsi="Calibri"/>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1F3864"/>
          </w:tcPr>
          <w:p>
            <w:pPr>
              <w:spacing w:before="40" w:after="40"/>
              <w:jc w:val="left"/>
            </w:pPr>
            <w:r>
              <w:rPr>
                <w:rFonts w:ascii="Calibri" w:hAnsi="Calibri"/>
                <w:b/>
                <w:i w:val="0"/>
                <w:color w:val="FFFFFF"/>
                <w:sz w:val="22"/>
              </w:rPr>
              <w:t>Mathematics | Grade 10 | Sub-Strand 1.3: Quadratic Expressions and Equations</w:t>
            </w:r>
          </w:p>
        </w:tc>
      </w:tr>
      <w:tr>
        <w:tc>
          <w:tcPr>
            <w:tcW w:type="dxa" w:w="13680"/>
            <w:gridSpan w:val="2"/>
            <w:shd w:val="clear" w:color="auto" w:fill="1F6B75"/>
          </w:tcPr>
          <w:p>
            <w:pPr>
              <w:spacing w:before="40" w:after="40"/>
              <w:jc w:val="left"/>
            </w:pPr>
            <w:r>
              <w:rPr>
                <w:rFonts w:ascii="Calibri" w:hAnsi="Calibri"/>
                <w:b/>
                <w:i w:val="0"/>
                <w:color w:val="FFFFFF"/>
                <w:sz w:val="20"/>
              </w:rPr>
              <w:t>Final Explanation Document</w:t>
            </w:r>
          </w:p>
        </w:tc>
      </w:tr>
      <w:tr>
        <w:tc>
          <w:tcPr>
            <w:tcW w:type="dxa" w:w="3600"/>
            <w:shd w:val="clear" w:color="auto" w:fill="D5E8F0"/>
          </w:tcPr>
          <w:p>
            <w:pPr>
              <w:spacing w:before="40" w:after="40"/>
              <w:jc w:val="left"/>
            </w:pPr>
            <w:r>
              <w:rPr>
                <w:rFonts w:ascii="Calibri" w:hAnsi="Calibri"/>
                <w:b/>
                <w:i w:val="0"/>
                <w:color w:val="000000"/>
                <w:sz w:val="18"/>
              </w:rPr>
              <w:t>Student Name:</w:t>
            </w:r>
          </w:p>
        </w:tc>
        <w:tc>
          <w:tcPr>
            <w:tcW w:type="dxa" w:w="10080"/>
            <w:shd w:val="clear" w:color="auto" w:fill="FFFFFF"/>
          </w:tcPr>
          <w:p>
            <w:pPr>
              <w:spacing w:before="40" w:after="40"/>
              <w:jc w:val="left"/>
            </w:pPr>
          </w:p>
        </w:tc>
      </w:tr>
      <w:tr>
        <w:tc>
          <w:tcPr>
            <w:tcW w:type="dxa" w:w="3600"/>
            <w:shd w:val="clear" w:color="auto" w:fill="D5E8F0"/>
          </w:tcPr>
          <w:p>
            <w:pPr>
              <w:spacing w:before="40" w:after="40"/>
              <w:jc w:val="left"/>
            </w:pPr>
            <w:r>
              <w:rPr>
                <w:rFonts w:ascii="Calibri" w:hAnsi="Calibri"/>
                <w:b/>
                <w:i w:val="0"/>
                <w:color w:val="000000"/>
                <w:sz w:val="18"/>
              </w:rPr>
              <w:t>Class:</w:t>
            </w:r>
          </w:p>
        </w:tc>
        <w:tc>
          <w:tcPr>
            <w:tcW w:type="dxa" w:w="10080"/>
            <w:shd w:val="clear" w:color="auto" w:fill="FFFFFF"/>
          </w:tcPr>
          <w:p>
            <w:pPr>
              <w:spacing w:before="40" w:after="40"/>
              <w:jc w:val="left"/>
            </w:pPr>
          </w:p>
        </w:tc>
      </w:tr>
      <w:tr>
        <w:tc>
          <w:tcPr>
            <w:tcW w:type="dxa" w:w="3600"/>
            <w:shd w:val="clear" w:color="auto" w:fill="D5E8F0"/>
          </w:tcPr>
          <w:p>
            <w:pPr>
              <w:spacing w:before="40" w:after="40"/>
              <w:jc w:val="left"/>
            </w:pPr>
            <w:r>
              <w:rPr>
                <w:rFonts w:ascii="Calibri" w:hAnsi="Calibri"/>
                <w:b/>
                <w:i w:val="0"/>
                <w:color w:val="000000"/>
                <w:sz w:val="18"/>
              </w:rPr>
              <w:t>Date:</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Instructions</w:t>
            </w:r>
          </w:p>
        </w:tc>
      </w:tr>
      <w:tr>
        <w:tc>
          <w:tcPr>
            <w:tcW w:type="dxa" w:w="13680"/>
            <w:shd w:val="clear" w:color="auto" w:fill="FFFFFF"/>
          </w:tcPr>
          <w:p>
            <w:pPr>
              <w:spacing w:before="40" w:after="40"/>
              <w:jc w:val="left"/>
            </w:pPr>
            <w:r>
              <w:rPr>
                <w:rFonts w:ascii="Calibri" w:hAnsi="Calibri"/>
                <w:b w:val="0"/>
                <w:i w:val="0"/>
                <w:color w:val="000000"/>
                <w:sz w:val="18"/>
              </w:rPr>
              <w:t>This Final Explanation is your opportunity to demonstrate deep understanding of Sub-Strand 1.3: Quadratic Expressions and Equations. Driving Question: How can we use quadratic equations to model, solve, and make sense of real-life problems in our communities?</w:t>
              <w:br/>
              <w:br/>
              <w:t>Address all sections below using evidence from investigations, discussions, and models from across this unit. Use scientific vocabulary accurately. Include labeled diagrams where appropriate. Show all calculations.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Calibri" w:hAnsi="Calibri"/>
                <w:b/>
                <w:i w:val="0"/>
                <w:color w:val="FFFFFF"/>
                <w:sz w:val="20"/>
              </w:rPr>
              <w:t>Section 1: What is a Quadratic Expression and How Do We Form One?</w:t>
            </w:r>
          </w:p>
        </w:tc>
      </w:tr>
      <w:tr>
        <w:tc>
          <w:tcPr>
            <w:tcW w:type="dxa" w:w="13680"/>
            <w:shd w:val="clear" w:color="auto" w:fill="D5E8F0"/>
          </w:tcPr>
          <w:p>
            <w:pPr>
              <w:spacing w:before="40" w:after="40"/>
              <w:jc w:val="left"/>
            </w:pPr>
            <w:r>
              <w:rPr>
                <w:rFonts w:ascii="Calibri" w:hAnsi="Calibri"/>
                <w:b w:val="0"/>
                <w:i w:val="0"/>
                <w:color w:val="000000"/>
                <w:sz w:val="18"/>
              </w:rPr>
              <w:t>What is the standard form ax² + bx + c and what do a, b, c represent?</w:t>
              <w:br/>
              <w:t>Give three examples of quadratic expressions from real-life Kenyan contexts (e.g. shamba area, harambee contributions, matatu revenue).</w:t>
              <w:br/>
              <w:t>Explain how the harambee problem leads to a quadratic relationship.</w:t>
            </w:r>
          </w:p>
        </w:tc>
      </w:tr>
      <w:tr>
        <w:tc>
          <w:tcPr>
            <w:tcW w:type="dxa" w:w="13680"/>
            <w:shd w:val="clear" w:color="auto" w:fill="FFFFFF"/>
          </w:tcPr>
          <w:p>
            <w:pPr>
              <w:spacing w:before="40" w:after="1200"/>
            </w:pPr>
            <w:r>
              <w:rPr>
                <w:rFonts w:ascii="Calibri" w:hAnsi="Calibri"/>
                <w:b w:val="0"/>
                <w:i/>
                <w:color w:val="999999"/>
                <w:sz w:val="18"/>
              </w:rPr>
              <w:t>[Write your response here]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Calibri" w:hAnsi="Calibri"/>
                <w:b/>
                <w:i w:val="0"/>
                <w:color w:val="FFFFFF"/>
                <w:sz w:val="20"/>
              </w:rPr>
              <w:t>Section 2: What Are the Three Quadratic Identities and How Are They Derived from Area?</w:t>
            </w:r>
          </w:p>
        </w:tc>
      </w:tr>
      <w:tr>
        <w:tc>
          <w:tcPr>
            <w:tcW w:type="dxa" w:w="13680"/>
            <w:shd w:val="clear" w:color="auto" w:fill="D5E8F0"/>
          </w:tcPr>
          <w:p>
            <w:pPr>
              <w:spacing w:before="40" w:after="40"/>
              <w:jc w:val="left"/>
            </w:pPr>
            <w:r>
              <w:rPr>
                <w:rFonts w:ascii="Calibri" w:hAnsi="Calibri"/>
                <w:b w:val="0"/>
                <w:i w:val="0"/>
                <w:color w:val="000000"/>
                <w:sz w:val="18"/>
              </w:rPr>
              <w:t>State and prove all three identities using area diagrams:</w:t>
              <w:br/>
              <w:t xml:space="preserve">  (a + b)² = a² + 2ab + b²</w:t>
              <w:br/>
              <w:t xml:space="preserve">  (a - b)² = a² - 2ab + b²</w:t>
              <w:br/>
              <w:t xml:space="preserve">  (a + b)(a - b) = a² - b²</w:t>
              <w:br/>
              <w:t>Use a numerical example for each identity (e.g. calculate 103², 97², and 103 × 97).</w:t>
            </w:r>
          </w:p>
        </w:tc>
      </w:tr>
      <w:tr>
        <w:tc>
          <w:tcPr>
            <w:tcW w:type="dxa" w:w="13680"/>
            <w:shd w:val="clear" w:color="auto" w:fill="FFFFFF"/>
          </w:tcPr>
          <w:p>
            <w:pPr>
              <w:spacing w:before="40" w:after="1200"/>
            </w:pPr>
            <w:r>
              <w:rPr>
                <w:rFonts w:ascii="Calibri" w:hAnsi="Calibri"/>
                <w:b w:val="0"/>
                <w:i/>
                <w:color w:val="999999"/>
                <w:sz w:val="18"/>
              </w:rPr>
              <w:t>[Write your response here]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Calibri" w:hAnsi="Calibri"/>
                <w:b/>
                <w:i w:val="0"/>
                <w:color w:val="FFFFFF"/>
                <w:sz w:val="20"/>
              </w:rPr>
              <w:t>Section 3: How Do We Factorise Quadratic Expressions?</w:t>
            </w:r>
          </w:p>
        </w:tc>
      </w:tr>
      <w:tr>
        <w:tc>
          <w:tcPr>
            <w:tcW w:type="dxa" w:w="13680"/>
            <w:shd w:val="clear" w:color="auto" w:fill="D5E8F0"/>
          </w:tcPr>
          <w:p>
            <w:pPr>
              <w:spacing w:before="40" w:after="40"/>
              <w:jc w:val="left"/>
            </w:pPr>
            <w:r>
              <w:rPr>
                <w:rFonts w:ascii="Calibri" w:hAnsi="Calibri"/>
                <w:b w:val="0"/>
                <w:i w:val="0"/>
                <w:color w:val="000000"/>
                <w:sz w:val="18"/>
              </w:rPr>
              <w:t>Explain the method for factorising when a = 1 (find two numbers that multiply to c and add to b).</w:t>
              <w:br/>
              <w:t>Explain the splitting method for factorising when a ≠ 1.</w:t>
              <w:br/>
              <w:t>Apply both methods with worked examples.</w:t>
              <w:br/>
              <w:t>Identify and factorise perfect square trinomials and differences of two squares.</w:t>
            </w:r>
          </w:p>
        </w:tc>
      </w:tr>
      <w:tr>
        <w:tc>
          <w:tcPr>
            <w:tcW w:type="dxa" w:w="13680"/>
            <w:shd w:val="clear" w:color="auto" w:fill="FFFFFF"/>
          </w:tcPr>
          <w:p>
            <w:pPr>
              <w:spacing w:before="40" w:after="1200"/>
            </w:pPr>
            <w:r>
              <w:rPr>
                <w:rFonts w:ascii="Calibri" w:hAnsi="Calibri"/>
                <w:b w:val="0"/>
                <w:i/>
                <w:color w:val="999999"/>
                <w:sz w:val="18"/>
              </w:rPr>
              <w:t>[Write your response here]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Calibri" w:hAnsi="Calibri"/>
                <w:b/>
                <w:i w:val="0"/>
                <w:color w:val="FFFFFF"/>
                <w:sz w:val="20"/>
              </w:rPr>
              <w:t>Section 4: How Do We Form and Solve a Quadratic Equation?</w:t>
            </w:r>
          </w:p>
        </w:tc>
      </w:tr>
      <w:tr>
        <w:tc>
          <w:tcPr>
            <w:tcW w:type="dxa" w:w="13680"/>
            <w:shd w:val="clear" w:color="auto" w:fill="D5E8F0"/>
          </w:tcPr>
          <w:p>
            <w:pPr>
              <w:spacing w:before="40" w:after="40"/>
              <w:jc w:val="left"/>
            </w:pPr>
            <w:r>
              <w:rPr>
                <w:rFonts w:ascii="Calibri" w:hAnsi="Calibri"/>
                <w:b w:val="0"/>
                <w:i w:val="0"/>
                <w:color w:val="000000"/>
                <w:sz w:val="18"/>
              </w:rPr>
              <w:t>State the four steps to solve a quadratic equation by factorisation.</w:t>
              <w:br/>
              <w:t>Solve the harambee textbook fund problem completely, showing all steps:</w:t>
              <w:br/>
              <w:t xml:space="preserve">  — define variable, form equation, simplify to standard form, factorise, apply zero product property, interpret, verify.</w:t>
              <w:br/>
              <w:t>Explain why one solution is rejected and what the answer means in context.</w:t>
            </w:r>
          </w:p>
        </w:tc>
      </w:tr>
      <w:tr>
        <w:tc>
          <w:tcPr>
            <w:tcW w:type="dxa" w:w="13680"/>
            <w:shd w:val="clear" w:color="auto" w:fill="FFFFFF"/>
          </w:tcPr>
          <w:p>
            <w:pPr>
              <w:spacing w:before="40" w:after="1200"/>
            </w:pPr>
            <w:r>
              <w:rPr>
                <w:rFonts w:ascii="Calibri" w:hAnsi="Calibri"/>
                <w:b w:val="0"/>
                <w:i/>
                <w:color w:val="999999"/>
                <w:sz w:val="18"/>
              </w:rPr>
              <w:t>[Write your response here]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Calibri" w:hAnsi="Calibri"/>
                <w:b/>
                <w:i w:val="0"/>
                <w:color w:val="FFFFFF"/>
                <w:sz w:val="20"/>
              </w:rPr>
              <w:t>Section 5: How Do Quadratic Equations Help Us Solve Real-Life Problems?</w:t>
            </w:r>
          </w:p>
        </w:tc>
      </w:tr>
      <w:tr>
        <w:tc>
          <w:tcPr>
            <w:tcW w:type="dxa" w:w="13680"/>
            <w:shd w:val="clear" w:color="auto" w:fill="D5E8F0"/>
          </w:tcPr>
          <w:p>
            <w:pPr>
              <w:spacing w:before="40" w:after="40"/>
              <w:jc w:val="left"/>
            </w:pPr>
            <w:r>
              <w:rPr>
                <w:rFonts w:ascii="Calibri" w:hAnsi="Calibri"/>
                <w:b w:val="0"/>
                <w:i w:val="0"/>
                <w:color w:val="000000"/>
                <w:sz w:val="18"/>
              </w:rPr>
              <w:t>Solve at least two of the following problems, showing all working:</w:t>
              <w:br/>
              <w:t xml:space="preserve">  — Shamba area problem (farmer with 100m fencing)</w:t>
              <w:br/>
              <w:t xml:space="preserve">  — Classroom foundation dimensions</w:t>
              <w:br/>
              <w:t xml:space="preserve">  — Matatu fare optimization</w:t>
              <w:br/>
              <w:t xml:space="preserve">  — Pythagorean theorem application</w:t>
              <w:br/>
              <w:t>For each: define variable, form equation, solve, interpret solution, verify answer.</w:t>
            </w:r>
          </w:p>
        </w:tc>
      </w:tr>
      <w:tr>
        <w:tc>
          <w:tcPr>
            <w:tcW w:type="dxa" w:w="13680"/>
            <w:shd w:val="clear" w:color="auto" w:fill="FFFFFF"/>
          </w:tcPr>
          <w:p>
            <w:pPr>
              <w:spacing w:before="40" w:after="1200"/>
            </w:pPr>
            <w:r>
              <w:rPr>
                <w:rFonts w:ascii="Calibri" w:hAnsi="Calibri"/>
                <w:b w:val="0"/>
                <w:i/>
                <w:color w:val="999999"/>
                <w:sz w:val="18"/>
              </w:rPr>
              <w:t>[Write your response here]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Calibri" w:hAnsi="Calibri"/>
                <w:b/>
                <w:i w:val="0"/>
                <w:color w:val="FFFFFF"/>
                <w:sz w:val="22"/>
              </w:rPr>
              <w:t>Assessment Rubric</w:t>
            </w:r>
          </w:p>
        </w:tc>
      </w:tr>
      <w:tr>
        <w:tc>
          <w:tcPr>
            <w:tcW w:type="dxa" w:w="2880"/>
          </w:tcPr>
          <w:p/>
        </w:tc>
        <w:tc>
          <w:tcPr>
            <w:tcW w:type="dxa" w:w="2700"/>
          </w:tcPr>
          <w:p/>
        </w:tc>
        <w:tc>
          <w:tcPr>
            <w:tcW w:type="dxa" w:w="2700"/>
          </w:tcPr>
          <w:p/>
        </w:tc>
        <w:tc>
          <w:tcPr>
            <w:tcW w:type="dxa" w:w="2700"/>
          </w:tcPr>
          <w:p/>
        </w:tc>
        <w:tc>
          <w:tcPr>
            <w:tcW w:type="dxa" w:w="2700"/>
          </w:tcPr>
          <w:p/>
        </w:tc>
      </w:tr>
      <w:tr>
        <w:tc>
          <w:tcPr>
            <w:tcW w:type="dxa" w:w="2880"/>
          </w:tcPr>
          <w:p/>
        </w:tc>
        <w:tc>
          <w:tcPr>
            <w:tcW w:type="dxa" w:w="2700"/>
          </w:tcPr>
          <w:p/>
        </w:tc>
        <w:tc>
          <w:tcPr>
            <w:tcW w:type="dxa" w:w="2700"/>
          </w:tcPr>
          <w:p/>
        </w:tc>
        <w:tc>
          <w:tcPr>
            <w:tcW w:type="dxa" w:w="2700"/>
          </w:tcPr>
          <w:p/>
        </w:tc>
        <w:tc>
          <w:tcPr>
            <w:tcW w:type="dxa" w:w="2700"/>
          </w:tcPr>
          <w:p/>
        </w:tc>
      </w:tr>
      <w:tr>
        <w:tc>
          <w:tcPr>
            <w:tcW w:type="dxa" w:w="2880"/>
          </w:tcPr>
          <w:p/>
        </w:tc>
        <w:tc>
          <w:tcPr>
            <w:tcW w:type="dxa" w:w="2700"/>
          </w:tcPr>
          <w:p/>
        </w:tc>
        <w:tc>
          <w:tcPr>
            <w:tcW w:type="dxa" w:w="2700"/>
          </w:tcPr>
          <w:p/>
        </w:tc>
        <w:tc>
          <w:tcPr>
            <w:tcW w:type="dxa" w:w="2700"/>
          </w:tcPr>
          <w:p/>
        </w:tc>
        <w:tc>
          <w:tcPr>
            <w:tcW w:type="dxa" w:w="2700"/>
          </w:tcPr>
          <w:p/>
        </w:tc>
      </w:tr>
      <w:tr>
        <w:tc>
          <w:tcPr>
            <w:tcW w:type="dxa" w:w="2880"/>
          </w:tcPr>
          <w:p/>
        </w:tc>
        <w:tc>
          <w:tcPr>
            <w:tcW w:type="dxa" w:w="2700"/>
          </w:tcPr>
          <w:p/>
        </w:tc>
        <w:tc>
          <w:tcPr>
            <w:tcW w:type="dxa" w:w="2700"/>
          </w:tcPr>
          <w:p/>
        </w:tc>
        <w:tc>
          <w:tcPr>
            <w:tcW w:type="dxa" w:w="2700"/>
          </w:tcPr>
          <w:p/>
        </w:tc>
        <w:tc>
          <w:tcPr>
            <w:tcW w:type="dxa" w:w="2700"/>
          </w:tcP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Calibri" w:hAnsi="Calibri"/>
                <w:b/>
                <w:i w:val="0"/>
                <w:color w:val="FFFFFF"/>
                <w:sz w:val="22"/>
              </w:rPr>
              <w:t>Assessment Rubric</w:t>
            </w:r>
          </w:p>
        </w:tc>
      </w:tr>
      <w:tr>
        <w:tc>
          <w:tcPr>
            <w:tcW w:type="dxa" w:w="2880"/>
            <w:shd w:val="clear" w:color="auto" w:fill="2E75B6"/>
          </w:tcPr>
          <w:p>
            <w:pPr>
              <w:spacing w:before="40" w:after="40"/>
              <w:jc w:val="center"/>
            </w:pPr>
            <w:r>
              <w:rPr>
                <w:rFonts w:ascii="Calibri" w:hAnsi="Calibri"/>
                <w:b/>
                <w:i w:val="0"/>
                <w:color w:val="FFFFFF"/>
                <w:sz w:val="18"/>
              </w:rPr>
              <w:t>Criterion</w:t>
            </w:r>
          </w:p>
        </w:tc>
        <w:tc>
          <w:tcPr>
            <w:tcW w:type="dxa" w:w="2700"/>
            <w:shd w:val="clear" w:color="auto" w:fill="1F6B75"/>
          </w:tcPr>
          <w:p>
            <w:pPr>
              <w:spacing w:before="40" w:after="40"/>
              <w:jc w:val="center"/>
            </w:pPr>
            <w:r>
              <w:rPr>
                <w:rFonts w:ascii="Calibri" w:hAnsi="Calibri"/>
                <w:b/>
                <w:i w:val="0"/>
                <w:color w:val="FFFFFF"/>
                <w:sz w:val="18"/>
              </w:rPr>
              <w:t>Below Expectation</w:t>
            </w:r>
          </w:p>
        </w:tc>
        <w:tc>
          <w:tcPr>
            <w:tcW w:type="dxa" w:w="2700"/>
            <w:shd w:val="clear" w:color="auto" w:fill="2E75B6"/>
          </w:tcPr>
          <w:p>
            <w:pPr>
              <w:spacing w:before="40" w:after="40"/>
              <w:jc w:val="center"/>
            </w:pPr>
            <w:r>
              <w:rPr>
                <w:rFonts w:ascii="Calibri" w:hAnsi="Calibri"/>
                <w:b/>
                <w:i w:val="0"/>
                <w:color w:val="FFFFFF"/>
                <w:sz w:val="18"/>
              </w:rPr>
              <w:t>Approaches Expectation</w:t>
            </w:r>
          </w:p>
        </w:tc>
        <w:tc>
          <w:tcPr>
            <w:tcW w:type="dxa" w:w="2700"/>
            <w:shd w:val="clear" w:color="auto" w:fill="1F6B75"/>
          </w:tcPr>
          <w:p>
            <w:pPr>
              <w:spacing w:before="40" w:after="40"/>
              <w:jc w:val="center"/>
            </w:pPr>
            <w:r>
              <w:rPr>
                <w:rFonts w:ascii="Calibri" w:hAnsi="Calibri"/>
                <w:b/>
                <w:i w:val="0"/>
                <w:color w:val="FFFFFF"/>
                <w:sz w:val="18"/>
              </w:rPr>
              <w:t>Meets Expectation</w:t>
            </w:r>
          </w:p>
        </w:tc>
        <w:tc>
          <w:tcPr>
            <w:tcW w:type="dxa" w:w="2700"/>
            <w:shd w:val="clear" w:color="auto" w:fill="2E75B6"/>
          </w:tcPr>
          <w:p>
            <w:pPr>
              <w:spacing w:before="40" w:after="40"/>
              <w:jc w:val="center"/>
            </w:pPr>
            <w:r>
              <w:rPr>
                <w:rFonts w:ascii="Calibri" w:hAnsi="Calibri"/>
                <w:b/>
                <w:i w:val="0"/>
                <w:color w:val="FFFFFF"/>
                <w:sz w:val="18"/>
              </w:rPr>
              <w:t>Exceeds Expectation</w:t>
            </w:r>
          </w:p>
        </w:tc>
      </w:tr>
      <w:tr>
        <w:tc>
          <w:tcPr>
            <w:tcW w:type="dxa" w:w="2880"/>
            <w:shd w:val="clear" w:color="auto" w:fill="D5E8F0"/>
          </w:tcPr>
          <w:p>
            <w:pPr>
              <w:spacing w:before="40" w:after="40"/>
              <w:jc w:val="left"/>
            </w:pPr>
            <w:r>
              <w:rPr>
                <w:rFonts w:ascii="Calibri" w:hAnsi="Calibri"/>
                <w:b/>
                <w:i w:val="0"/>
                <w:color w:val="000000"/>
                <w:sz w:val="18"/>
              </w:rPr>
              <w:t>1. Understanding Quadratic Concepts</w:t>
            </w:r>
          </w:p>
        </w:tc>
        <w:tc>
          <w:tcPr>
            <w:tcW w:type="dxa" w:w="2700"/>
            <w:shd w:val="clear" w:color="auto" w:fill="FFFFFF"/>
          </w:tcPr>
          <w:p>
            <w:pPr>
              <w:spacing w:before="40" w:after="40"/>
              <w:jc w:val="left"/>
            </w:pPr>
            <w:r>
              <w:rPr>
                <w:rFonts w:ascii="Calibri" w:hAnsi="Calibri"/>
                <w:b w:val="0"/>
                <w:i w:val="0"/>
                <w:color w:val="000000"/>
                <w:sz w:val="18"/>
              </w:rPr>
              <w:t>Cannot identify quadratic expressions; explanations unclear or with major misconceptions</w:t>
            </w:r>
          </w:p>
        </w:tc>
        <w:tc>
          <w:tcPr>
            <w:tcW w:type="dxa" w:w="2700"/>
            <w:shd w:val="clear" w:color="auto" w:fill="F2F2F2"/>
          </w:tcPr>
          <w:p>
            <w:pPr>
              <w:spacing w:before="40" w:after="40"/>
              <w:jc w:val="left"/>
            </w:pPr>
            <w:r>
              <w:rPr>
                <w:rFonts w:ascii="Calibri" w:hAnsi="Calibri"/>
                <w:b w:val="0"/>
                <w:i w:val="0"/>
                <w:color w:val="000000"/>
                <w:sz w:val="18"/>
              </w:rPr>
              <w:t>Identifies quadratics; states identities but struggles to explain derivations</w:t>
            </w:r>
          </w:p>
        </w:tc>
        <w:tc>
          <w:tcPr>
            <w:tcW w:type="dxa" w:w="2700"/>
            <w:shd w:val="clear" w:color="auto" w:fill="FFFFFF"/>
          </w:tcPr>
          <w:p>
            <w:pPr>
              <w:spacing w:before="40" w:after="40"/>
              <w:jc w:val="left"/>
            </w:pPr>
            <w:r>
              <w:rPr>
                <w:rFonts w:ascii="Calibri" w:hAnsi="Calibri"/>
                <w:b w:val="0"/>
                <w:i w:val="0"/>
                <w:color w:val="000000"/>
                <w:sz w:val="18"/>
              </w:rPr>
              <w:t>Solid understanding; explains standard form, derives identities from area, describes zero product property</w:t>
            </w:r>
          </w:p>
        </w:tc>
        <w:tc>
          <w:tcPr>
            <w:tcW w:type="dxa" w:w="2700"/>
            <w:shd w:val="clear" w:color="auto" w:fill="F2F2F2"/>
          </w:tcPr>
          <w:p>
            <w:pPr>
              <w:spacing w:before="40" w:after="40"/>
              <w:jc w:val="left"/>
            </w:pPr>
            <w:r>
              <w:rPr>
                <w:rFonts w:ascii="Calibri" w:hAnsi="Calibri"/>
                <w:b w:val="0"/>
                <w:i w:val="0"/>
                <w:color w:val="000000"/>
                <w:sz w:val="18"/>
              </w:rPr>
              <w:t>Deep understanding; uses multiple representations; makes connections across concepts</w:t>
            </w:r>
          </w:p>
        </w:tc>
      </w:tr>
      <w:tr>
        <w:tc>
          <w:tcPr>
            <w:tcW w:type="dxa" w:w="2880"/>
            <w:shd w:val="clear" w:color="auto" w:fill="D5E8F0"/>
          </w:tcPr>
          <w:p>
            <w:pPr>
              <w:spacing w:before="40" w:after="40"/>
              <w:jc w:val="left"/>
            </w:pPr>
            <w:r>
              <w:rPr>
                <w:rFonts w:ascii="Calibri" w:hAnsi="Calibri"/>
                <w:b/>
                <w:i w:val="0"/>
                <w:color w:val="000000"/>
                <w:sz w:val="18"/>
              </w:rPr>
              <w:t>2. Factorisation Skills</w:t>
            </w:r>
          </w:p>
        </w:tc>
        <w:tc>
          <w:tcPr>
            <w:tcW w:type="dxa" w:w="2700"/>
            <w:shd w:val="clear" w:color="auto" w:fill="FFFFFF"/>
          </w:tcPr>
          <w:p>
            <w:pPr>
              <w:spacing w:before="40" w:after="40"/>
              <w:jc w:val="left"/>
            </w:pPr>
            <w:r>
              <w:rPr>
                <w:rFonts w:ascii="Calibri" w:hAnsi="Calibri"/>
                <w:b w:val="0"/>
                <w:i w:val="0"/>
                <w:color w:val="000000"/>
                <w:sz w:val="18"/>
              </w:rPr>
              <w:t>Cannot reliably factorise; attempts lack clear method; frequent errors</w:t>
            </w:r>
          </w:p>
        </w:tc>
        <w:tc>
          <w:tcPr>
            <w:tcW w:type="dxa" w:w="2700"/>
            <w:shd w:val="clear" w:color="auto" w:fill="F2F2F2"/>
          </w:tcPr>
          <w:p>
            <w:pPr>
              <w:spacing w:before="40" w:after="40"/>
              <w:jc w:val="left"/>
            </w:pPr>
            <w:r>
              <w:rPr>
                <w:rFonts w:ascii="Calibri" w:hAnsi="Calibri"/>
                <w:b w:val="0"/>
                <w:i w:val="0"/>
                <w:color w:val="000000"/>
                <w:sz w:val="18"/>
              </w:rPr>
              <w:t>Factorises simple (a=1) cases with some success; struggles with a≠1</w:t>
            </w:r>
          </w:p>
        </w:tc>
        <w:tc>
          <w:tcPr>
            <w:tcW w:type="dxa" w:w="2700"/>
            <w:shd w:val="clear" w:color="auto" w:fill="FFFFFF"/>
          </w:tcPr>
          <w:p>
            <w:pPr>
              <w:spacing w:before="40" w:after="40"/>
              <w:jc w:val="left"/>
            </w:pPr>
            <w:r>
              <w:rPr>
                <w:rFonts w:ascii="Calibri" w:hAnsi="Calibri"/>
                <w:b w:val="0"/>
                <w:i w:val="0"/>
                <w:color w:val="000000"/>
                <w:sz w:val="18"/>
              </w:rPr>
              <w:t>Factorises most expressions correctly; handles a=1 and a≠1; recognizes some special cases</w:t>
            </w:r>
          </w:p>
        </w:tc>
        <w:tc>
          <w:tcPr>
            <w:tcW w:type="dxa" w:w="2700"/>
            <w:shd w:val="clear" w:color="auto" w:fill="F2F2F2"/>
          </w:tcPr>
          <w:p>
            <w:pPr>
              <w:spacing w:before="40" w:after="40"/>
              <w:jc w:val="left"/>
            </w:pPr>
            <w:r>
              <w:rPr>
                <w:rFonts w:ascii="Calibri" w:hAnsi="Calibri"/>
                <w:b w:val="0"/>
                <w:i w:val="0"/>
                <w:color w:val="000000"/>
                <w:sz w:val="18"/>
              </w:rPr>
              <w:t>Factorises all types accurately and efficiently; explains strategy; recognizes patterns; checks by expanding</w:t>
            </w:r>
          </w:p>
        </w:tc>
      </w:tr>
      <w:tr>
        <w:tc>
          <w:tcPr>
            <w:tcW w:type="dxa" w:w="2880"/>
            <w:shd w:val="clear" w:color="auto" w:fill="D5E8F0"/>
          </w:tcPr>
          <w:p>
            <w:pPr>
              <w:spacing w:before="40" w:after="40"/>
              <w:jc w:val="left"/>
            </w:pPr>
            <w:r>
              <w:rPr>
                <w:rFonts w:ascii="Calibri" w:hAnsi="Calibri"/>
                <w:b/>
                <w:i w:val="0"/>
                <w:color w:val="000000"/>
                <w:sz w:val="18"/>
              </w:rPr>
              <w:t>3. Problem-Solving and Equation Solving</w:t>
            </w:r>
          </w:p>
        </w:tc>
        <w:tc>
          <w:tcPr>
            <w:tcW w:type="dxa" w:w="2700"/>
            <w:shd w:val="clear" w:color="auto" w:fill="FFFFFF"/>
          </w:tcPr>
          <w:p>
            <w:pPr>
              <w:spacing w:before="40" w:after="40"/>
              <w:jc w:val="left"/>
            </w:pPr>
            <w:r>
              <w:rPr>
                <w:rFonts w:ascii="Calibri" w:hAnsi="Calibri"/>
                <w:b w:val="0"/>
                <w:i w:val="0"/>
                <w:color w:val="000000"/>
                <w:sz w:val="18"/>
              </w:rPr>
              <w:t>Cannot set up equations from word problems; misapplies zero product property</w:t>
            </w:r>
          </w:p>
        </w:tc>
        <w:tc>
          <w:tcPr>
            <w:tcW w:type="dxa" w:w="2700"/>
            <w:shd w:val="clear" w:color="auto" w:fill="F2F2F2"/>
          </w:tcPr>
          <w:p>
            <w:pPr>
              <w:spacing w:before="40" w:after="40"/>
              <w:jc w:val="left"/>
            </w:pPr>
            <w:r>
              <w:rPr>
                <w:rFonts w:ascii="Calibri" w:hAnsi="Calibri"/>
                <w:b w:val="0"/>
                <w:i w:val="0"/>
                <w:color w:val="000000"/>
                <w:sz w:val="18"/>
              </w:rPr>
              <w:t>Solves simple equations with guidance; struggles to set up from word problems</w:t>
            </w:r>
          </w:p>
        </w:tc>
        <w:tc>
          <w:tcPr>
            <w:tcW w:type="dxa" w:w="2700"/>
            <w:shd w:val="clear" w:color="auto" w:fill="FFFFFF"/>
          </w:tcPr>
          <w:p>
            <w:pPr>
              <w:spacing w:before="40" w:after="40"/>
              <w:jc w:val="left"/>
            </w:pPr>
            <w:r>
              <w:rPr>
                <w:rFonts w:ascii="Calibri" w:hAnsi="Calibri"/>
                <w:b w:val="0"/>
                <w:i w:val="0"/>
                <w:color w:val="000000"/>
                <w:sz w:val="18"/>
              </w:rPr>
              <w:t>Solves equations correctly; defines variables; interprets solutions; shows steps</w:t>
            </w:r>
          </w:p>
        </w:tc>
        <w:tc>
          <w:tcPr>
            <w:tcW w:type="dxa" w:w="2700"/>
            <w:shd w:val="clear" w:color="auto" w:fill="F2F2F2"/>
          </w:tcPr>
          <w:p>
            <w:pPr>
              <w:spacing w:before="40" w:after="40"/>
              <w:jc w:val="left"/>
            </w:pPr>
            <w:r>
              <w:rPr>
                <w:rFonts w:ascii="Calibri" w:hAnsi="Calibri"/>
                <w:b w:val="0"/>
                <w:i w:val="0"/>
                <w:color w:val="000000"/>
                <w:sz w:val="18"/>
              </w:rPr>
              <w:t>Excellent equation solving with clear variable definition, all steps shown, context interpretation, and verification</w:t>
            </w:r>
          </w:p>
        </w:tc>
      </w:tr>
      <w:tr>
        <w:tc>
          <w:tcPr>
            <w:tcW w:type="dxa" w:w="2880"/>
            <w:shd w:val="clear" w:color="auto" w:fill="D5E8F0"/>
          </w:tcPr>
          <w:p>
            <w:pPr>
              <w:spacing w:before="40" w:after="40"/>
              <w:jc w:val="left"/>
            </w:pPr>
            <w:r>
              <w:rPr>
                <w:rFonts w:ascii="Calibri" w:hAnsi="Calibri"/>
                <w:b/>
                <w:i w:val="0"/>
                <w:color w:val="000000"/>
                <w:sz w:val="18"/>
              </w:rPr>
              <w:t>4. Real-World Application and Communication</w:t>
            </w:r>
          </w:p>
        </w:tc>
        <w:tc>
          <w:tcPr>
            <w:tcW w:type="dxa" w:w="2700"/>
            <w:shd w:val="clear" w:color="auto" w:fill="FFFFFF"/>
          </w:tcPr>
          <w:p>
            <w:pPr>
              <w:spacing w:before="40" w:after="40"/>
              <w:jc w:val="left"/>
            </w:pPr>
            <w:r>
              <w:rPr>
                <w:rFonts w:ascii="Calibri" w:hAnsi="Calibri"/>
                <w:b w:val="0"/>
                <w:i w:val="0"/>
                <w:color w:val="000000"/>
                <w:sz w:val="18"/>
              </w:rPr>
              <w:t>Does not connect maths to real-world contexts; communication unclear; no units</w:t>
            </w:r>
          </w:p>
        </w:tc>
        <w:tc>
          <w:tcPr>
            <w:tcW w:type="dxa" w:w="2700"/>
            <w:shd w:val="clear" w:color="auto" w:fill="F2F2F2"/>
          </w:tcPr>
          <w:p>
            <w:pPr>
              <w:spacing w:before="40" w:after="40"/>
              <w:jc w:val="left"/>
            </w:pPr>
            <w:r>
              <w:rPr>
                <w:rFonts w:ascii="Calibri" w:hAnsi="Calibri"/>
                <w:b w:val="0"/>
                <w:i w:val="0"/>
                <w:color w:val="000000"/>
                <w:sz w:val="18"/>
              </w:rPr>
              <w:t>Some connections but superficial; communication unclear in places; inconsistent notation</w:t>
            </w:r>
          </w:p>
        </w:tc>
        <w:tc>
          <w:tcPr>
            <w:tcW w:type="dxa" w:w="2700"/>
            <w:shd w:val="clear" w:color="auto" w:fill="FFFFFF"/>
          </w:tcPr>
          <w:p>
            <w:pPr>
              <w:spacing w:before="40" w:after="40"/>
              <w:jc w:val="left"/>
            </w:pPr>
            <w:r>
              <w:rPr>
                <w:rFonts w:ascii="Calibri" w:hAnsi="Calibri"/>
                <w:b w:val="0"/>
                <w:i w:val="0"/>
                <w:color w:val="000000"/>
                <w:sz w:val="18"/>
              </w:rPr>
              <w:t>Connects equations to real-world contexts; communicates clearly; uses correct notation and units</w:t>
            </w:r>
          </w:p>
        </w:tc>
        <w:tc>
          <w:tcPr>
            <w:tcW w:type="dxa" w:w="2700"/>
            <w:shd w:val="clear" w:color="auto" w:fill="F2F2F2"/>
          </w:tcPr>
          <w:p>
            <w:pPr>
              <w:spacing w:before="40" w:after="40"/>
              <w:jc w:val="left"/>
            </w:pPr>
            <w:r>
              <w:rPr>
                <w:rFonts w:ascii="Calibri" w:hAnsi="Calibri"/>
                <w:b w:val="0"/>
                <w:i w:val="0"/>
                <w:color w:val="000000"/>
                <w:sz w:val="18"/>
              </w:rPr>
              <w:t>Strong connections with reflection on meaning; polished communication; organized presentation</w:t>
            </w:r>
          </w:p>
        </w:tc>
      </w:tr>
    </w:tbl>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