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i w:val="0"/>
          <w:color w:val="1F3864"/>
          <w:sz w:val="28"/>
        </w:rPr>
        <w:t>Physics | Grade 10 | Sub-Strand 1.4: Temperature and Thermal Expansion</w:t>
      </w:r>
    </w:p>
    <w:p>
      <w:pPr>
        <w:spacing w:before="0" w:after="120"/>
        <w:jc w:val="left"/>
      </w:pPr>
      <w:r>
        <w:rPr>
          <w:rFonts w:ascii="Calibri" w:hAnsi="Calibri"/>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1F3864"/>
          </w:tcPr>
          <w:p>
            <w:pPr>
              <w:spacing w:before="40" w:after="40"/>
              <w:jc w:val="left"/>
            </w:pPr>
            <w:r>
              <w:rPr>
                <w:rFonts w:ascii="Calibri" w:hAnsi="Calibri"/>
                <w:b/>
                <w:i w:val="0"/>
                <w:color w:val="FFFFFF"/>
                <w:sz w:val="22"/>
              </w:rPr>
              <w:t>Physics | Grade 10 | Sub-Strand 1.4: Temperature and Thermal Expansion</w:t>
            </w:r>
          </w:p>
        </w:tc>
      </w:tr>
      <w:tr>
        <w:tc>
          <w:tcPr>
            <w:tcW w:type="dxa" w:w="13680"/>
            <w:gridSpan w:val="2"/>
            <w:shd w:val="clear" w:color="auto" w:fill="1F6B75"/>
          </w:tcPr>
          <w:p>
            <w:pPr>
              <w:spacing w:before="40" w:after="40"/>
              <w:jc w:val="left"/>
            </w:pPr>
            <w:r>
              <w:rPr>
                <w:rFonts w:ascii="Calibri" w:hAnsi="Calibri"/>
                <w:b/>
                <w:i w:val="0"/>
                <w:color w:val="FFFFFF"/>
                <w:sz w:val="20"/>
              </w:rPr>
              <w:t>Final Explanation Document</w:t>
            </w:r>
          </w:p>
        </w:tc>
      </w:tr>
      <w:tr>
        <w:tc>
          <w:tcPr>
            <w:tcW w:type="dxa" w:w="3600"/>
            <w:shd w:val="clear" w:color="auto" w:fill="D5E8F0"/>
          </w:tcPr>
          <w:p>
            <w:pPr>
              <w:spacing w:before="40" w:after="40"/>
              <w:jc w:val="left"/>
            </w:pPr>
            <w:r>
              <w:rPr>
                <w:rFonts w:ascii="Calibri" w:hAnsi="Calibri"/>
                <w:b/>
                <w:i w:val="0"/>
                <w:color w:val="000000"/>
                <w:sz w:val="18"/>
              </w:rPr>
              <w:t>Student Name:</w:t>
            </w:r>
          </w:p>
        </w:tc>
        <w:tc>
          <w:tcPr>
            <w:tcW w:type="dxa" w:w="10080"/>
            <w:shd w:val="clear" w:color="auto" w:fill="FFFFFF"/>
          </w:tcPr>
          <w:p>
            <w:pPr>
              <w:spacing w:before="40" w:after="40"/>
              <w:jc w:val="left"/>
            </w:pPr>
          </w:p>
        </w:tc>
      </w:tr>
      <w:tr>
        <w:tc>
          <w:tcPr>
            <w:tcW w:type="dxa" w:w="3600"/>
            <w:shd w:val="clear" w:color="auto" w:fill="D5E8F0"/>
          </w:tcPr>
          <w:p>
            <w:pPr>
              <w:spacing w:before="40" w:after="40"/>
              <w:jc w:val="left"/>
            </w:pPr>
            <w:r>
              <w:rPr>
                <w:rFonts w:ascii="Calibri" w:hAnsi="Calibri"/>
                <w:b/>
                <w:i w:val="0"/>
                <w:color w:val="000000"/>
                <w:sz w:val="18"/>
              </w:rPr>
              <w:t>Class:</w:t>
            </w:r>
          </w:p>
        </w:tc>
        <w:tc>
          <w:tcPr>
            <w:tcW w:type="dxa" w:w="10080"/>
            <w:shd w:val="clear" w:color="auto" w:fill="FFFFFF"/>
          </w:tcPr>
          <w:p>
            <w:pPr>
              <w:spacing w:before="40" w:after="40"/>
              <w:jc w:val="left"/>
            </w:pPr>
          </w:p>
        </w:tc>
      </w:tr>
      <w:tr>
        <w:tc>
          <w:tcPr>
            <w:tcW w:type="dxa" w:w="3600"/>
            <w:shd w:val="clear" w:color="auto" w:fill="D5E8F0"/>
          </w:tcPr>
          <w:p>
            <w:pPr>
              <w:spacing w:before="40" w:after="40"/>
              <w:jc w:val="left"/>
            </w:pPr>
            <w:r>
              <w:rPr>
                <w:rFonts w:ascii="Calibri" w:hAnsi="Calibri"/>
                <w:b/>
                <w:i w:val="0"/>
                <w:color w:val="000000"/>
                <w:sz w:val="18"/>
              </w:rPr>
              <w:t>Date:</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Instructions</w:t>
            </w:r>
          </w:p>
        </w:tc>
      </w:tr>
      <w:tr>
        <w:tc>
          <w:tcPr>
            <w:tcW w:type="dxa" w:w="13680"/>
            <w:shd w:val="clear" w:color="auto" w:fill="FFFFFF"/>
          </w:tcPr>
          <w:p>
            <w:pPr>
              <w:spacing w:before="40" w:after="40"/>
              <w:jc w:val="left"/>
            </w:pPr>
            <w:r>
              <w:rPr>
                <w:rFonts w:ascii="Calibri" w:hAnsi="Calibri"/>
                <w:b w:val="0"/>
                <w:i w:val="0"/>
                <w:color w:val="000000"/>
                <w:sz w:val="18"/>
              </w:rPr>
              <w:t>This Final Explanation is your opportunity to demonstrate deep understanding of Sub-Strand 1.4: Temperature and Thermal Expansion. Driving Question: Why do materials change size when temperature changes — and how do engineers use this to keep us safe?</w:t>
              <w:br/>
              <w:br/>
              <w:t>Address all sections below using evidence from investigations, discussions, and models from across this unit. Use scientific vocabulary accurately. Include labeled diagrams where appropriate. Show all calculations.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1: What is Temperature and How is it Measured?</w:t>
            </w:r>
          </w:p>
        </w:tc>
      </w:tr>
      <w:tr>
        <w:tc>
          <w:tcPr>
            <w:tcW w:type="dxa" w:w="13680"/>
            <w:shd w:val="clear" w:color="auto" w:fill="D5E8F0"/>
          </w:tcPr>
          <w:p>
            <w:pPr>
              <w:spacing w:before="40" w:after="40"/>
              <w:jc w:val="left"/>
            </w:pPr>
            <w:r>
              <w:rPr>
                <w:rFonts w:ascii="Calibri" w:hAnsi="Calibri"/>
                <w:b w:val="0"/>
                <w:i w:val="0"/>
                <w:color w:val="000000"/>
                <w:sz w:val="18"/>
              </w:rPr>
              <w:t>What is temperature at the particle level (how does it relate to kinetic energy)?</w:t>
              <w:br/>
              <w:t>What are the Celsius and Kelvin scales and how do we convert between them (K = °C + 273)?</w:t>
              <w:br/>
              <w:t>What types of thermometers exist and how does each one work?</w:t>
              <w:br/>
              <w:t>Which thermometer would be best for measuring the hot water used on the sufuria lid? Why?</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2: What Happens to Particles When Temperature Changes?</w:t>
            </w:r>
          </w:p>
        </w:tc>
      </w:tr>
      <w:tr>
        <w:tc>
          <w:tcPr>
            <w:tcW w:type="dxa" w:w="13680"/>
            <w:shd w:val="clear" w:color="auto" w:fill="D5E8F0"/>
          </w:tcPr>
          <w:p>
            <w:pPr>
              <w:spacing w:before="40" w:after="40"/>
              <w:jc w:val="left"/>
            </w:pPr>
            <w:r>
              <w:rPr>
                <w:rFonts w:ascii="Calibri" w:hAnsi="Calibri"/>
                <w:b w:val="0"/>
                <w:i w:val="0"/>
                <w:color w:val="000000"/>
                <w:sz w:val="18"/>
              </w:rPr>
              <w:t>How do particles behave differently in solids, liquids, and gases?</w:t>
              <w:br/>
              <w:t>What happens to particle motion when temperature increases?</w:t>
              <w:br/>
              <w:t>How does increased particle motion lead to expansion?</w:t>
              <w:br/>
              <w:t>Do all states of matter expand equally? Why or why not?</w:t>
              <w:br/>
              <w:t>Connect to phenomenon: What is happening to the particles in the metal lid and glass bottle?</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3: How Do We Calculate Thermal Expansion?</w:t>
            </w:r>
          </w:p>
        </w:tc>
      </w:tr>
      <w:tr>
        <w:tc>
          <w:tcPr>
            <w:tcW w:type="dxa" w:w="13680"/>
            <w:shd w:val="clear" w:color="auto" w:fill="D5E8F0"/>
          </w:tcPr>
          <w:p>
            <w:pPr>
              <w:spacing w:before="40" w:after="40"/>
              <w:jc w:val="left"/>
            </w:pPr>
            <w:r>
              <w:rPr>
                <w:rFonts w:ascii="Calibri" w:hAnsi="Calibri"/>
                <w:b w:val="0"/>
                <w:i w:val="0"/>
                <w:color w:val="000000"/>
                <w:sz w:val="18"/>
              </w:rPr>
              <w:t>What is linear expansivity (α) and what are its units?</w:t>
              <w:br/>
              <w:t>Apply the formula ΔL = α × L₀ × ΔT with a fully worked example (show all 5 steps: identify given values, identify unknown, write formula, substitute with units, calculate).</w:t>
              <w:br/>
              <w:t>Choose ONE: (A) A 50 m steel railway rail at 20°C rises to 45°C (α = 12 × 10⁻⁶ °C⁻¹). OR (B) An aluminum sufuria lid, diameter 20 cm, heats from 25°C to 95°C (α = 24 × 10⁻⁶ °C⁻¹).</w:t>
              <w:br/>
              <w:t>Connect your calculation to the sufuria lid phenomenon.</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4: Why Does Water Behave Unusually When It Freezes?</w:t>
            </w:r>
          </w:p>
        </w:tc>
      </w:tr>
      <w:tr>
        <w:tc>
          <w:tcPr>
            <w:tcW w:type="dxa" w:w="13680"/>
            <w:shd w:val="clear" w:color="auto" w:fill="D5E8F0"/>
          </w:tcPr>
          <w:p>
            <w:pPr>
              <w:spacing w:before="40" w:after="40"/>
              <w:jc w:val="left"/>
            </w:pPr>
            <w:r>
              <w:rPr>
                <w:rFonts w:ascii="Calibri" w:hAnsi="Calibri"/>
                <w:b w:val="0"/>
                <w:i w:val="0"/>
                <w:color w:val="000000"/>
                <w:sz w:val="18"/>
              </w:rPr>
              <w:t>How does water behave differently from most substances when it freezes (anomalous expansion)?</w:t>
              <w:br/>
              <w:t>At what temperature is water most dense? What happens between 4°C and 0°C?</w:t>
              <w:br/>
              <w:t>Explain using hydrogen bonding and the hexagonal ice crystal structure why water expands by ~9% on freezing.</w:t>
              <w:br/>
              <w:t>Explain step-by-step why the glass bottle cracked: what happened from room temperature to fully frozen?</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5: How Do Engineers Use Thermal Expansion to Keep Us Safe?</w:t>
            </w:r>
          </w:p>
        </w:tc>
      </w:tr>
      <w:tr>
        <w:tc>
          <w:tcPr>
            <w:tcW w:type="dxa" w:w="13680"/>
            <w:shd w:val="clear" w:color="auto" w:fill="D5E8F0"/>
          </w:tcPr>
          <w:p>
            <w:pPr>
              <w:spacing w:before="40" w:after="40"/>
              <w:jc w:val="left"/>
            </w:pPr>
            <w:r>
              <w:rPr>
                <w:rFonts w:ascii="Calibri" w:hAnsi="Calibri"/>
                <w:b w:val="0"/>
                <w:i w:val="0"/>
                <w:color w:val="000000"/>
                <w:sz w:val="18"/>
              </w:rPr>
              <w:t>What problems does thermal expansion cause in structures (railway tracks, bridges, roads, pipelines, power lines)?</w:t>
              <w:br/>
              <w:t>Explain with diagrams how expansion joints work and where they are used.</w:t>
              <w:br/>
              <w:t>Explain how bimetallic strips work and name three applications (thermostat, fire alarm, circuit breaker).</w:t>
              <w:br/>
              <w:t>Give at least three specific Kenya examples (e.g. Thika Superhighway, SGR railway, mabati roofing, JKIA runway).</w:t>
              <w:br/>
              <w:t>Connect to phenomenon: How does this knowledge prevent problems like the cracked bottle?</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Calibri" w:hAnsi="Calibri"/>
                <w:b/>
                <w:i w:val="0"/>
                <w:color w:val="FFFFFF"/>
                <w:sz w:val="22"/>
              </w:rPr>
              <w:t>Assessment Rubric</w:t>
            </w: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Calibri" w:hAnsi="Calibri"/>
                <w:b/>
                <w:i w:val="0"/>
                <w:color w:val="FFFFFF"/>
                <w:sz w:val="22"/>
              </w:rPr>
              <w:t>Assessment Rubric</w:t>
            </w:r>
          </w:p>
        </w:tc>
      </w:tr>
      <w:tr>
        <w:tc>
          <w:tcPr>
            <w:tcW w:type="dxa" w:w="2880"/>
            <w:shd w:val="clear" w:color="auto" w:fill="2E75B6"/>
          </w:tcPr>
          <w:p>
            <w:pPr>
              <w:spacing w:before="40" w:after="40"/>
              <w:jc w:val="center"/>
            </w:pPr>
            <w:r>
              <w:rPr>
                <w:rFonts w:ascii="Calibri" w:hAnsi="Calibri"/>
                <w:b/>
                <w:i w:val="0"/>
                <w:color w:val="FFFFFF"/>
                <w:sz w:val="18"/>
              </w:rPr>
              <w:t>Criterion</w:t>
            </w:r>
          </w:p>
        </w:tc>
        <w:tc>
          <w:tcPr>
            <w:tcW w:type="dxa" w:w="2700"/>
            <w:shd w:val="clear" w:color="auto" w:fill="1F6B75"/>
          </w:tcPr>
          <w:p>
            <w:pPr>
              <w:spacing w:before="40" w:after="40"/>
              <w:jc w:val="center"/>
            </w:pPr>
            <w:r>
              <w:rPr>
                <w:rFonts w:ascii="Calibri" w:hAnsi="Calibri"/>
                <w:b/>
                <w:i w:val="0"/>
                <w:color w:val="FFFFFF"/>
                <w:sz w:val="18"/>
              </w:rPr>
              <w:t>Beginning (1)</w:t>
            </w:r>
          </w:p>
        </w:tc>
        <w:tc>
          <w:tcPr>
            <w:tcW w:type="dxa" w:w="2700"/>
            <w:shd w:val="clear" w:color="auto" w:fill="2E75B6"/>
          </w:tcPr>
          <w:p>
            <w:pPr>
              <w:spacing w:before="40" w:after="40"/>
              <w:jc w:val="center"/>
            </w:pPr>
            <w:r>
              <w:rPr>
                <w:rFonts w:ascii="Calibri" w:hAnsi="Calibri"/>
                <w:b/>
                <w:i w:val="0"/>
                <w:color w:val="FFFFFF"/>
                <w:sz w:val="18"/>
              </w:rPr>
              <w:t>Developing (2)</w:t>
            </w:r>
          </w:p>
        </w:tc>
        <w:tc>
          <w:tcPr>
            <w:tcW w:type="dxa" w:w="2700"/>
            <w:shd w:val="clear" w:color="auto" w:fill="1F6B75"/>
          </w:tcPr>
          <w:p>
            <w:pPr>
              <w:spacing w:before="40" w:after="40"/>
              <w:jc w:val="center"/>
            </w:pPr>
            <w:r>
              <w:rPr>
                <w:rFonts w:ascii="Calibri" w:hAnsi="Calibri"/>
                <w:b/>
                <w:i w:val="0"/>
                <w:color w:val="FFFFFF"/>
                <w:sz w:val="18"/>
              </w:rPr>
              <w:t>Proficient (3)</w:t>
            </w:r>
          </w:p>
        </w:tc>
        <w:tc>
          <w:tcPr>
            <w:tcW w:type="dxa" w:w="2700"/>
            <w:shd w:val="clear" w:color="auto" w:fill="2E75B6"/>
          </w:tcPr>
          <w:p>
            <w:pPr>
              <w:spacing w:before="40" w:after="40"/>
              <w:jc w:val="center"/>
            </w:pPr>
            <w:r>
              <w:rPr>
                <w:rFonts w:ascii="Calibri" w:hAnsi="Calibri"/>
                <w:b/>
                <w:i w:val="0"/>
                <w:color w:val="FFFFFF"/>
                <w:sz w:val="18"/>
              </w:rPr>
              <w:t>Advanced (4)</w:t>
            </w:r>
          </w:p>
        </w:tc>
      </w:tr>
      <w:tr>
        <w:tc>
          <w:tcPr>
            <w:tcW w:type="dxa" w:w="2880"/>
            <w:shd w:val="clear" w:color="auto" w:fill="D5E8F0"/>
          </w:tcPr>
          <w:p>
            <w:pPr>
              <w:spacing w:before="40" w:after="40"/>
              <w:jc w:val="left"/>
            </w:pPr>
            <w:r>
              <w:rPr>
                <w:rFonts w:ascii="Calibri" w:hAnsi="Calibri"/>
                <w:b/>
                <w:i w:val="0"/>
                <w:color w:val="000000"/>
                <w:sz w:val="18"/>
              </w:rPr>
              <w:t>1. Phenomenon Connection</w:t>
            </w:r>
          </w:p>
        </w:tc>
        <w:tc>
          <w:tcPr>
            <w:tcW w:type="dxa" w:w="2700"/>
            <w:shd w:val="clear" w:color="auto" w:fill="FFFFFF"/>
          </w:tcPr>
          <w:p>
            <w:pPr>
              <w:spacing w:before="40" w:after="40"/>
              <w:jc w:val="left"/>
            </w:pPr>
            <w:r>
              <w:rPr>
                <w:rFonts w:ascii="Calibri" w:hAnsi="Calibri"/>
                <w:b w:val="0"/>
                <w:i w:val="0"/>
                <w:color w:val="000000"/>
                <w:sz w:val="18"/>
              </w:rPr>
              <w:t>Rarely refers to anchoring phenomena; explanation disconnected from observation</w:t>
            </w:r>
          </w:p>
        </w:tc>
        <w:tc>
          <w:tcPr>
            <w:tcW w:type="dxa" w:w="2700"/>
            <w:shd w:val="clear" w:color="auto" w:fill="F2F2F2"/>
          </w:tcPr>
          <w:p>
            <w:pPr>
              <w:spacing w:before="40" w:after="40"/>
              <w:jc w:val="left"/>
            </w:pPr>
            <w:r>
              <w:rPr>
                <w:rFonts w:ascii="Calibri" w:hAnsi="Calibri"/>
                <w:b w:val="0"/>
                <w:i w:val="0"/>
                <w:color w:val="000000"/>
                <w:sz w:val="18"/>
              </w:rPr>
              <w:t>Mentions phenomena but connections superficial</w:t>
            </w:r>
          </w:p>
        </w:tc>
        <w:tc>
          <w:tcPr>
            <w:tcW w:type="dxa" w:w="2700"/>
            <w:shd w:val="clear" w:color="auto" w:fill="FFFFFF"/>
          </w:tcPr>
          <w:p>
            <w:pPr>
              <w:spacing w:before="40" w:after="40"/>
              <w:jc w:val="left"/>
            </w:pPr>
            <w:r>
              <w:rPr>
                <w:rFonts w:ascii="Calibri" w:hAnsi="Calibri"/>
                <w:b w:val="0"/>
                <w:i w:val="0"/>
                <w:color w:val="000000"/>
                <w:sz w:val="18"/>
              </w:rPr>
              <w:t>Regularly connects concepts to phenomena; explanation grounded in observation</w:t>
            </w:r>
          </w:p>
        </w:tc>
        <w:tc>
          <w:tcPr>
            <w:tcW w:type="dxa" w:w="2700"/>
            <w:shd w:val="clear" w:color="auto" w:fill="F2F2F2"/>
          </w:tcPr>
          <w:p>
            <w:pPr>
              <w:spacing w:before="40" w:after="40"/>
              <w:jc w:val="left"/>
            </w:pPr>
            <w:r>
              <w:rPr>
                <w:rFonts w:ascii="Calibri" w:hAnsi="Calibri"/>
                <w:b w:val="0"/>
                <w:i w:val="0"/>
                <w:color w:val="000000"/>
                <w:sz w:val="18"/>
              </w:rPr>
              <w:t>Seamlessly integrates phenomena throughout; makes additional real-world connections</w:t>
            </w:r>
          </w:p>
        </w:tc>
      </w:tr>
      <w:tr>
        <w:tc>
          <w:tcPr>
            <w:tcW w:type="dxa" w:w="2880"/>
            <w:shd w:val="clear" w:color="auto" w:fill="D5E8F0"/>
          </w:tcPr>
          <w:p>
            <w:pPr>
              <w:spacing w:before="40" w:after="40"/>
              <w:jc w:val="left"/>
            </w:pPr>
            <w:r>
              <w:rPr>
                <w:rFonts w:ascii="Calibri" w:hAnsi="Calibri"/>
                <w:b/>
                <w:i w:val="0"/>
                <w:color w:val="000000"/>
                <w:sz w:val="18"/>
              </w:rPr>
              <w:t>2. Scientific Accuracy &amp; Vocabulary</w:t>
            </w:r>
          </w:p>
        </w:tc>
        <w:tc>
          <w:tcPr>
            <w:tcW w:type="dxa" w:w="2700"/>
            <w:shd w:val="clear" w:color="auto" w:fill="FFFFFF"/>
          </w:tcPr>
          <w:p>
            <w:pPr>
              <w:spacing w:before="40" w:after="40"/>
              <w:jc w:val="left"/>
            </w:pPr>
            <w:r>
              <w:rPr>
                <w:rFonts w:ascii="Calibri" w:hAnsi="Calibri"/>
                <w:b w:val="0"/>
                <w:i w:val="0"/>
                <w:color w:val="000000"/>
                <w:sz w:val="18"/>
              </w:rPr>
              <w:t>Multiple scientific errors; misuses key terms</w:t>
            </w:r>
          </w:p>
        </w:tc>
        <w:tc>
          <w:tcPr>
            <w:tcW w:type="dxa" w:w="2700"/>
            <w:shd w:val="clear" w:color="auto" w:fill="F2F2F2"/>
          </w:tcPr>
          <w:p>
            <w:pPr>
              <w:spacing w:before="40" w:after="40"/>
              <w:jc w:val="left"/>
            </w:pPr>
            <w:r>
              <w:rPr>
                <w:rFonts w:ascii="Calibri" w:hAnsi="Calibri"/>
                <w:b w:val="0"/>
                <w:i w:val="0"/>
                <w:color w:val="000000"/>
                <w:sz w:val="18"/>
              </w:rPr>
              <w:t>Some errors; mostly accurate; some terms used incorrectly</w:t>
            </w:r>
          </w:p>
        </w:tc>
        <w:tc>
          <w:tcPr>
            <w:tcW w:type="dxa" w:w="2700"/>
            <w:shd w:val="clear" w:color="auto" w:fill="FFFFFF"/>
          </w:tcPr>
          <w:p>
            <w:pPr>
              <w:spacing w:before="40" w:after="40"/>
              <w:jc w:val="left"/>
            </w:pPr>
            <w:r>
              <w:rPr>
                <w:rFonts w:ascii="Calibri" w:hAnsi="Calibri"/>
                <w:b w:val="0"/>
                <w:i w:val="0"/>
                <w:color w:val="000000"/>
                <w:sz w:val="18"/>
              </w:rPr>
              <w:t>Scientifically accurate; correct use of terminology throughout</w:t>
            </w:r>
          </w:p>
        </w:tc>
        <w:tc>
          <w:tcPr>
            <w:tcW w:type="dxa" w:w="2700"/>
            <w:shd w:val="clear" w:color="auto" w:fill="F2F2F2"/>
          </w:tcPr>
          <w:p>
            <w:pPr>
              <w:spacing w:before="40" w:after="40"/>
              <w:jc w:val="left"/>
            </w:pPr>
            <w:r>
              <w:rPr>
                <w:rFonts w:ascii="Calibri" w:hAnsi="Calibri"/>
                <w:b w:val="0"/>
                <w:i w:val="0"/>
                <w:color w:val="000000"/>
                <w:sz w:val="18"/>
              </w:rPr>
              <w:t>Highly accurate and precise; sophisticated scientific language; nuanced understanding</w:t>
            </w:r>
          </w:p>
        </w:tc>
      </w:tr>
      <w:tr>
        <w:tc>
          <w:tcPr>
            <w:tcW w:type="dxa" w:w="2880"/>
            <w:shd w:val="clear" w:color="auto" w:fill="D5E8F0"/>
          </w:tcPr>
          <w:p>
            <w:pPr>
              <w:spacing w:before="40" w:after="40"/>
              <w:jc w:val="left"/>
            </w:pPr>
            <w:r>
              <w:rPr>
                <w:rFonts w:ascii="Calibri" w:hAnsi="Calibri"/>
                <w:b/>
                <w:i w:val="0"/>
                <w:color w:val="000000"/>
                <w:sz w:val="18"/>
              </w:rPr>
              <w:t>3. Particle-Level Reasoning</w:t>
            </w:r>
          </w:p>
        </w:tc>
        <w:tc>
          <w:tcPr>
            <w:tcW w:type="dxa" w:w="2700"/>
            <w:shd w:val="clear" w:color="auto" w:fill="FFFFFF"/>
          </w:tcPr>
          <w:p>
            <w:pPr>
              <w:spacing w:before="40" w:after="40"/>
              <w:jc w:val="left"/>
            </w:pPr>
            <w:r>
              <w:rPr>
                <w:rFonts w:ascii="Calibri" w:hAnsi="Calibri"/>
                <w:b w:val="0"/>
                <w:i w:val="0"/>
                <w:color w:val="000000"/>
                <w:sz w:val="18"/>
              </w:rPr>
              <w:t>Little or no particle-level explanation; stays at macroscopic level</w:t>
            </w:r>
          </w:p>
        </w:tc>
        <w:tc>
          <w:tcPr>
            <w:tcW w:type="dxa" w:w="2700"/>
            <w:shd w:val="clear" w:color="auto" w:fill="F2F2F2"/>
          </w:tcPr>
          <w:p>
            <w:pPr>
              <w:spacing w:before="40" w:after="40"/>
              <w:jc w:val="left"/>
            </w:pPr>
            <w:r>
              <w:rPr>
                <w:rFonts w:ascii="Calibri" w:hAnsi="Calibri"/>
                <w:b w:val="0"/>
                <w:i w:val="0"/>
                <w:color w:val="000000"/>
                <w:sz w:val="18"/>
              </w:rPr>
              <w:t>Attempts particle reasoning but gaps or errors; unclear link to macroscopic</w:t>
            </w:r>
          </w:p>
        </w:tc>
        <w:tc>
          <w:tcPr>
            <w:tcW w:type="dxa" w:w="2700"/>
            <w:shd w:val="clear" w:color="auto" w:fill="FFFFFF"/>
          </w:tcPr>
          <w:p>
            <w:pPr>
              <w:spacing w:before="40" w:after="40"/>
              <w:jc w:val="left"/>
            </w:pPr>
            <w:r>
              <w:rPr>
                <w:rFonts w:ascii="Calibri" w:hAnsi="Calibri"/>
                <w:b w:val="0"/>
                <w:i w:val="0"/>
                <w:color w:val="000000"/>
                <w:sz w:val="18"/>
              </w:rPr>
              <w:t>Clearly explains particle behavior and links to macroscopic observations</w:t>
            </w:r>
          </w:p>
        </w:tc>
        <w:tc>
          <w:tcPr>
            <w:tcW w:type="dxa" w:w="2700"/>
            <w:shd w:val="clear" w:color="auto" w:fill="F2F2F2"/>
          </w:tcPr>
          <w:p>
            <w:pPr>
              <w:spacing w:before="40" w:after="40"/>
              <w:jc w:val="left"/>
            </w:pPr>
            <w:r>
              <w:rPr>
                <w:rFonts w:ascii="Calibri" w:hAnsi="Calibri"/>
                <w:b w:val="0"/>
                <w:i w:val="0"/>
                <w:color w:val="000000"/>
                <w:sz w:val="18"/>
              </w:rPr>
              <w:t>Sophisticated particle reasoning; explicit microscopic-to-macroscopic connections</w:t>
            </w:r>
          </w:p>
        </w:tc>
      </w:tr>
      <w:tr>
        <w:tc>
          <w:tcPr>
            <w:tcW w:type="dxa" w:w="2880"/>
            <w:shd w:val="clear" w:color="auto" w:fill="D5E8F0"/>
          </w:tcPr>
          <w:p>
            <w:pPr>
              <w:spacing w:before="40" w:after="40"/>
              <w:jc w:val="left"/>
            </w:pPr>
            <w:r>
              <w:rPr>
                <w:rFonts w:ascii="Calibri" w:hAnsi="Calibri"/>
                <w:b/>
                <w:i w:val="0"/>
                <w:color w:val="000000"/>
                <w:sz w:val="18"/>
              </w:rPr>
              <w:t>4. Mathematical Application</w:t>
            </w:r>
          </w:p>
        </w:tc>
        <w:tc>
          <w:tcPr>
            <w:tcW w:type="dxa" w:w="2700"/>
            <w:shd w:val="clear" w:color="auto" w:fill="FFFFFF"/>
          </w:tcPr>
          <w:p>
            <w:pPr>
              <w:spacing w:before="40" w:after="40"/>
              <w:jc w:val="left"/>
            </w:pPr>
            <w:r>
              <w:rPr>
                <w:rFonts w:ascii="Calibri" w:hAnsi="Calibri"/>
                <w:b w:val="0"/>
                <w:i w:val="0"/>
                <w:color w:val="000000"/>
                <w:sz w:val="18"/>
              </w:rPr>
              <w:t>Calculation missing, incomplete, or major errors; no method shown</w:t>
            </w:r>
          </w:p>
        </w:tc>
        <w:tc>
          <w:tcPr>
            <w:tcW w:type="dxa" w:w="2700"/>
            <w:shd w:val="clear" w:color="auto" w:fill="F2F2F2"/>
          </w:tcPr>
          <w:p>
            <w:pPr>
              <w:spacing w:before="40" w:after="40"/>
              <w:jc w:val="left"/>
            </w:pPr>
            <w:r>
              <w:rPr>
                <w:rFonts w:ascii="Calibri" w:hAnsi="Calibri"/>
                <w:b w:val="0"/>
                <w:i w:val="0"/>
                <w:color w:val="000000"/>
                <w:sz w:val="18"/>
              </w:rPr>
              <w:t>Calculation present but errors in setup, substitution, or arithmetic</w:t>
            </w:r>
          </w:p>
        </w:tc>
        <w:tc>
          <w:tcPr>
            <w:tcW w:type="dxa" w:w="2700"/>
            <w:shd w:val="clear" w:color="auto" w:fill="FFFFFF"/>
          </w:tcPr>
          <w:p>
            <w:pPr>
              <w:spacing w:before="40" w:after="40"/>
              <w:jc w:val="left"/>
            </w:pPr>
            <w:r>
              <w:rPr>
                <w:rFonts w:ascii="Calibri" w:hAnsi="Calibri"/>
                <w:b w:val="0"/>
                <w:i w:val="0"/>
                <w:color w:val="000000"/>
                <w:sz w:val="18"/>
              </w:rPr>
              <w:t>Calculation correct; all steps shown; appropriate units and significant figures</w:t>
            </w:r>
          </w:p>
        </w:tc>
        <w:tc>
          <w:tcPr>
            <w:tcW w:type="dxa" w:w="2700"/>
            <w:shd w:val="clear" w:color="auto" w:fill="F2F2F2"/>
          </w:tcPr>
          <w:p>
            <w:pPr>
              <w:spacing w:before="40" w:after="40"/>
              <w:jc w:val="left"/>
            </w:pPr>
            <w:r>
              <w:rPr>
                <w:rFonts w:ascii="Calibri" w:hAnsi="Calibri"/>
                <w:b w:val="0"/>
                <w:i w:val="0"/>
                <w:color w:val="000000"/>
                <w:sz w:val="18"/>
              </w:rPr>
              <w:t>Calculation exemplary; method crystal clear; result interpreted in context</w:t>
            </w:r>
          </w:p>
        </w:tc>
      </w:tr>
      <w:tr>
        <w:tc>
          <w:tcPr>
            <w:tcW w:type="dxa" w:w="2880"/>
            <w:shd w:val="clear" w:color="auto" w:fill="D5E8F0"/>
          </w:tcPr>
          <w:p>
            <w:pPr>
              <w:spacing w:before="40" w:after="40"/>
              <w:jc w:val="left"/>
            </w:pPr>
            <w:r>
              <w:rPr>
                <w:rFonts w:ascii="Calibri" w:hAnsi="Calibri"/>
                <w:b/>
                <w:i w:val="0"/>
                <w:color w:val="000000"/>
                <w:sz w:val="18"/>
              </w:rPr>
              <w:t>5. Engineering Applications &amp; Completeness</w:t>
            </w:r>
          </w:p>
        </w:tc>
        <w:tc>
          <w:tcPr>
            <w:tcW w:type="dxa" w:w="2700"/>
            <w:shd w:val="clear" w:color="auto" w:fill="FFFFFF"/>
          </w:tcPr>
          <w:p>
            <w:pPr>
              <w:spacing w:before="40" w:after="40"/>
              <w:jc w:val="left"/>
            </w:pPr>
            <w:r>
              <w:rPr>
                <w:rFonts w:ascii="Calibri" w:hAnsi="Calibri"/>
                <w:b w:val="0"/>
                <w:i w:val="0"/>
                <w:color w:val="000000"/>
                <w:sz w:val="18"/>
              </w:rPr>
              <w:t>Fewer than 3 sections; few or no engineering examples</w:t>
            </w:r>
          </w:p>
        </w:tc>
        <w:tc>
          <w:tcPr>
            <w:tcW w:type="dxa" w:w="2700"/>
            <w:shd w:val="clear" w:color="auto" w:fill="F2F2F2"/>
          </w:tcPr>
          <w:p>
            <w:pPr>
              <w:spacing w:before="40" w:after="40"/>
              <w:jc w:val="left"/>
            </w:pPr>
            <w:r>
              <w:rPr>
                <w:rFonts w:ascii="Calibri" w:hAnsi="Calibri"/>
                <w:b w:val="0"/>
                <w:i w:val="0"/>
                <w:color w:val="000000"/>
                <w:sz w:val="18"/>
              </w:rPr>
              <w:t>3–4 sections; some engineering mentions but explanations vague</w:t>
            </w:r>
          </w:p>
        </w:tc>
        <w:tc>
          <w:tcPr>
            <w:tcW w:type="dxa" w:w="2700"/>
            <w:shd w:val="clear" w:color="auto" w:fill="FFFFFF"/>
          </w:tcPr>
          <w:p>
            <w:pPr>
              <w:spacing w:before="40" w:after="40"/>
              <w:jc w:val="left"/>
            </w:pPr>
            <w:r>
              <w:rPr>
                <w:rFonts w:ascii="Calibri" w:hAnsi="Calibri"/>
                <w:b w:val="0"/>
                <w:i w:val="0"/>
                <w:color w:val="000000"/>
                <w:sz w:val="18"/>
              </w:rPr>
              <w:t>All 5 sections; multiple engineering applications with Kenya examples</w:t>
            </w:r>
          </w:p>
        </w:tc>
        <w:tc>
          <w:tcPr>
            <w:tcW w:type="dxa" w:w="2700"/>
            <w:shd w:val="clear" w:color="auto" w:fill="F2F2F2"/>
          </w:tcPr>
          <w:p>
            <w:pPr>
              <w:spacing w:before="40" w:after="40"/>
              <w:jc w:val="left"/>
            </w:pPr>
            <w:r>
              <w:rPr>
                <w:rFonts w:ascii="Calibri" w:hAnsi="Calibri"/>
                <w:b w:val="0"/>
                <w:i w:val="0"/>
                <w:color w:val="000000"/>
                <w:sz w:val="18"/>
              </w:rPr>
              <w:t>All 5 sections comprehensively; rich Kenya examples; design reasoning discussed</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