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Arial" w:cs="Arial" w:eastAsia="Arial" w:hAnsi="Arial"/>
          <w:b/>
          <w:bCs/>
          <w:color w:val="1F3864"/>
          <w:sz w:val="32"/>
          <w:szCs w:val="32"/>
        </w:rPr>
        <w:t xml:space="preserve">Answer Key — Core Mathematics Grade 10</w:t>
      </w:r>
    </w:p>
    <w:p>
      <w:pPr>
        <w:spacing w:after="80"/>
      </w:pPr>
      <w:r>
        <w:rPr>
          <w:rFonts w:ascii="Arial" w:cs="Arial" w:eastAsia="Arial" w:hAnsi="Arial"/>
          <w:color w:val="444444"/>
          <w:sz w:val="20"/>
          <w:szCs w:val="20"/>
        </w:rPr>
        <w:t xml:space="preserve">Sub-Strand 2.4: Trigonometry 1  •  Lesson 2: Defining Sine, Cosine, and Tangent — Naming the Ratios That Unlock the Mast</w:t>
      </w:r>
    </w:p>
    <w:p>
      <w:pPr>
        <w:spacing w:after="200"/>
      </w:pPr>
      <w:r>
        <w:rPr>
          <w:rFonts w:ascii="Arial" w:cs="Arial" w:eastAsia="Arial" w:hAnsi="Arial"/>
          <w:b/>
          <w:bCs/>
          <w:sz w:val="20"/>
          <w:szCs w:val="20"/>
        </w:rPr>
        <w:t xml:space="preserve">Teacher reference only. Do not project or hand out.</w:t>
      </w:r>
    </w:p>
    <w:p>
      <w:pPr>
        <w:spacing w:after="80"/>
      </w:pPr>
      <w:r>
        <w:rPr>
          <w:rFonts w:ascii="Arial" w:cs="Arial" w:eastAsia="Arial" w:hAnsi="Arial"/>
          <w:b/>
          <w:bCs/>
          <w:sz w:val="21"/>
          <w:szCs w:val="21"/>
        </w:rPr>
        <w:t xml:space="preserve">Quick marking grid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70"/>
        <w:gridCol w:w="1170"/>
        <w:gridCol w:w="1170"/>
        <w:gridCol w:w="1170"/>
        <w:gridCol w:w="1170"/>
        <w:gridCol w:w="1170"/>
        <w:gridCol w:w="1170"/>
        <w:gridCol w:w="1170"/>
      </w:tblGrid>
      <w:tr>
        <w:tc>
          <w:tcPr>
            <w:tcW w:type="dxa" w:w="1170"/>
            <w:tcBorders>
              <w:top w:val="single" w:color="BBBBBB" w:sz="4"/>
              <w:left w:val="single" w:color="BBBBBB" w:sz="4"/>
              <w:bottom w:val="single" w:color="BBBBBB" w:sz="4"/>
              <w:right w:val="single" w:color="BBBBBB" w:sz="4"/>
            </w:tcBorders>
            <w:shd w:fill="D9EEF1" w:val="clear"/>
            <w:tcMar>
              <w:top w:type="dxa" w:w="60"/>
              <w:left w:type="dxa" w:w="80"/>
              <w:bottom w:type="dxa" w:w="60"/>
              <w:right w:type="dxa" w:w="80"/>
            </w:tcMar>
          </w:tcPr>
          <w:p>
            <w:pPr>
              <w:jc w:val="center"/>
            </w:pPr>
            <w:r>
              <w:rPr>
                <w:rFonts w:ascii="Arial" w:cs="Arial" w:eastAsia="Arial" w:hAnsi="Arial"/>
                <w:b/>
                <w:bCs/>
                <w:sz w:val="21"/>
                <w:szCs w:val="21"/>
              </w:rPr>
              <w:t xml:space="preserve">Q1</w:t>
            </w:r>
          </w:p>
        </w:tc>
        <w:tc>
          <w:tcPr>
            <w:tcW w:type="dxa" w:w="1170"/>
            <w:tcBorders>
              <w:top w:val="single" w:color="BBBBBB" w:sz="4"/>
              <w:left w:val="single" w:color="BBBBBB" w:sz="4"/>
              <w:bottom w:val="single" w:color="BBBBBB" w:sz="4"/>
              <w:right w:val="single" w:color="BBBBBB" w:sz="4"/>
            </w:tcBorders>
            <w:shd w:fill="D9EEF1" w:val="clear"/>
            <w:tcMar>
              <w:top w:type="dxa" w:w="60"/>
              <w:left w:type="dxa" w:w="80"/>
              <w:bottom w:type="dxa" w:w="60"/>
              <w:right w:type="dxa" w:w="80"/>
            </w:tcMar>
          </w:tcPr>
          <w:p>
            <w:pPr>
              <w:jc w:val="center"/>
            </w:pPr>
            <w:r>
              <w:rPr>
                <w:rFonts w:ascii="Arial" w:cs="Arial" w:eastAsia="Arial" w:hAnsi="Arial"/>
                <w:b/>
                <w:bCs/>
                <w:sz w:val="21"/>
                <w:szCs w:val="21"/>
              </w:rPr>
              <w:t xml:space="preserve">Q2</w:t>
            </w:r>
          </w:p>
        </w:tc>
        <w:tc>
          <w:tcPr>
            <w:tcW w:type="dxa" w:w="1170"/>
            <w:tcBorders>
              <w:top w:val="single" w:color="BBBBBB" w:sz="4"/>
              <w:left w:val="single" w:color="BBBBBB" w:sz="4"/>
              <w:bottom w:val="single" w:color="BBBBBB" w:sz="4"/>
              <w:right w:val="single" w:color="BBBBBB" w:sz="4"/>
            </w:tcBorders>
            <w:shd w:fill="D9EEF1" w:val="clear"/>
            <w:tcMar>
              <w:top w:type="dxa" w:w="60"/>
              <w:left w:type="dxa" w:w="80"/>
              <w:bottom w:type="dxa" w:w="60"/>
              <w:right w:type="dxa" w:w="80"/>
            </w:tcMar>
          </w:tcPr>
          <w:p>
            <w:pPr>
              <w:jc w:val="center"/>
            </w:pPr>
            <w:r>
              <w:rPr>
                <w:rFonts w:ascii="Arial" w:cs="Arial" w:eastAsia="Arial" w:hAnsi="Arial"/>
                <w:b/>
                <w:bCs/>
                <w:sz w:val="21"/>
                <w:szCs w:val="21"/>
              </w:rPr>
              <w:t xml:space="preserve">Q3</w:t>
            </w:r>
          </w:p>
        </w:tc>
        <w:tc>
          <w:tcPr>
            <w:tcW w:type="dxa" w:w="1170"/>
            <w:tcBorders>
              <w:top w:val="single" w:color="BBBBBB" w:sz="4"/>
              <w:left w:val="single" w:color="BBBBBB" w:sz="4"/>
              <w:bottom w:val="single" w:color="BBBBBB" w:sz="4"/>
              <w:right w:val="single" w:color="BBBBBB" w:sz="4"/>
            </w:tcBorders>
            <w:shd w:fill="D9EEF1" w:val="clear"/>
            <w:tcMar>
              <w:top w:type="dxa" w:w="60"/>
              <w:left w:type="dxa" w:w="80"/>
              <w:bottom w:type="dxa" w:w="60"/>
              <w:right w:type="dxa" w:w="80"/>
            </w:tcMar>
          </w:tcPr>
          <w:p>
            <w:pPr>
              <w:jc w:val="center"/>
            </w:pPr>
            <w:r>
              <w:rPr>
                <w:rFonts w:ascii="Arial" w:cs="Arial" w:eastAsia="Arial" w:hAnsi="Arial"/>
                <w:b/>
                <w:bCs/>
                <w:sz w:val="21"/>
                <w:szCs w:val="21"/>
              </w:rPr>
              <w:t xml:space="preserve">Q4</w:t>
            </w:r>
          </w:p>
        </w:tc>
        <w:tc>
          <w:tcPr>
            <w:tcW w:type="dxa" w:w="1170"/>
            <w:tcBorders>
              <w:top w:val="single" w:color="BBBBBB" w:sz="4"/>
              <w:left w:val="single" w:color="BBBBBB" w:sz="4"/>
              <w:bottom w:val="single" w:color="BBBBBB" w:sz="4"/>
              <w:right w:val="single" w:color="BBBBBB" w:sz="4"/>
            </w:tcBorders>
            <w:shd w:fill="D9EEF1" w:val="clear"/>
            <w:tcMar>
              <w:top w:type="dxa" w:w="60"/>
              <w:left w:type="dxa" w:w="80"/>
              <w:bottom w:type="dxa" w:w="60"/>
              <w:right w:type="dxa" w:w="80"/>
            </w:tcMar>
          </w:tcPr>
          <w:p>
            <w:pPr>
              <w:jc w:val="center"/>
            </w:pPr>
            <w:r>
              <w:rPr>
                <w:rFonts w:ascii="Arial" w:cs="Arial" w:eastAsia="Arial" w:hAnsi="Arial"/>
                <w:b/>
                <w:bCs/>
                <w:sz w:val="21"/>
                <w:szCs w:val="21"/>
              </w:rPr>
              <w:t xml:space="preserve">Q5</w:t>
            </w:r>
          </w:p>
        </w:tc>
        <w:tc>
          <w:tcPr>
            <w:tcW w:type="dxa" w:w="1170"/>
            <w:tcBorders>
              <w:top w:val="single" w:color="BBBBBB" w:sz="4"/>
              <w:left w:val="single" w:color="BBBBBB" w:sz="4"/>
              <w:bottom w:val="single" w:color="BBBBBB" w:sz="4"/>
              <w:right w:val="single" w:color="BBBBBB" w:sz="4"/>
            </w:tcBorders>
            <w:shd w:fill="D9EEF1" w:val="clear"/>
            <w:tcMar>
              <w:top w:type="dxa" w:w="60"/>
              <w:left w:type="dxa" w:w="80"/>
              <w:bottom w:type="dxa" w:w="60"/>
              <w:right w:type="dxa" w:w="80"/>
            </w:tcMar>
          </w:tcPr>
          <w:p>
            <w:pPr>
              <w:jc w:val="center"/>
            </w:pPr>
            <w:r>
              <w:rPr>
                <w:rFonts w:ascii="Arial" w:cs="Arial" w:eastAsia="Arial" w:hAnsi="Arial"/>
                <w:b/>
                <w:bCs/>
                <w:sz w:val="21"/>
                <w:szCs w:val="21"/>
              </w:rPr>
              <w:t xml:space="preserve">Q6</w:t>
            </w:r>
          </w:p>
        </w:tc>
        <w:tc>
          <w:tcPr>
            <w:tcW w:type="dxa" w:w="1170"/>
            <w:tcBorders>
              <w:top w:val="single" w:color="BBBBBB" w:sz="4"/>
              <w:left w:val="single" w:color="BBBBBB" w:sz="4"/>
              <w:bottom w:val="single" w:color="BBBBBB" w:sz="4"/>
              <w:right w:val="single" w:color="BBBBBB" w:sz="4"/>
            </w:tcBorders>
            <w:shd w:fill="D9EEF1" w:val="clear"/>
            <w:tcMar>
              <w:top w:type="dxa" w:w="60"/>
              <w:left w:type="dxa" w:w="80"/>
              <w:bottom w:type="dxa" w:w="60"/>
              <w:right w:type="dxa" w:w="80"/>
            </w:tcMar>
          </w:tcPr>
          <w:p>
            <w:pPr>
              <w:jc w:val="center"/>
            </w:pPr>
            <w:r>
              <w:rPr>
                <w:rFonts w:ascii="Arial" w:cs="Arial" w:eastAsia="Arial" w:hAnsi="Arial"/>
                <w:b/>
                <w:bCs/>
                <w:sz w:val="21"/>
                <w:szCs w:val="21"/>
              </w:rPr>
              <w:t xml:space="preserve">Q7</w:t>
            </w:r>
          </w:p>
        </w:tc>
        <w:tc>
          <w:tcPr>
            <w:tcW w:type="dxa" w:w="1170"/>
            <w:tcBorders>
              <w:top w:val="single" w:color="BBBBBB" w:sz="4"/>
              <w:left w:val="single" w:color="BBBBBB" w:sz="4"/>
              <w:bottom w:val="single" w:color="BBBBBB" w:sz="4"/>
              <w:right w:val="single" w:color="BBBBBB" w:sz="4"/>
            </w:tcBorders>
            <w:shd w:fill="D9EEF1" w:val="clear"/>
            <w:tcMar>
              <w:top w:type="dxa" w:w="60"/>
              <w:left w:type="dxa" w:w="80"/>
              <w:bottom w:type="dxa" w:w="60"/>
              <w:right w:type="dxa" w:w="80"/>
            </w:tcMar>
          </w:tcPr>
          <w:p>
            <w:pPr>
              <w:jc w:val="center"/>
            </w:pPr>
            <w:r>
              <w:rPr>
                <w:rFonts w:ascii="Arial" w:cs="Arial" w:eastAsia="Arial" w:hAnsi="Arial"/>
                <w:b/>
                <w:bCs/>
                <w:sz w:val="21"/>
                <w:szCs w:val="21"/>
              </w:rPr>
              <w:t xml:space="preserve">Q8</w:t>
            </w:r>
          </w:p>
        </w:tc>
      </w:tr>
      <w:tr>
        <w:tc>
          <w:tcPr>
            <w:tcW w:type="dxa" w:w="1170"/>
            <w:tcBorders>
              <w:top w:val="single" w:color="BBBBBB" w:sz="4"/>
              <w:left w:val="single" w:color="BBBBBB" w:sz="4"/>
              <w:bottom w:val="single" w:color="BBBBBB" w:sz="4"/>
              <w:right w:val="single" w:color="BBBBBB" w:sz="4"/>
            </w:tcBorders>
            <w:tcMar>
              <w:top w:type="dxa" w:w="60"/>
              <w:left w:type="dxa" w:w="80"/>
              <w:bottom w:type="dxa" w:w="60"/>
              <w:right w:type="dxa" w:w="80"/>
            </w:tcMar>
          </w:tcPr>
          <w:p>
            <w:pPr>
              <w:jc w:val="center"/>
            </w:pPr>
            <w:r>
              <w:rPr>
                <w:rFonts w:ascii="Arial" w:cs="Arial" w:eastAsia="Arial" w:hAnsi="Arial"/>
                <w:b/>
                <w:bCs/>
                <w:sz w:val="21"/>
                <w:szCs w:val="21"/>
              </w:rPr>
              <w:t xml:space="preserve">C</w:t>
            </w:r>
          </w:p>
        </w:tc>
        <w:tc>
          <w:tcPr>
            <w:tcW w:type="dxa" w:w="1170"/>
            <w:tcBorders>
              <w:top w:val="single" w:color="BBBBBB" w:sz="4"/>
              <w:left w:val="single" w:color="BBBBBB" w:sz="4"/>
              <w:bottom w:val="single" w:color="BBBBBB" w:sz="4"/>
              <w:right w:val="single" w:color="BBBBBB" w:sz="4"/>
            </w:tcBorders>
            <w:tcMar>
              <w:top w:type="dxa" w:w="60"/>
              <w:left w:type="dxa" w:w="80"/>
              <w:bottom w:type="dxa" w:w="60"/>
              <w:right w:type="dxa" w:w="80"/>
            </w:tcMar>
          </w:tcPr>
          <w:p>
            <w:pPr>
              <w:jc w:val="center"/>
            </w:pPr>
            <w:r>
              <w:rPr>
                <w:rFonts w:ascii="Arial" w:cs="Arial" w:eastAsia="Arial" w:hAnsi="Arial"/>
                <w:b/>
                <w:bCs/>
                <w:sz w:val="21"/>
                <w:szCs w:val="21"/>
              </w:rPr>
              <w:t xml:space="preserve">B</w:t>
            </w:r>
          </w:p>
        </w:tc>
        <w:tc>
          <w:tcPr>
            <w:tcW w:type="dxa" w:w="1170"/>
            <w:tcBorders>
              <w:top w:val="single" w:color="BBBBBB" w:sz="4"/>
              <w:left w:val="single" w:color="BBBBBB" w:sz="4"/>
              <w:bottom w:val="single" w:color="BBBBBB" w:sz="4"/>
              <w:right w:val="single" w:color="BBBBBB" w:sz="4"/>
            </w:tcBorders>
            <w:tcMar>
              <w:top w:type="dxa" w:w="60"/>
              <w:left w:type="dxa" w:w="80"/>
              <w:bottom w:type="dxa" w:w="60"/>
              <w:right w:type="dxa" w:w="80"/>
            </w:tcMar>
          </w:tcPr>
          <w:p>
            <w:pPr>
              <w:jc w:val="center"/>
            </w:pPr>
            <w:r>
              <w:rPr>
                <w:rFonts w:ascii="Arial" w:cs="Arial" w:eastAsia="Arial" w:hAnsi="Arial"/>
                <w:b/>
                <w:bCs/>
                <w:sz w:val="21"/>
                <w:szCs w:val="21"/>
              </w:rPr>
              <w:t xml:space="preserve">A</w:t>
            </w:r>
          </w:p>
        </w:tc>
        <w:tc>
          <w:tcPr>
            <w:tcW w:type="dxa" w:w="1170"/>
            <w:tcBorders>
              <w:top w:val="single" w:color="BBBBBB" w:sz="4"/>
              <w:left w:val="single" w:color="BBBBBB" w:sz="4"/>
              <w:bottom w:val="single" w:color="BBBBBB" w:sz="4"/>
              <w:right w:val="single" w:color="BBBBBB" w:sz="4"/>
            </w:tcBorders>
            <w:tcMar>
              <w:top w:type="dxa" w:w="60"/>
              <w:left w:type="dxa" w:w="80"/>
              <w:bottom w:type="dxa" w:w="60"/>
              <w:right w:type="dxa" w:w="80"/>
            </w:tcMar>
          </w:tcPr>
          <w:p>
            <w:pPr>
              <w:jc w:val="center"/>
            </w:pPr>
            <w:r>
              <w:rPr>
                <w:rFonts w:ascii="Arial" w:cs="Arial" w:eastAsia="Arial" w:hAnsi="Arial"/>
                <w:b/>
                <w:bCs/>
                <w:sz w:val="21"/>
                <w:szCs w:val="21"/>
              </w:rPr>
              <w:t xml:space="preserve">C</w:t>
            </w:r>
          </w:p>
        </w:tc>
        <w:tc>
          <w:tcPr>
            <w:tcW w:type="dxa" w:w="1170"/>
            <w:tcBorders>
              <w:top w:val="single" w:color="BBBBBB" w:sz="4"/>
              <w:left w:val="single" w:color="BBBBBB" w:sz="4"/>
              <w:bottom w:val="single" w:color="BBBBBB" w:sz="4"/>
              <w:right w:val="single" w:color="BBBBBB" w:sz="4"/>
            </w:tcBorders>
            <w:tcMar>
              <w:top w:type="dxa" w:w="60"/>
              <w:left w:type="dxa" w:w="80"/>
              <w:bottom w:type="dxa" w:w="60"/>
              <w:right w:type="dxa" w:w="80"/>
            </w:tcMar>
          </w:tcPr>
          <w:p>
            <w:pPr>
              <w:jc w:val="center"/>
            </w:pPr>
            <w:r>
              <w:rPr>
                <w:rFonts w:ascii="Arial" w:cs="Arial" w:eastAsia="Arial" w:hAnsi="Arial"/>
                <w:b/>
                <w:bCs/>
                <w:sz w:val="21"/>
                <w:szCs w:val="21"/>
              </w:rPr>
              <w:t xml:space="preserve">D</w:t>
            </w:r>
          </w:p>
        </w:tc>
        <w:tc>
          <w:tcPr>
            <w:tcW w:type="dxa" w:w="1170"/>
            <w:tcBorders>
              <w:top w:val="single" w:color="BBBBBB" w:sz="4"/>
              <w:left w:val="single" w:color="BBBBBB" w:sz="4"/>
              <w:bottom w:val="single" w:color="BBBBBB" w:sz="4"/>
              <w:right w:val="single" w:color="BBBBBB" w:sz="4"/>
            </w:tcBorders>
            <w:tcMar>
              <w:top w:type="dxa" w:w="60"/>
              <w:left w:type="dxa" w:w="80"/>
              <w:bottom w:type="dxa" w:w="60"/>
              <w:right w:type="dxa" w:w="80"/>
            </w:tcMar>
          </w:tcPr>
          <w:p>
            <w:pPr>
              <w:jc w:val="center"/>
            </w:pPr>
            <w:r>
              <w:rPr>
                <w:rFonts w:ascii="Arial" w:cs="Arial" w:eastAsia="Arial" w:hAnsi="Arial"/>
                <w:b/>
                <w:bCs/>
                <w:sz w:val="21"/>
                <w:szCs w:val="21"/>
              </w:rPr>
              <w:t xml:space="preserve">D</w:t>
            </w:r>
          </w:p>
        </w:tc>
        <w:tc>
          <w:tcPr>
            <w:tcW w:type="dxa" w:w="1170"/>
            <w:tcBorders>
              <w:top w:val="single" w:color="BBBBBB" w:sz="4"/>
              <w:left w:val="single" w:color="BBBBBB" w:sz="4"/>
              <w:bottom w:val="single" w:color="BBBBBB" w:sz="4"/>
              <w:right w:val="single" w:color="BBBBBB" w:sz="4"/>
            </w:tcBorders>
            <w:tcMar>
              <w:top w:type="dxa" w:w="60"/>
              <w:left w:type="dxa" w:w="80"/>
              <w:bottom w:type="dxa" w:w="60"/>
              <w:right w:type="dxa" w:w="80"/>
            </w:tcMar>
          </w:tcPr>
          <w:p>
            <w:pPr>
              <w:jc w:val="center"/>
            </w:pPr>
            <w:r>
              <w:rPr>
                <w:rFonts w:ascii="Arial" w:cs="Arial" w:eastAsia="Arial" w:hAnsi="Arial"/>
                <w:b/>
                <w:bCs/>
                <w:sz w:val="21"/>
                <w:szCs w:val="21"/>
              </w:rPr>
              <w:t xml:space="preserve">B</w:t>
            </w:r>
          </w:p>
        </w:tc>
        <w:tc>
          <w:tcPr>
            <w:tcW w:type="dxa" w:w="1170"/>
            <w:tcBorders>
              <w:top w:val="single" w:color="BBBBBB" w:sz="4"/>
              <w:left w:val="single" w:color="BBBBBB" w:sz="4"/>
              <w:bottom w:val="single" w:color="BBBBBB" w:sz="4"/>
              <w:right w:val="single" w:color="BBBBBB" w:sz="4"/>
            </w:tcBorders>
            <w:tcMar>
              <w:top w:type="dxa" w:w="60"/>
              <w:left w:type="dxa" w:w="80"/>
              <w:bottom w:type="dxa" w:w="60"/>
              <w:right w:type="dxa" w:w="80"/>
            </w:tcMar>
          </w:tcPr>
          <w:p>
            <w:pPr>
              <w:jc w:val="center"/>
            </w:pPr>
            <w:r>
              <w:rPr>
                <w:rFonts w:ascii="Arial" w:cs="Arial" w:eastAsia="Arial" w:hAnsi="Arial"/>
                <w:b/>
                <w:bCs/>
                <w:sz w:val="21"/>
                <w:szCs w:val="21"/>
              </w:rPr>
              <w:t xml:space="preserve">C</w:t>
            </w:r>
          </w:p>
        </w:tc>
      </w:tr>
    </w:tbl>
    <w:p>
      <w:pPr>
        <w:spacing w:after="120"/>
      </w:pPr>
      <w:r>
        <w:rPr>
          <w:rFonts w:ascii="Arial" w:cs="Arial" w:eastAsia="Arial" w:hAnsi="Arial"/>
          <w:sz w:val="21"/>
          <w:szCs w:val="21"/>
        </w:rPr>
        <w:t xml:space="preserve"/>
      </w:r>
    </w:p>
    <w:p>
      <w:pPr>
        <w:keepNext/>
        <w:spacing w:after="40" w:before="200"/>
      </w:pPr>
      <w:r>
        <w:rPr>
          <w:rFonts w:ascii="Arial" w:cs="Arial" w:eastAsia="Arial" w:hAnsi="Arial"/>
          <w:color w:val="1F6B75"/>
          <w:sz w:val="16"/>
          <w:szCs w:val="16"/>
        </w:rPr>
        <w:t xml:space="preserve">USE AFTER: PREDICT PHASE — Predict: which side-ratio connects the 50° angle to the mast's height (Nakuru mast, 40 m from the base)</w:t>
      </w:r>
    </w:p>
    <w:p>
      <w:pPr>
        <w:keepNext/>
        <w:spacing w:after="80"/>
      </w:pPr>
      <w:r>
        <w:rPr>
          <w:rFonts w:ascii="Arial" w:cs="Arial" w:eastAsia="Arial" w:hAnsi="Arial"/>
          <w:b/>
          <w:bCs/>
          <w:sz w:val="21"/>
          <w:szCs w:val="21"/>
        </w:rPr>
        <w:t xml:space="preserve">Q1. A student stands 40 m from the base of a mast and measures the angle from the ground up to the top as 50°. The mast's height is the side opposite the 50° angle, and the 40 m is the side adjacent to it. Which ratio links the angle to the height?</w:t>
      </w:r>
    </w:p>
    <w:p>
      <w:pPr>
        <w:keepNext/>
        <w:spacing w:after="20"/>
        <w:ind w:left="360"/>
      </w:pPr>
      <w:r>
        <w:rPr>
          <w:rFonts w:ascii="Arial" w:cs="Arial" w:eastAsia="Arial" w:hAnsi="Arial"/>
          <w:sz w:val="21"/>
          <w:szCs w:val="21"/>
        </w:rPr>
        <w:t xml:space="preserve">A.  sin 50° = opposite ÷ hypotenuse</w:t>
      </w:r>
    </w:p>
    <w:p>
      <w:pPr>
        <w:keepNext/>
        <w:spacing w:after="20"/>
        <w:ind w:left="360"/>
      </w:pPr>
      <w:r>
        <w:rPr>
          <w:rFonts w:ascii="Arial" w:cs="Arial" w:eastAsia="Arial" w:hAnsi="Arial"/>
          <w:sz w:val="21"/>
          <w:szCs w:val="21"/>
        </w:rPr>
        <w:t xml:space="preserve">B.  cos 50° = adjacent ÷ hypotenuse</w:t>
      </w:r>
    </w:p>
    <w:p>
      <w:pPr>
        <w:keepNext/>
        <w:spacing w:after="20"/>
        <w:ind w:left="360"/>
      </w:pPr>
      <w:r>
        <w:rPr>
          <w:rFonts w:ascii="Arial" w:cs="Arial" w:eastAsia="Arial" w:hAnsi="Arial"/>
          <w:b/>
          <w:bCs/>
          <w:color w:val="2E7D4F"/>
          <w:sz w:val="21"/>
          <w:szCs w:val="21"/>
        </w:rPr>
        <w:t xml:space="preserve">C.  tan 50° = opposite ÷ adjacent</w:t>
      </w:r>
    </w:p>
    <w:p>
      <w:pPr>
        <w:keepNext/>
        <w:spacing w:after="20"/>
        <w:ind w:left="360"/>
      </w:pPr>
      <w:r>
        <w:rPr>
          <w:rFonts w:ascii="Arial" w:cs="Arial" w:eastAsia="Arial" w:hAnsi="Arial"/>
          <w:sz w:val="21"/>
          <w:szCs w:val="21"/>
        </w:rPr>
        <w:t xml:space="preserve">D.  tan 50° = adjacent ÷ opposite</w:t>
      </w:r>
    </w:p>
    <w:p>
      <w:pPr>
        <w:spacing w:after="120" w:before="60"/>
      </w:pPr>
      <w:r>
        <w:rPr>
          <w:rFonts w:ascii="Arial" w:cs="Arial" w:eastAsia="Arial" w:hAnsi="Arial"/>
          <w:b/>
          <w:bCs/>
          <w:color w:val="2E7D4F"/>
          <w:sz w:val="21"/>
          <w:szCs w:val="21"/>
        </w:rPr>
        <w:t xml:space="preserve">Correct answer: C. </w:t>
      </w:r>
      <w:r>
        <w:rPr>
          <w:rFonts w:ascii="Arial" w:cs="Arial" w:eastAsia="Arial" w:hAnsi="Arial"/>
          <w:color w:val="444444"/>
          <w:sz w:val="19"/>
          <w:szCs w:val="19"/>
        </w:rPr>
        <w:t xml:space="preserve">The height (opposite) and the 40 m distance (adjacent) are both involved and the hypotenuse is not, so the tangent ratio, opposite ÷ adjacent, is the one that links them.</w:t>
      </w:r>
    </w:p>
    <w:p>
      <w:pPr>
        <w:keepNext/>
        <w:spacing w:after="40" w:before="200"/>
      </w:pPr>
      <w:r>
        <w:rPr>
          <w:rFonts w:ascii="Arial" w:cs="Arial" w:eastAsia="Arial" w:hAnsi="Arial"/>
          <w:color w:val="1F6B75"/>
          <w:sz w:val="16"/>
          <w:szCs w:val="16"/>
        </w:rPr>
        <w:t xml:space="preserve">USE AFTER: OBSERVE PHASE — Observe: pairs label O, A, H for each acute angle in their two triangles, noticing that labels change when the reference angle switches</w:t>
      </w:r>
    </w:p>
    <w:p>
      <w:pPr>
        <w:keepNext/>
        <w:spacing w:after="80"/>
      </w:pPr>
      <w:r>
        <w:rPr>
          <w:rFonts w:ascii="Arial" w:cs="Arial" w:eastAsia="Arial" w:hAnsi="Arial"/>
          <w:b/>
          <w:bCs/>
          <w:sz w:val="21"/>
          <w:szCs w:val="21"/>
        </w:rPr>
        <w:t xml:space="preserve">Q2. In a right-angled triangle PQR, the right angle is at Q and PR is the longest side. Looking from angle P, a learner labels side QR as 'opposite'. She then switches to look from angle R. What is side QR called now?</w:t>
      </w:r>
    </w:p>
    <w:p>
      <w:pPr>
        <w:keepNext/>
        <w:spacing w:after="20"/>
        <w:ind w:left="360"/>
      </w:pPr>
      <w:r>
        <w:rPr>
          <w:rFonts w:ascii="Arial" w:cs="Arial" w:eastAsia="Arial" w:hAnsi="Arial"/>
          <w:sz w:val="21"/>
          <w:szCs w:val="21"/>
        </w:rPr>
        <w:t xml:space="preserve">A.  Still opposite, because the side does not move</w:t>
      </w:r>
    </w:p>
    <w:p>
      <w:pPr>
        <w:keepNext/>
        <w:spacing w:after="20"/>
        <w:ind w:left="360"/>
      </w:pPr>
      <w:r>
        <w:rPr>
          <w:rFonts w:ascii="Arial" w:cs="Arial" w:eastAsia="Arial" w:hAnsi="Arial"/>
          <w:b/>
          <w:bCs/>
          <w:color w:val="2E7D4F"/>
          <w:sz w:val="21"/>
          <w:szCs w:val="21"/>
        </w:rPr>
        <w:t xml:space="preserve">B.  Adjacent, because it now lies next to the reference angle R</w:t>
      </w:r>
    </w:p>
    <w:p>
      <w:pPr>
        <w:keepNext/>
        <w:spacing w:after="20"/>
        <w:ind w:left="360"/>
      </w:pPr>
      <w:r>
        <w:rPr>
          <w:rFonts w:ascii="Arial" w:cs="Arial" w:eastAsia="Arial" w:hAnsi="Arial"/>
          <w:sz w:val="21"/>
          <w:szCs w:val="21"/>
        </w:rPr>
        <w:t xml:space="preserve">C.  It has no label, because it is only labelled from angle P</w:t>
      </w:r>
    </w:p>
    <w:p>
      <w:pPr>
        <w:keepNext/>
        <w:spacing w:after="20"/>
        <w:ind w:left="360"/>
      </w:pPr>
      <w:r>
        <w:rPr>
          <w:rFonts w:ascii="Arial" w:cs="Arial" w:eastAsia="Arial" w:hAnsi="Arial"/>
          <w:sz w:val="21"/>
          <w:szCs w:val="21"/>
        </w:rPr>
        <w:t xml:space="preserve">D.  Hypotenuse, because it is a side of the triangle</w:t>
      </w:r>
    </w:p>
    <w:p>
      <w:pPr>
        <w:spacing w:after="120" w:before="60"/>
      </w:pPr>
      <w:r>
        <w:rPr>
          <w:rFonts w:ascii="Arial" w:cs="Arial" w:eastAsia="Arial" w:hAnsi="Arial"/>
          <w:b/>
          <w:bCs/>
          <w:color w:val="2E7D4F"/>
          <w:sz w:val="21"/>
          <w:szCs w:val="21"/>
        </w:rPr>
        <w:t xml:space="preserve">Correct answer: B. </w:t>
      </w:r>
      <w:r>
        <w:rPr>
          <w:rFonts w:ascii="Arial" w:cs="Arial" w:eastAsia="Arial" w:hAnsi="Arial"/>
          <w:color w:val="444444"/>
          <w:sz w:val="19"/>
          <w:szCs w:val="19"/>
        </w:rPr>
        <w:t xml:space="preserve">Opposite and adjacent depend on the reference angle. From angle R, side QR touches the angle and is not the hypotenuse, so it is adjacent.</w:t>
      </w:r>
    </w:p>
    <w:p>
      <w:pPr>
        <w:keepNext/>
        <w:spacing w:after="40" w:before="200"/>
      </w:pPr>
      <w:r>
        <w:rPr>
          <w:rFonts w:ascii="Arial" w:cs="Arial" w:eastAsia="Arial" w:hAnsi="Arial"/>
          <w:color w:val="1F6B75"/>
          <w:sz w:val="16"/>
          <w:szCs w:val="16"/>
        </w:rPr>
        <w:t xml:space="preserve">USE AFTER: OBSERVE PHASE — Observe: learners open the sine table and compare table values with their computed ratios</w:t>
      </w:r>
    </w:p>
    <w:p>
      <w:pPr>
        <w:keepNext/>
        <w:spacing w:after="80"/>
      </w:pPr>
      <w:r>
        <w:rPr>
          <w:rFonts w:ascii="Arial" w:cs="Arial" w:eastAsia="Arial" w:hAnsi="Arial"/>
          <w:b/>
          <w:bCs/>
          <w:sz w:val="21"/>
          <w:szCs w:val="21"/>
        </w:rPr>
        <w:t xml:space="preserve">Q3. Two learners draw a right-angled triangle with an angle of about 35°. They measure the opposite side as 5.8 cm and the hypotenuse as 10.0 cm, so their sin 35° is 0.58. The mathematical table gives sin 35° = 0.574. What best explains the small difference?</w:t>
      </w:r>
    </w:p>
    <w:p>
      <w:pPr>
        <w:keepNext/>
        <w:spacing w:after="20"/>
        <w:ind w:left="360"/>
      </w:pPr>
      <w:r>
        <w:rPr>
          <w:rFonts w:ascii="Arial" w:cs="Arial" w:eastAsia="Arial" w:hAnsi="Arial"/>
          <w:b/>
          <w:bCs/>
          <w:color w:val="2E7D4F"/>
          <w:sz w:val="21"/>
          <w:szCs w:val="21"/>
        </w:rPr>
        <w:t xml:space="preserve">A.  Small errors in drawing and measuring the sides; the table value is the reliable one</w:t>
      </w:r>
    </w:p>
    <w:p>
      <w:pPr>
        <w:keepNext/>
        <w:spacing w:after="20"/>
        <w:ind w:left="360"/>
      </w:pPr>
      <w:r>
        <w:rPr>
          <w:rFonts w:ascii="Arial" w:cs="Arial" w:eastAsia="Arial" w:hAnsi="Arial"/>
          <w:sz w:val="21"/>
          <w:szCs w:val="21"/>
        </w:rPr>
        <w:t xml:space="preserve">B.  The table is wrong because it does not match their triangle</w:t>
      </w:r>
    </w:p>
    <w:p>
      <w:pPr>
        <w:keepNext/>
        <w:spacing w:after="20"/>
        <w:ind w:left="360"/>
      </w:pPr>
      <w:r>
        <w:rPr>
          <w:rFonts w:ascii="Arial" w:cs="Arial" w:eastAsia="Arial" w:hAnsi="Arial"/>
          <w:sz w:val="21"/>
          <w:szCs w:val="21"/>
        </w:rPr>
        <w:t xml:space="preserve">C.  Their triangle is too small, so the sine ratio changes with size</w:t>
      </w:r>
    </w:p>
    <w:p>
      <w:pPr>
        <w:keepNext/>
        <w:spacing w:after="20"/>
        <w:ind w:left="360"/>
      </w:pPr>
      <w:r>
        <w:rPr>
          <w:rFonts w:ascii="Arial" w:cs="Arial" w:eastAsia="Arial" w:hAnsi="Arial"/>
          <w:sz w:val="21"/>
          <w:szCs w:val="21"/>
        </w:rPr>
        <w:t xml:space="preserve">D.  They should have used adjacent ÷ hypotenuse for sine</w:t>
      </w:r>
    </w:p>
    <w:p>
      <w:pPr>
        <w:spacing w:after="120" w:before="60"/>
      </w:pPr>
      <w:r>
        <w:rPr>
          <w:rFonts w:ascii="Arial" w:cs="Arial" w:eastAsia="Arial" w:hAnsi="Arial"/>
          <w:b/>
          <w:bCs/>
          <w:color w:val="2E7D4F"/>
          <w:sz w:val="21"/>
          <w:szCs w:val="21"/>
        </w:rPr>
        <w:t xml:space="preserve">Correct answer: A. </w:t>
      </w:r>
      <w:r>
        <w:rPr>
          <w:rFonts w:ascii="Arial" w:cs="Arial" w:eastAsia="Arial" w:hAnsi="Arial"/>
          <w:color w:val="444444"/>
          <w:sz w:val="19"/>
          <w:szCs w:val="19"/>
        </w:rPr>
        <w:t xml:space="preserve">Sine depends only on the angle, not the triangle's size. The small gap comes from measurement error with ruler and protractor, while the table value is pre-computed and accurate.</w:t>
      </w:r>
    </w:p>
    <w:p>
      <w:pPr>
        <w:keepNext/>
        <w:spacing w:after="40" w:before="200"/>
      </w:pPr>
      <w:r>
        <w:rPr>
          <w:rFonts w:ascii="Arial" w:cs="Arial" w:eastAsia="Arial" w:hAnsi="Arial"/>
          <w:color w:val="1F6B75"/>
          <w:sz w:val="16"/>
          <w:szCs w:val="16"/>
        </w:rPr>
        <w:t xml:space="preserve">USE AFTER: EXPLAIN PHASE — Explain: SOH-CAH-TOA definitions and choosing the correct ratio</w:t>
      </w:r>
    </w:p>
    <w:p>
      <w:pPr>
        <w:keepNext/>
        <w:spacing w:after="80"/>
      </w:pPr>
      <w:r>
        <w:rPr>
          <w:rFonts w:ascii="Arial" w:cs="Arial" w:eastAsia="Arial" w:hAnsi="Arial"/>
          <w:b/>
          <w:bCs/>
          <w:sz w:val="21"/>
          <w:szCs w:val="21"/>
        </w:rPr>
        <w:t xml:space="preserve">Q4. A 10 m ladder leans against a wall and makes an angle of 60° with the ground. The ladder is the hypotenuse, and the height it reaches up the wall is the side opposite the 60° angle. Which ratio should be used to find that height?</w:t>
      </w:r>
    </w:p>
    <w:p>
      <w:pPr>
        <w:keepNext/>
        <w:spacing w:after="20"/>
        <w:ind w:left="360"/>
      </w:pPr>
      <w:r>
        <w:rPr>
          <w:rFonts w:ascii="Arial" w:cs="Arial" w:eastAsia="Arial" w:hAnsi="Arial"/>
          <w:sz w:val="21"/>
          <w:szCs w:val="21"/>
        </w:rPr>
        <w:t xml:space="preserve">A.  tan 60° = adjacent ÷ opposite</w:t>
      </w:r>
    </w:p>
    <w:p>
      <w:pPr>
        <w:keepNext/>
        <w:spacing w:after="20"/>
        <w:ind w:left="360"/>
      </w:pPr>
      <w:r>
        <w:rPr>
          <w:rFonts w:ascii="Arial" w:cs="Arial" w:eastAsia="Arial" w:hAnsi="Arial"/>
          <w:sz w:val="21"/>
          <w:szCs w:val="21"/>
        </w:rPr>
        <w:t xml:space="preserve">B.  tan 60° = opposite ÷ adjacent</w:t>
      </w:r>
    </w:p>
    <w:p>
      <w:pPr>
        <w:keepNext/>
        <w:spacing w:after="20"/>
        <w:ind w:left="360"/>
      </w:pPr>
      <w:r>
        <w:rPr>
          <w:rFonts w:ascii="Arial" w:cs="Arial" w:eastAsia="Arial" w:hAnsi="Arial"/>
          <w:b/>
          <w:bCs/>
          <w:color w:val="2E7D4F"/>
          <w:sz w:val="21"/>
          <w:szCs w:val="21"/>
        </w:rPr>
        <w:t xml:space="preserve">C.  sin 60° = opposite ÷ hypotenuse</w:t>
      </w:r>
    </w:p>
    <w:p>
      <w:pPr>
        <w:keepNext/>
        <w:spacing w:after="20"/>
        <w:ind w:left="360"/>
      </w:pPr>
      <w:r>
        <w:rPr>
          <w:rFonts w:ascii="Arial" w:cs="Arial" w:eastAsia="Arial" w:hAnsi="Arial"/>
          <w:sz w:val="21"/>
          <w:szCs w:val="21"/>
        </w:rPr>
        <w:t xml:space="preserve">D.  cos 60° = adjacent ÷ hypotenuse</w:t>
      </w:r>
    </w:p>
    <w:p>
      <w:pPr>
        <w:spacing w:after="120" w:before="60"/>
      </w:pPr>
      <w:r>
        <w:rPr>
          <w:rFonts w:ascii="Arial" w:cs="Arial" w:eastAsia="Arial" w:hAnsi="Arial"/>
          <w:b/>
          <w:bCs/>
          <w:color w:val="2E7D4F"/>
          <w:sz w:val="21"/>
          <w:szCs w:val="21"/>
        </w:rPr>
        <w:t xml:space="preserve">Correct answer: C. </w:t>
      </w:r>
      <w:r>
        <w:rPr>
          <w:rFonts w:ascii="Arial" w:cs="Arial" w:eastAsia="Arial" w:hAnsi="Arial"/>
          <w:color w:val="444444"/>
          <w:sz w:val="19"/>
          <w:szCs w:val="19"/>
        </w:rPr>
        <w:t xml:space="preserve">The known side is the hypotenuse and the wanted side is the opposite, so SOH (sine = opposite ÷ hypotenuse) is the ratio to use. Tangent would need the adjacent side, which is not given.</w:t>
      </w:r>
    </w:p>
    <w:p>
      <w:pPr>
        <w:keepNext/>
        <w:spacing w:after="40" w:before="200"/>
      </w:pPr>
      <w:r>
        <w:rPr>
          <w:rFonts w:ascii="Arial" w:cs="Arial" w:eastAsia="Arial" w:hAnsi="Arial"/>
          <w:color w:val="1F6B75"/>
          <w:sz w:val="16"/>
          <w:szCs w:val="16"/>
        </w:rPr>
        <w:t xml:space="preserve">USE AFTER: EXPLAIN PHASE — Explain: guided mast example, height = 40 × tan 50°</w:t>
      </w:r>
    </w:p>
    <w:p>
      <w:pPr>
        <w:keepNext/>
        <w:spacing w:after="80"/>
      </w:pPr>
      <w:r>
        <w:rPr>
          <w:rFonts w:ascii="Arial" w:cs="Arial" w:eastAsia="Arial" w:hAnsi="Arial"/>
          <w:b/>
          <w:bCs/>
          <w:sz w:val="21"/>
          <w:szCs w:val="21"/>
        </w:rPr>
        <w:t xml:space="preserve">Q5. A student stands 40 m from the base of a mast and measures the angle of elevation to the top as 50°. From tables, tan 50° ≈ 1.192. What is the height of the mast, to 1 decimal place?</w:t>
      </w:r>
    </w:p>
    <w:p>
      <w:pPr>
        <w:keepNext/>
        <w:spacing w:after="20"/>
        <w:ind w:left="360"/>
      </w:pPr>
      <w:r>
        <w:rPr>
          <w:rFonts w:ascii="Arial" w:cs="Arial" w:eastAsia="Arial" w:hAnsi="Arial"/>
          <w:sz w:val="21"/>
          <w:szCs w:val="21"/>
        </w:rPr>
        <w:t xml:space="preserve">A.  25.7 m</w:t>
      </w:r>
    </w:p>
    <w:p>
      <w:pPr>
        <w:keepNext/>
        <w:spacing w:after="20"/>
        <w:ind w:left="360"/>
      </w:pPr>
      <w:r>
        <w:rPr>
          <w:rFonts w:ascii="Arial" w:cs="Arial" w:eastAsia="Arial" w:hAnsi="Arial"/>
          <w:sz w:val="21"/>
          <w:szCs w:val="21"/>
        </w:rPr>
        <w:t xml:space="preserve">B.  30.6 m</w:t>
      </w:r>
    </w:p>
    <w:p>
      <w:pPr>
        <w:keepNext/>
        <w:spacing w:after="20"/>
        <w:ind w:left="360"/>
      </w:pPr>
      <w:r>
        <w:rPr>
          <w:rFonts w:ascii="Arial" w:cs="Arial" w:eastAsia="Arial" w:hAnsi="Arial"/>
          <w:sz w:val="21"/>
          <w:szCs w:val="21"/>
        </w:rPr>
        <w:t xml:space="preserve">C.  33.6 m</w:t>
      </w:r>
    </w:p>
    <w:p>
      <w:pPr>
        <w:keepNext/>
        <w:spacing w:after="20"/>
        <w:ind w:left="360"/>
      </w:pPr>
      <w:r>
        <w:rPr>
          <w:rFonts w:ascii="Arial" w:cs="Arial" w:eastAsia="Arial" w:hAnsi="Arial"/>
          <w:b/>
          <w:bCs/>
          <w:color w:val="2E7D4F"/>
          <w:sz w:val="21"/>
          <w:szCs w:val="21"/>
        </w:rPr>
        <w:t xml:space="preserve">D.  47.7 m</w:t>
      </w:r>
    </w:p>
    <w:p>
      <w:pPr>
        <w:spacing w:after="120" w:before="60"/>
      </w:pPr>
      <w:r>
        <w:rPr>
          <w:rFonts w:ascii="Arial" w:cs="Arial" w:eastAsia="Arial" w:hAnsi="Arial"/>
          <w:b/>
          <w:bCs/>
          <w:color w:val="2E7D4F"/>
          <w:sz w:val="21"/>
          <w:szCs w:val="21"/>
        </w:rPr>
        <w:t xml:space="preserve">Correct answer: D. </w:t>
      </w:r>
      <w:r>
        <w:rPr>
          <w:rFonts w:ascii="Arial" w:cs="Arial" w:eastAsia="Arial" w:hAnsi="Arial"/>
          <w:color w:val="444444"/>
          <w:sz w:val="19"/>
          <w:szCs w:val="19"/>
        </w:rPr>
        <w:t xml:space="preserve">tan 50° = height ÷ 40, so height = 40 × tan 50° = 40 × 1.192 ≈ 47.7 m. Dividing gives 33.6 m, and using sin or cos gives the other wrong values.</w:t>
      </w:r>
    </w:p>
    <w:p>
      <w:pPr>
        <w:keepNext/>
        <w:spacing w:after="40" w:before="200"/>
      </w:pPr>
      <w:r>
        <w:rPr>
          <w:rFonts w:ascii="Arial" w:cs="Arial" w:eastAsia="Arial" w:hAnsi="Arial"/>
          <w:color w:val="1F6B75"/>
          <w:sz w:val="16"/>
          <w:szCs w:val="16"/>
        </w:rPr>
        <w:t xml:space="preserve">USE AFTER: EXPLAIN PHASE — Explain: independent practice (a), the Kisumu tree problem</w:t>
      </w:r>
    </w:p>
    <w:p>
      <w:pPr>
        <w:keepNext/>
        <w:spacing w:after="80"/>
      </w:pPr>
      <w:r>
        <w:rPr>
          <w:rFonts w:ascii="Arial" w:cs="Arial" w:eastAsia="Arial" w:hAnsi="Arial"/>
          <w:b/>
          <w:bCs/>
          <w:sz w:val="21"/>
          <w:szCs w:val="21"/>
        </w:rPr>
        <w:t xml:space="preserve">Q6. A surveyor in Kisumu stands 25 m from the base of a tree and measures the angle of elevation to the top as 38°. Using tan 38° ≈ 0.781, what is the height of the tree, to 1 decimal place?</w:t>
      </w:r>
    </w:p>
    <w:p>
      <w:pPr>
        <w:keepNext/>
        <w:spacing w:after="20"/>
        <w:ind w:left="360"/>
      </w:pPr>
      <w:r>
        <w:rPr>
          <w:rFonts w:ascii="Arial" w:cs="Arial" w:eastAsia="Arial" w:hAnsi="Arial"/>
          <w:sz w:val="21"/>
          <w:szCs w:val="21"/>
        </w:rPr>
        <w:t xml:space="preserve">A.  15.4 m</w:t>
      </w:r>
    </w:p>
    <w:p>
      <w:pPr>
        <w:keepNext/>
        <w:spacing w:after="20"/>
        <w:ind w:left="360"/>
      </w:pPr>
      <w:r>
        <w:rPr>
          <w:rFonts w:ascii="Arial" w:cs="Arial" w:eastAsia="Arial" w:hAnsi="Arial"/>
          <w:sz w:val="21"/>
          <w:szCs w:val="21"/>
        </w:rPr>
        <w:t xml:space="preserve">B.  40.6 m</w:t>
      </w:r>
    </w:p>
    <w:p>
      <w:pPr>
        <w:keepNext/>
        <w:spacing w:after="20"/>
        <w:ind w:left="360"/>
      </w:pPr>
      <w:r>
        <w:rPr>
          <w:rFonts w:ascii="Arial" w:cs="Arial" w:eastAsia="Arial" w:hAnsi="Arial"/>
          <w:sz w:val="21"/>
          <w:szCs w:val="21"/>
        </w:rPr>
        <w:t xml:space="preserve">C.  32.0 m</w:t>
      </w:r>
    </w:p>
    <w:p>
      <w:pPr>
        <w:keepNext/>
        <w:spacing w:after="20"/>
        <w:ind w:left="360"/>
      </w:pPr>
      <w:r>
        <w:rPr>
          <w:rFonts w:ascii="Arial" w:cs="Arial" w:eastAsia="Arial" w:hAnsi="Arial"/>
          <w:b/>
          <w:bCs/>
          <w:color w:val="2E7D4F"/>
          <w:sz w:val="21"/>
          <w:szCs w:val="21"/>
        </w:rPr>
        <w:t xml:space="preserve">D.  19.5 m</w:t>
      </w:r>
    </w:p>
    <w:p>
      <w:pPr>
        <w:spacing w:after="120" w:before="60"/>
      </w:pPr>
      <w:r>
        <w:rPr>
          <w:rFonts w:ascii="Arial" w:cs="Arial" w:eastAsia="Arial" w:hAnsi="Arial"/>
          <w:b/>
          <w:bCs/>
          <w:color w:val="2E7D4F"/>
          <w:sz w:val="21"/>
          <w:szCs w:val="21"/>
        </w:rPr>
        <w:t xml:space="preserve">Correct answer: D. </w:t>
      </w:r>
      <w:r>
        <w:rPr>
          <w:rFonts w:ascii="Arial" w:cs="Arial" w:eastAsia="Arial" w:hAnsi="Arial"/>
          <w:color w:val="444444"/>
          <w:sz w:val="19"/>
          <w:szCs w:val="19"/>
        </w:rPr>
        <w:t xml:space="preserve">tan 38° = height ÷ 25, so height = 25 × 0.781 ≈ 19.5 m. Dividing 25 by 0.781 gives 32.0 m, which is a common error.</w:t>
      </w:r>
    </w:p>
    <w:p>
      <w:pPr>
        <w:keepNext/>
        <w:spacing w:after="40" w:before="200"/>
      </w:pPr>
      <w:r>
        <w:rPr>
          <w:rFonts w:ascii="Arial" w:cs="Arial" w:eastAsia="Arial" w:hAnsi="Arial"/>
          <w:color w:val="1F6B75"/>
          <w:sz w:val="16"/>
          <w:szCs w:val="16"/>
        </w:rPr>
        <w:t xml:space="preserve">USE AFTER: EXPLAIN PHASE — Explain: independent practice (b), back-calculating θ from sin θ = 0.643</w:t>
      </w:r>
    </w:p>
    <w:p>
      <w:pPr>
        <w:keepNext/>
        <w:spacing w:after="80"/>
      </w:pPr>
      <w:r>
        <w:rPr>
          <w:rFonts w:ascii="Arial" w:cs="Arial" w:eastAsia="Arial" w:hAnsi="Arial"/>
          <w:b/>
          <w:bCs/>
          <w:sz w:val="21"/>
          <w:szCs w:val="21"/>
        </w:rPr>
        <w:t xml:space="preserve">Q7. You know that sin θ = 0.643 for an acute angle θ and want to find θ using mathematical tables. What should you do?</w:t>
      </w:r>
    </w:p>
    <w:p>
      <w:pPr>
        <w:keepNext/>
        <w:spacing w:after="20"/>
        <w:ind w:left="360"/>
      </w:pPr>
      <w:r>
        <w:rPr>
          <w:rFonts w:ascii="Arial" w:cs="Arial" w:eastAsia="Arial" w:hAnsi="Arial"/>
          <w:sz w:val="21"/>
          <w:szCs w:val="21"/>
        </w:rPr>
        <w:t xml:space="preserve">A.  Divide 0.643 by 90 to get the angle</w:t>
      </w:r>
    </w:p>
    <w:p>
      <w:pPr>
        <w:keepNext/>
        <w:spacing w:after="20"/>
        <w:ind w:left="360"/>
      </w:pPr>
      <w:r>
        <w:rPr>
          <w:rFonts w:ascii="Arial" w:cs="Arial" w:eastAsia="Arial" w:hAnsi="Arial"/>
          <w:b/>
          <w:bCs/>
          <w:color w:val="2E7D4F"/>
          <w:sz w:val="21"/>
          <w:szCs w:val="21"/>
        </w:rPr>
        <w:t xml:space="preserve">B.  Find 0.643 in the sine table and read the angle that goes with it</w:t>
      </w:r>
    </w:p>
    <w:p>
      <w:pPr>
        <w:keepNext/>
        <w:spacing w:after="20"/>
        <w:ind w:left="360"/>
      </w:pPr>
      <w:r>
        <w:rPr>
          <w:rFonts w:ascii="Arial" w:cs="Arial" w:eastAsia="Arial" w:hAnsi="Arial"/>
          <w:sz w:val="21"/>
          <w:szCs w:val="21"/>
        </w:rPr>
        <w:t xml:space="preserve">C.  Find 0.643 in the cosine table and read the angle that goes with it</w:t>
      </w:r>
    </w:p>
    <w:p>
      <w:pPr>
        <w:keepNext/>
        <w:spacing w:after="20"/>
        <w:ind w:left="360"/>
      </w:pPr>
      <w:r>
        <w:rPr>
          <w:rFonts w:ascii="Arial" w:cs="Arial" w:eastAsia="Arial" w:hAnsi="Arial"/>
          <w:sz w:val="21"/>
          <w:szCs w:val="21"/>
        </w:rPr>
        <w:t xml:space="preserve">D.  Multiply 0.643 by 100 to get the angle in degrees</w:t>
      </w:r>
    </w:p>
    <w:p>
      <w:pPr>
        <w:spacing w:after="120" w:before="60"/>
      </w:pPr>
      <w:r>
        <w:rPr>
          <w:rFonts w:ascii="Arial" w:cs="Arial" w:eastAsia="Arial" w:hAnsi="Arial"/>
          <w:b/>
          <w:bCs/>
          <w:color w:val="2E7D4F"/>
          <w:sz w:val="21"/>
          <w:szCs w:val="21"/>
        </w:rPr>
        <w:t xml:space="preserve">Correct answer: B. </w:t>
      </w:r>
      <w:r>
        <w:rPr>
          <w:rFonts w:ascii="Arial" w:cs="Arial" w:eastAsia="Arial" w:hAnsi="Arial"/>
          <w:color w:val="444444"/>
          <w:sz w:val="19"/>
          <w:szCs w:val="19"/>
        </w:rPr>
        <w:t xml:space="preserve">Tables list each angle with its sine value, so you can work backwards by finding the given ratio in the sine column and reading the angle. Here it gives about 40°.</w:t>
      </w:r>
    </w:p>
    <w:p>
      <w:pPr>
        <w:keepNext/>
        <w:spacing w:after="40" w:before="200"/>
      </w:pPr>
      <w:r>
        <w:rPr>
          <w:rFonts w:ascii="Arial" w:cs="Arial" w:eastAsia="Arial" w:hAnsi="Arial"/>
          <w:color w:val="1F6B75"/>
          <w:sz w:val="16"/>
          <w:szCs w:val="16"/>
        </w:rPr>
        <w:t xml:space="preserve">USE AFTER: MODEL BUILDING PHASE — Model: adding sin θ, cos θ and tan θ formulas to the Lesson 1 triangle model</w:t>
      </w:r>
    </w:p>
    <w:p>
      <w:pPr>
        <w:keepNext/>
        <w:spacing w:after="80"/>
      </w:pPr>
      <w:r>
        <w:rPr>
          <w:rFonts w:ascii="Arial" w:cs="Arial" w:eastAsia="Arial" w:hAnsi="Arial"/>
          <w:b/>
          <w:bCs/>
          <w:sz w:val="21"/>
          <w:szCs w:val="21"/>
        </w:rPr>
        <w:t xml:space="preserve">Q8. You are adding ratio formulas to your right-angled triangle model, which has sides labelled opposite (O), adjacent (A) and hypotenuse (H) relative to angle θ. Which formula belongs next to the adjacent side and the hypotenuse?</w:t>
      </w:r>
    </w:p>
    <w:p>
      <w:pPr>
        <w:keepNext/>
        <w:spacing w:after="20"/>
        <w:ind w:left="360"/>
      </w:pPr>
      <w:r>
        <w:rPr>
          <w:rFonts w:ascii="Arial" w:cs="Arial" w:eastAsia="Arial" w:hAnsi="Arial"/>
          <w:sz w:val="21"/>
          <w:szCs w:val="21"/>
        </w:rPr>
        <w:t xml:space="preserve">A.  tan θ = A ÷ H</w:t>
      </w:r>
    </w:p>
    <w:p>
      <w:pPr>
        <w:keepNext/>
        <w:spacing w:after="20"/>
        <w:ind w:left="360"/>
      </w:pPr>
      <w:r>
        <w:rPr>
          <w:rFonts w:ascii="Arial" w:cs="Arial" w:eastAsia="Arial" w:hAnsi="Arial"/>
          <w:sz w:val="21"/>
          <w:szCs w:val="21"/>
        </w:rPr>
        <w:t xml:space="preserve">B.  cos θ = O ÷ H</w:t>
      </w:r>
    </w:p>
    <w:p>
      <w:pPr>
        <w:keepNext/>
        <w:spacing w:after="20"/>
        <w:ind w:left="360"/>
      </w:pPr>
      <w:r>
        <w:rPr>
          <w:rFonts w:ascii="Arial" w:cs="Arial" w:eastAsia="Arial" w:hAnsi="Arial"/>
          <w:b/>
          <w:bCs/>
          <w:color w:val="2E7D4F"/>
          <w:sz w:val="21"/>
          <w:szCs w:val="21"/>
        </w:rPr>
        <w:t xml:space="preserve">C.  cos θ = A ÷ H</w:t>
      </w:r>
    </w:p>
    <w:p>
      <w:pPr>
        <w:keepNext/>
        <w:spacing w:after="20"/>
        <w:ind w:left="360"/>
      </w:pPr>
      <w:r>
        <w:rPr>
          <w:rFonts w:ascii="Arial" w:cs="Arial" w:eastAsia="Arial" w:hAnsi="Arial"/>
          <w:sz w:val="21"/>
          <w:szCs w:val="21"/>
        </w:rPr>
        <w:t xml:space="preserve">D.  sin θ = A ÷ H</w:t>
      </w:r>
    </w:p>
    <w:p>
      <w:pPr>
        <w:spacing w:after="120" w:before="60"/>
      </w:pPr>
      <w:r>
        <w:rPr>
          <w:rFonts w:ascii="Arial" w:cs="Arial" w:eastAsia="Arial" w:hAnsi="Arial"/>
          <w:b/>
          <w:bCs/>
          <w:color w:val="2E7D4F"/>
          <w:sz w:val="21"/>
          <w:szCs w:val="21"/>
        </w:rPr>
        <w:t xml:space="preserve">Correct answer: C. </w:t>
      </w:r>
      <w:r>
        <w:rPr>
          <w:rFonts w:ascii="Arial" w:cs="Arial" w:eastAsia="Arial" w:hAnsi="Arial"/>
          <w:color w:val="444444"/>
          <w:sz w:val="19"/>
          <w:szCs w:val="19"/>
        </w:rPr>
        <w:t xml:space="preserve">Cosine is adjacent ÷ hypotenuse (CAH), so cos θ = A ÷ H goes with the adjacent side and the hypotenuse.</w:t>
      </w:r>
    </w:p>
    <w:p>
      <w:pPr>
        <w:pBdr>
          <w:top w:val="single" w:color="BBBBBB" w:sz="4" w:space="4"/>
        </w:pBdr>
        <w:spacing w:before="300"/>
      </w:pPr>
      <w:r>
        <w:rPr>
          <w:rFonts w:ascii="Arial" w:cs="Arial" w:eastAsia="Arial" w:hAnsi="Arial"/>
          <w:color w:val="666666"/>
          <w:sz w:val="16"/>
          <w:szCs w:val="16"/>
        </w:rPr>
        <w:t xml:space="preserve">© 2026 SeaVuria and ARES. Aligned with KICD objectives. Developed by SeaVuria; technical implementation by ARES (with AI assistance from Claude). Licensed under </w:t>
      </w:r>
      <w:hyperlink w:history="1" r:id="rIdosiujluvacnkt3oql3ibo">
        <w:r>
          <w:rPr>
            <w:rFonts w:ascii="Arial" w:cs="Arial" w:eastAsia="Arial" w:hAnsi="Arial"/>
            <w:color w:val="1F6B75"/>
            <w:sz w:val="16"/>
            <w:szCs w:val="16"/>
            <w:u w:val="single" w:color="1F6B75"/>
          </w:rPr>
          <w:t xml:space="preserve">CC BY-NC 4.0</w:t>
        </w:r>
      </w:hyperlink>
      <w:r>
        <w:rPr>
          <w:rFonts w:ascii="Arial" w:cs="Arial" w:eastAsia="Arial" w:hAnsi="Arial"/>
          <w:color w:val="666666"/>
          <w:sz w:val="16"/>
          <w:szCs w:val="16"/>
        </w:rPr>
        <w:t xml:space="preserve"> (</w:t>
      </w:r>
      <w:hyperlink w:history="1" r:id="rId8dlxd-ksgw5mriolbqxhj">
        <w:r>
          <w:rPr>
            <w:rFonts w:ascii="Arial" w:cs="Arial" w:eastAsia="Arial" w:hAnsi="Arial"/>
            <w:color w:val="1F6B75"/>
            <w:sz w:val="16"/>
            <w:szCs w:val="16"/>
            <w:u w:val="single" w:color="1F6B75"/>
          </w:rPr>
          <w:t xml:space="preserve">https://creativecommons.org/licenses/by-nc/4.0/</w:t>
        </w:r>
      </w:hyperlink>
      <w:r>
        <w:rPr>
          <w:rFonts w:ascii="Arial" w:cs="Arial" w:eastAsia="Arial" w:hAnsi="Arial"/>
          <w:color w:val="666666"/>
          <w:sz w:val="16"/>
          <w:szCs w:val="16"/>
        </w:rPr>
        <w:t xml:space="preserve">).</w:t>
      </w:r>
    </w:p>
    <w:sectPr>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osiujluvacnkt3oql3ibo" Type="http://schemas.openxmlformats.org/officeDocument/2006/relationships/hyperlink" Target="https://creativecommons.org/licenses/by-nc/4.0/" TargetMode="External"/><Relationship Id="rId8dlxd-ksgw5mriolbqxhj" Type="http://schemas.openxmlformats.org/officeDocument/2006/relationships/hyperlink" Target="https://creativecommons.org/licenses/by-nc/4.0/" TargetMode="Externa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2026-09-30T21:36:11.085Z</dcterms:created>
  <dcterms:modified xsi:type="dcterms:W3CDTF">2026-09-30T21:36:11.085Z</dcterms:modified>
</cp:coreProperties>
</file>

<file path=docProps/custom.xml><?xml version="1.0" encoding="utf-8"?>
<Properties xmlns="http://schemas.openxmlformats.org/officeDocument/2006/custom-properties" xmlns:vt="http://schemas.openxmlformats.org/officeDocument/2006/docPropsVTypes"/>
</file>