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CHEMISTRY GRADE 10</w:t>
      </w:r>
    </w:p>
    <w:p>
      <w:pPr>
        <w:spacing w:after="60" w:before="0"/>
        <w:jc w:val="center"/>
      </w:pPr>
      <w:r>
        <w:rPr>
          <w:rFonts w:ascii="Arial" w:cs="Arial" w:eastAsia="Arial" w:hAnsi="Arial"/>
          <w:b w:val="false"/>
          <w:bCs w:val="false"/>
          <w:i/>
          <w:iCs/>
          <w:color w:val="1F6B75"/>
          <w:sz w:val="22"/>
          <w:szCs w:val="22"/>
        </w:rPr>
        <w:t xml:space="preserve">Sub-Strand 1.4: Chemical Bonding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CHEMISTRY GRADE 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1.4: Chemical Bonding</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do the types of chemical bonds between atoms determine the structure, properties, and uses of the substances all around us?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Lesson 1 — Anchoring the Phenomenon: Why Do Salt, Graphite, Aluminium, and Diamond Behave So Differently?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four everyday substances — table salt (sodium chloride used in ugali preparation), graphite (pencil lead), aluminium (sufuria metal), and diamond — and recorded their contrasting physical behaviours: salt dissolves in water and conducts electricity when dissolved; graphite is soft, slippery, and conducts electricity; aluminium is shiny, bendable, and conducts heat; diamond is the hardest known natural substance and does not conduct electricity.</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All matter is made of atoms held together by chemical bonds, but different types of bonds produce fundamentally different large-scale (giant) structures. These structural differences — not the individual atoms alone — are responsible for the dramatically different properties we observe at the macroscopic level in substances found all around us in Kenyan daily life.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anchor phenomenon (four substances with wildly different properties) cannot yet be fully explained, but students framed the driving question and began building an initial model showing that bond type must somehow control structure, which in turn controls properties. The lesson established that answering the driving question will require understanding ionic, covalent, metallic, and intermolecular forces across all eight lessons.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Lesson 2 — Valence Electrons and the Octet Rule: Why Do Atoms Bond at All?</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used electron configuration data and dot-and-cross diagrams to examine the outer (valence) electron shells of atoms from Groups I–VII and the noble gases. They compared the stability of noble gases (full outer shells) with the reactivity of sodium, chlorine, carbon, and oxygen, and observed that atoms with incomplete outer shells are chemically active while those with complete shells (like argon) are inert.</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Atoms bond because their outer electron shells are incomplete and they seek greater stability. The octet rule states that atoms are most stable when they have 8 electrons in their outer shell (or 2 for hydrogen and lithium — the duplet rule). Valence electrons are the electrons involved in bonding, and the number of valence electrons determines how many bonds an atom can form and what type of bond it prefers to make.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octet rule provides the underlying driving force for all chemical bonding. Whether an atom transfers electrons (ionic bonding) or shares electrons (covalent bonding) depends on the electronegativity difference between the bonding atoms. This lesson links back to the anchor phenomenon by explaining why sodium and chlorine react to form salt at all — each atom is seeking a full outer shell — and sets up the mechanistic explanations for bond types in Lessons 3–6.</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Lesson 3 — Ionic Bonding: How Electron Transfer Creates the Giant Structure of Table Salt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examined dot-and-cross diagrams showing electron transfer from sodium to chlorine, then viewed a model (physical or digital) of the NaCl giant ionic lattice — each Na⁺ surrounded by six Cl⁻ and vice versa. They also observed experimental data showing that solid NaCl does not conduct electricity but molten or dissolved NaCl does, and that NaCl has a very high melting point (~801 °C).</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Ionic bonds form through complete electron transfer from a metal atom to a non-metal atom, producing oppositely charged ions (cations and anions). The strong electrostatic attraction between these ions in all directions creates a giant ionic lattice structure. This explains the high melting point (many strong bonds must be broken), brittleness (ion layers shift and like charges repel), and electrical conductivity only when ions are free to move (molten or dissolved state).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giant ionic lattice model explains the anchor phenomenon for table salt: the reason salt dissolves in water and conducts electricity as a solution is that the lattice breaks apart into free-moving Na⁺ and Cl⁻ ions. The reason it has such a high melting point is that millions of strong electrostatic attractions must be simultaneously disrupted. Students updated their driving question board and initial model to include ionic bonding as one pathway from bond type to property to use.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Lesson 4 — Covalent and Dative Covalent Bonding: Why Do Atoms Share Electrons?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drew dot-and-cross diagrams for H₂, Cl₂, H₂O, CO₂, N₂, and NH₃, identifying single, double, and triple covalent bonds. They also examined the dative (coordinate) bond in the ammonium ion (NH₄⁺), where both electrons in one bond come from the same atom (nitrogen). Students compared bond lengths and bond strengths across single, double, and triple bonds using data tables.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Covalent bonds form when two non-metal atoms share one or more pairs of electrons so that each atom achieves a full outer shell. Single bonds share one pair, double bonds share two pairs, and triple bonds share three pairs; more shared pairs means a shorter, stronger bond. In a dative covalent bond, one atom donates both electrons to the shared pair, but once formed the bond is indistinguishable from an ordinary covalent bond. Simple molecular covalent substances have low melting points because only weak intermolecular forces need to be overcome, not the strong covalent bonds themselves.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Covalent bonding explains why substances like water (maji), carbon dioxide, and nitrogen gas exist as discrete molecules rather than giant lattices. The distinction between simple molecular structures (low melting point, non-conducting) and giant covalent structures (explored in Lesson 6) is introduced here. Students updated their models to show that sharing electrons produces a different structural outcome than transferring electrons, moving them closer to a full answer to the driving question.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Lesson 5 — Hydrogen Bonds and Van der Waals Forces: Why Does Water Boil So High and Wax Melt So Low?</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compared the boiling points of water (100 °C), hydrogen sulfide (–60 °C), and candle wax (~60 °C) and discussed why water's boiling point is anomalously high for such a small molecule. They also examined data showing that ice is less dense than liquid water (explaining why fish survive under a frozen Lake Victoria surface), and observed that wax — made of large non-polar hydrocarbon molecules — melts at a relatively low temperature despite its large molecular size.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Hydrogen bonds are strong intermolecular forces that form between a δ+ hydrogen atom bonded to a highly electronegative atom (O, N, or F) and a lone pair on a neighbouring electronegative atom. They explain water's unusually high boiling point, surface tension, and the expansion of water upon freezing. Van der Waals (London dispersion) forces are weak, temporary dipole–induced dipole attractions that exist between all molecules; they increase with molecular size and explain why larger non-polar molecules like wax have higher melting points than smaller ones like methane.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Intermolecular forces complete the picture of why substances with covalent bonds can still have very different physical properties from one another. Water's hydrogen bonding is critical for life, agriculture, and Kenyan environments like Lake Victoria. Wax's weak van der Waals forces explain why it melts easily to make candles. Students updated their models and DQB to show that even within covalent substances, the strength of intermolecular forces determines melting and boiling behaviour — a second layer of the driving question answer.</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Lesson 6 — Metallic Bonding and Giant Covalent Structures: Why Is Aluminium Malleable but Diamond Unbreakable?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examined the properties of aluminium (sufuria, foil, electrical wires) and diamond side by side: aluminium conducts electricity and heat, is malleable, and melts at 660 °C; diamond does not conduct electricity (except boron-doped), is the hardest natural substance, and sublimes above 3500 °C. They also looked at graphite's layered structure and its ability to conduct electricity and act as a lubricant — contrasting it with diamond despite both being pure carbon.</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Metallic bonding consists of a regular lattice of positive metal ions surrounded by a 'sea' of delocalised (free-moving) electrons. The delocalised electrons explain electrical and thermal conductivity; the ability of ion layers to slide past each other without breaking bonds explains malleability and ductility. Giant covalent (macromolecular) structures like diamond (3D tetrahedral network of C–C bonds) and graphite (2D hexagonal layers with delocalised electrons between layers) have all atoms bonded by strong covalent bonds throughout, explaining diamond's extreme hardness and high melting point, and graphite's conductivity and lubricating properties.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Metallic bonding and giant covalent structures explain the remaining two substances in the anchor phenomenon. Aluminium's delocalised electrons make it ideal for Kenyan electrical wiring and cooking pots; diamond's unbreakable 3D covalent network makes it ideal for industrial cutting tools used in Kenyan mining. Students completed a full first draft of the comparative model showing all four bond/structure types and their linked properties, nearly ready to answer the driving question fully.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7</w:t>
            </w:r>
          </w:p>
          <w:p>
            <w:pPr>
              <w:spacing w:after="40" w:before="0"/>
              <w:jc w:val="left"/>
            </w:pPr>
            <w:r>
              <w:rPr>
                <w:rFonts w:ascii="Arial" w:cs="Arial" w:eastAsia="Arial" w:hAnsi="Arial"/>
                <w:b/>
                <w:bCs/>
                <w:i w:val="false"/>
                <w:iCs w:val="false"/>
                <w:color w:val="000000"/>
                <w:sz w:val="18"/>
                <w:szCs w:val="18"/>
              </w:rPr>
              <w:t xml:space="preserve">Lesson 7 — Investigating Physical Properties: What Does the Evidence Tell Us About Bond Type and Structure?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conducted or analysed results from a structured practical investigation testing five unknown substances (representing ionic, simple covalent, giant covalent, metallic, and hydrogen-bonding molecular types) for: (a) melting behaviour using a hot-water bath, (b) solubility in water and in a non-polar solvent, (c) electrical conductivity as solid, liquid, and in solution using a simple circuit with a bulb or LED. Results were recorded in a comparative evidence table.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Physical properties provide reliable forensic evidence for bond type and structure: ionic compounds have high melting points, are brittle, dissolve in water, and conduct only when molten or dissolved; simple covalent molecules have low melting points, may dissolve in non-polar solvents, and do not conduct; giant covalent solids have very high melting points and do not conduct (except graphite); metals conduct in all states and are malleable. The 'like dissolves like' principle (polar dissolves polar, non-polar dissolves non-polar) links to bond polarity and intermolecular forces.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evidence-based lesson reinforces that property patterns are predictable and consistent with the structural models built in Lessons 3–6. Students practised working as scientists — gathering evidence, identifying anomalies, and revising their models — mirroring how Kenyan materials scientists and chemical engineers test materials before choosing them for construction, food packaging, or medical devices. The DQB was updated with evidence-based answers rather than predictions.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8</w:t>
            </w:r>
          </w:p>
          <w:p>
            <w:pPr>
              <w:spacing w:after="40" w:before="0"/>
              <w:jc w:val="left"/>
            </w:pPr>
            <w:r>
              <w:rPr>
                <w:rFonts w:ascii="Arial" w:cs="Arial" w:eastAsia="Arial" w:hAnsi="Arial"/>
                <w:b/>
                <w:bCs/>
                <w:i w:val="false"/>
                <w:iCs w:val="false"/>
                <w:color w:val="000000"/>
                <w:sz w:val="18"/>
                <w:szCs w:val="18"/>
              </w:rPr>
              <w:t xml:space="preserve">Lesson 8 — Relating Bond Types to Uses &amp; Final Model Building: Answering Our Driving Question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examined real-world Kenyan use cases: NaCl in food preservation and oral rehydration salts (ORS) used in rural clinics; aluminium in sufuria manufacture and power transmission lines from Olkaria geothermal plant; diamond in drill bits used in Kenyan mining; graphite in pencils and as a lubricant; water's hydrogen bonding in tea (chai) preparation and agriculture in the Rift Valley; wax in Kenyan batik fabric art and candle making. They mapped each use directly to the bond type and structural property that makes the substance suitable.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Bond type determines giant structure (giant ionic lattice → NaCl; giant metallic lattice → aluminium; giant covalent 3D network → diamond; giant covalent layered network → graphite; simple molecular with H-bonds → water; simple molecular with van der Waals → wax), and structure determines the physical and chemical properties that make each substance useful or harmful in specific applications. Choosing the right material for a purpose requires understanding its bonding and structure at the particle level.</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constructed their final cumulative models — annotated diagrams linking bond type → particle arrangement → giant or simple structure → measurable properties → real Kenyan applications — and used them to answer the driving question in full: the types of chemical bonds between atoms determine the structure of a substance, its structure determines its properties, and its properties determine what it can be used for. All four anchor phenomenon substances were fully explained, and students reflected on how this understanding empowers Kenyan engineers, farmers, nutritionists, and medical workers to make better material choices.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2026-06-19T06:41:49.554Z</dcterms:created>
  <dcterms:modified xsi:type="dcterms:W3CDTF">2026-06-19T06:41:49.554Z</dcterms:modified>
</cp:coreProperties>
</file>

<file path=docProps/custom.xml><?xml version="1.0" encoding="utf-8"?>
<Properties xmlns="http://schemas.openxmlformats.org/officeDocument/2006/custom-properties" xmlns:vt="http://schemas.openxmlformats.org/officeDocument/2006/docPropsVTypes"/>
</file>