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submerged fresh leaves (e.g., from a sukuma wiki or hibiscus plant) in warm water and observed bubbles emerging from the leaf surface. They noted that bubble rate varied with light intensity, temperature, and leaf type. This concrete, puzzling observation anchors the entire unit and surfaces prior conceptions about plant gas exchange.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Gases are present inside plant leaves and can be released when the leaf is submerged in water. The rate of gas release is a measurable, variable phenomenon influenced by environmental conditions. Students learned that plants must be producing, consuming, or exchanging gases internally — setting up the need to investigate which gases, from where,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fully explain the phenomenon — productive confusion is the goal. Accept all predictions without correction; record them on the Driving Question Board (DQB). Common misconceptions to flag (but not resolve yet): 'Plants only breathe at night,' 'bubbles are just trapped air,' 'only animals respire.' Use cold-calling (minimum 4 students) to surface a range of ideas. Revisit this leaf-bubble phenomenon as the anchor in every subsequent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high-resolution diagrams) of leaf cross-sections and bark, identifying stomata with guard cells, the waxy cuticle, lenticels on woody stems, and root hair cells. They sketched and labelled each site, noting structural features that facilitate or limit gas diffusion.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(1) stomata — pores on the leaf epidermis controlled by guard cells that open/close in response to light, CO₂ concentration, and water availability; (2) the waxy cuticle — allows only limited passive diffusion; (3) lenticels — loose-packed cells in bark that permit gas exchange in woody stems and roots; (4) root hair cells — absorb dissolved oxygen from soil water for root cell respiration. Each site is structurally adapted to balance gas exchange against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stomata serve BOTH gaseous exchange AND transpiration — guard cell mechanism is a key exam point. Use the analogy of a Kenyan jiko vent: opening it increases airflow (oxygen in, CO₂ out) just as open stomata increase gas diffusion. Ask students to predict what happens to stomata at midday in Turkana versus Kericho — this previews Lesson 7 (environmental adaptations). Confirm or revise Lesson 1 DQB entries about 'where bubbles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Mechanism of Stomatal Opening and Closing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plasmolysis/deplasmolysis demonstrations (or animations) to observe how guard cells change shape when placed in distilled water versus concentrated salt solution. They also reviewed time-lapse images or data showing stomatal aperture across a 24-hour cycle for a maize plant grown in Rift Valley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Stomatal opening and closing is driven by changes in guard cell turgor pressure. When guard cells absorb water by osmosis (triggered by light and low CO₂), they swell and their thickened inner walls cause them to bow outward, opening the pore. When guard cells lose water (darkness, drought, high CO₂, abscisic acid signal), turgor falls, cells straighten, and the pore closes. This mechanism balances the plant's need for CO₂ uptake against the risk of water loss — critical for Kenyan crops during dry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guard cell turgor model is often confused with simple 'inflation.' Clarify that the asymmetric wall thickness is what causes the bowing — use a curved balloon analogy. This lesson bridges Lesson 2 (sites) to Lessons 7 and 8 (adaptations and systems). Ask: 'Why would a farmer in Machakos want maize stomata to close at noon?' (Water conservation.) Add the turgor mechanism to student cell models begun in Lesson 1. Confirm/revise relevant DQB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analysed results from two experiments: (A) germinating maize seeds in a sealed flask connected to limewater — limewater turned milky, confirming CO₂ release; (B) yeast in glucose solution under aerobic vs. anaerobic conditions — bubble rate and limewater turbidity compared. Data tables of CO₂ volume vs. time were graphed and interpreted.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 including plant cells and yeast — release energy from glucose through respiration. Aerobic respiration (C₆H₁₂O₆ + 6O₂ → 6CO₂ + 6H₂O + ~38 ATP) requires oxygen and releases more energy per glucose molecule. Anaerobic respiration (C₆H₁₂O₆ → 2C₂H₅OH + 2CO₂ + 2 ATP in yeast; or → 2C₃H₆O₃ + 2 ATP in plant/muscle cells) occurs without oxygen and yields far less ATP. Both pathways begin with glycolysis in the cytoplasm; aerobic respiration continues in the mitochondria.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frequently confuse respiration with breathing — reinforce that cellular respiration is a biochemical process occurring in every living cell, not just lungs/stomata. Write both word and symbol equations on the board; require students to balance them. The maize seed experiment directly connects to Kenyan agriculture (stored grain releasing heat and CO₂ in silos). Highlight that plant cells switch between aerobic and anaerobic pathways depending on O₂ availability — a concept revisited in flooded-soil scenarios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or set up a demonstration fermentation using maize flour/sorghum and yeast (mimicking traditional busaa brewing). They tested the gas produced with a glowing splint (CO₂ extinguishes it) and smelled/identified ethanol. A second context — biogas digesters used by Kenyan smallholder farmers — was analysed via a case study diagram showing organic waste → methane + CO₂ production.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occurs in the absence of oxygen, producing ethanol and CO₂ in yeast/fermentation (applied in busaa, commercial alcohol, and bread-making with mandazi dough) or lactic acid in plant cells under waterlogging. In industrial and agricultural contexts, anaerobic respiration by microorganisms produces biogas (methane + CO₂) from organic waste — an increasingly important renewable energy source for rural Kenyan homes. Only 2 ATP molecules are produced per glucose (vs. ~38 in aerobic), so anaerobic respiration is energy-inefficient but essential when oxygen is unavailable.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busaa/fermentation context is highly culturally relevant and motivates engagement — use it to celebrate indigenous Kenyan knowledge while grounding it in biochemistry. Ensure students articulate the trade-off: speed of energy release vs. efficiency (ATP yield). Connect to real-world Kenyan agricultural problems: waterlogged rice or sugarcane fields in Western Kenya undergo anaerobic respiration, producing lactic acid that can damage root cells. Add fermentation/biogas applications to the cumulative class model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how temperature affects CO₂ output from germinating beans (njahi) placed in water baths at 10°C, 25°C, 37°C, and 50°C. They recorded CO₂ volumes over time, plotted rate-vs-temperature curves, and identified the optimal temperature range and the point of enzyme denaturation.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in plants is influenced by: (1) temperature — rate increases with temperature (Q₁₀ ≈ 2) up to an optimum (~35–40°C for most Kenyan crop plants) then drops sharply as respiratory enzymes denature; (2) oxygen availability — higher O₂ favours aerobic over anaerobic respiration, increasing ATP yield; (3) glucose/substrate availability — more substrate means more respiration up to the enzyme saturation point; (4) age and metabolic activity of tissue — young, actively growing tissues (e.g., root tips, germinating seeds) respire faster than mature tissues. These factors collectively explain why stored maize grain must be kept cool and dry to limit spoilage.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Students often incorrectly state that 'plants stop respiring in cold weather' — clarify that the rate decreases but does not stop above 0°C. The bean/njahi experiment mirrors realistic post-harvest storage scenarios familiar to Kenyan farming families. Emphasise the enzyme basis of the temperature effect (activation energy, denaturation) — this links to the Biochemistry strand. Require students to annotate their rate-vs-temperature graphs with biological explanations at each curve feature (rising phase, optimum, falling phase).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leaf specimens or detailed diagrams from three contrasting Kenyan environments: (A) xerophyte — cactus or sisal from Turkana (sunken stomata, thick cuticle, reduced leaf area); (B) mesophyte — tea plant from Kericho (broad lamina, numerous stomata on lower epidermis); (C) hydrophyte — water hyacinth or lotus from Lake Victoria (stomata on upper surface, large air spaces — aerenchyma). They recorded structural differences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Gaseous-exchange adaptations vary systematically with environment. Xerophytes minimise water loss while maintaining CO₂ uptake: sunken stomata create a humid microclimate, thick cuticles reduce cuticular transpiration, and stomata open only at night in CAM plants. Mesophytes balance gas exchange and water loss under moderate conditions. Hydrophytes maximise O₂ distribution to submerged tissues via aerenchyma (large intercellular air spaces), and their stomata are positioned on the upper (aerial) surface where air contact is greatest. Each adaptation is a direct structural response to the gas-exchange/water-loss trade-off introduced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Use the Turkana–Kericho–Lake Victoria transect as a memorable geographic framework — students can visualise the rainfall/humidity gradient across Kenya. Require students to explain each adaptation in functional terms ('sunken stomata reduce water loss BY creating a humid diffusion shell'), not just list structural features. This lesson directly revisits and extends Lessons 2 and 3 (stomata mechanism) and previews the systems synthesis in Lesson 8. Update the cumulative model to include environmental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dual-axis graph showing CO₂ uptake/release and O₂ release/uptake in a maize plant over a 24-hour period (day/night cycle). They identified the compensation point (where photosynthesis rate = respiration rate), the period of net O₂ release, and the continuous baseline of respiration. A systems diagram linking all three processes was constructed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gaseous exchange, and cellular respiration are not isolated processes but an interdependent system. CO₂ produced by respiration is the substrate for photosynthesis; O₂ produced by photosynthesis is the substrate for aerobic respiration; glucose synthesised in photosynthesis is the fuel for respiration. Stomata regulate the entry of CO₂ and exit of O₂/water vapour, linking gaseous exchange to both photosynthesis and transpiration. At the compensation point, gross photosynthesis equals total respiration — a measurable indicator of plant productivity used by agronomists studying Kenyan tea and maize yields.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compensation point concept is a KICD exam favourite — ensure students can read it off a graph and explain it biologically. The 24-hour CO₂/O₂ curve should be explicitly connected back to the Lesson 1 anchor: 'Now we can fully explain why bubbles emerge from the leaf in light but not in darkness.' This is the conceptual climax lesson — all prior lessons feed into this synthesis. Require each student group to present one linkage arrow in the systems diagram and justify it with evidence from previous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fermentation results from Lesson 5 and examined a set of possible local variables: type of sugar source (white sugar vs. ripe banana vs. maize starch), yeast concentration, temperature (room temperature vs. near a jiko), and presence/absence of oxygen (sealed vs. open flask). They used these to draft testable hypotheses and full experimental plans including variables, controls, data collection methods, and safety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the process by which cells release energy from glucose in the absence of oxygen; in yeast, the products are ethanol and CO₂ (detectable by limewater or a displacement-of-water gas collection tube). A valid scientific investigation requires a clear independent variable, controlled variables, a control experiment, repeated trials, and quantitative data. Students learned to operationalise abstract variables (e.g., 'sugar availability' becomes 'mass of sugar in grams per 100 mL of water') — a key science and engineering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planning lesson — no results are collected yet. The teacher's role is to probe for flaws in student plans using Socratic questioning: 'What will you keep the same? How will you measure CO₂ fairly? What is your control?' Insist that every group writes a risk assessment (e.g., ethanol flammability, glassware breakage). Local materials (banana, maize flour, sugar cane juice) make the investigation low-cost and contextually authentic for Kenyan school laboratories. Approve plans before Lesson 10 execution.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executed their approved investigation plans from Lesson 9, actively controlling variables and recording quantitative data (e.g., volume of CO₂ collected in mL per minute, limewater turbidity rating, or bubble count per minute) in prepared results tables. Mid-experiment checks were conducted by the teacher to ensure fair-test conditions were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practised identifying and responding to unexpected results (anomalous data), distinguishing between measurement error and genuine biological variation, and maintaining accurate, honest scientific records — core components of the NGSS Science and Engineering Practice of 'Planning and Carrying Out Investigations.'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Circulate continuously during this lesson — prioritise groups whose setups show uncontrolled variables or data recording errors. Prompt with: 'Is your temperature the same as Group 3's? How do you know?' Do NOT correct anomalous results for students; instead ask 'What might have caused that reading?' to model scientific thinking. Remind students that results will be presented in Lesson 11 — they must have clean, complete data tables and at least one graph sketched before the lesson ends. This lesson builds the habits of precision and honesty central to KICD's Scientific Inquiry competency.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&amp; Peer Review: What Did Our Investigations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investigation findings using graphs, data tables, and conclusions drawn from their Lesson 10 experiments. Peer groups used a structured review rubric to evaluate: clarity of hypothesis, validity of method, accuracy of data presentation, and strength of evidence-based conclusions. Class data from all groups were aggregated to identify patterns across different experimental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conclusions must be supported by evidence and linked explicitly to the original hypothesis. When multiple groups investigate different variables (e.g., temperature vs. sugar concentration vs. yeast amount), aggregating class data reveals a more complete picture of the factors affecting anaerobic respiration rate. Students learned to distinguish between a conclusion ('higher temperature increased CO₂ output up to 37°C') and an inference ('this suggests enzyme activity increases with temperature'). Peer review — a standard practice in professional science — improves the reliability and credibility of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Structure presentations as 3-minute slots with 2 minutes of peer questions — enforce time limits. The teacher's role is to facilitate cross-group comparison: 'Group 2 found temperature had a large effect; Group 4 found sugar concentration had a larger effect — how do we reconcile these?' Push students to use the word equations and ATP concepts from Lessons 4 and 5 in their explanations. This lesson mirrors the KICD formative assessment requirement for project-based learning. Add key findings to the DQB as confirmed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Lesson 1 anchor phenomenon (leaf bubbles in water) and produced a final, fully annotated explanatory model — either as a diagram, concept map, or written explanation — addressing the full driving question. DQB entries were reviewed: original predictions were confirmed, revised, or marked as 'still investigating.' A unit review activity connected all 11 prior lessons into a coherent narrative.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controlled by guard cells. The gases in the bubbles are CO₂ (produced by cellular respiration in all leaf cells) and O₂ (produced by photosynthesis in light). The rate of bubbling reflects the balance between photosynthesis and respiration, which changes with light, temperature, and O₂ availability. Plants 'breathe' through stomata, lenticels, and root surfaces; their cells release energy through aerobic respiration (high ATP yield) and can switch to anaerobic respiration (low ATP yield) when O₂ is scarce. All three processes — photosynthesis, gaseous exchange, and cellular respiration — form an interdependent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explicitly a CLOSURE lesson — its purpose is to consolidate, not introduce new content. The teacher should cold-call students to explain each DQB entry in their own words before marking it resolved. Require every student to write a 'final answer' to the driving question in their notebook as a formative assessment artefact. Celebrate growth: display Lesson 1 predictions alongside Lesson 12 models to make learning visible. Flag any remaining misconceptions for remediation. Connect to KICD values: scientific curiosity, environmental responsibility (stomatal adaptation to climate change), and community relevance (biogas, fermentation).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2026-06-30T05:42:46.030Z</dcterms:created>
  <dcterms:modified xsi:type="dcterms:W3CDTF">2026-06-30T05:42:46.030Z</dcterms:modified>
</cp:coreProperties>
</file>

<file path=docProps/custom.xml><?xml version="1.0" encoding="utf-8"?>
<Properties xmlns="http://schemas.openxmlformats.org/officeDocument/2006/custom-properties" xmlns:vt="http://schemas.openxmlformats.org/officeDocument/2006/docPropsVTypes"/>
</file>