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1.4: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Carbon Paradox: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or viewed images of diamond (transparent, extremely hard, used in Nairobi jewellery shops and industrial drill bits) and graphite (grey, soft, slippery, used in pencil 'leads'). They recorded contrasting physical properties — hardness, colour, texture, conductivity — and noted the paradox that both substances are made of only carbon atoms.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and graphite are allotropes of carbon: same element, same atomic number (6), yet dramatically different physical properties. The difference cannot come from the atoms themselves — it must come from HOW those atoms are connected to each other. This launches the sub-strand's central question: bond arrangement, not atomic identity, governs a substance's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intentionally light on answers — its purpose is to generate productive confusion and anchor all future learning to a concrete, memorable phenomenon. Resist the urge to explain bonding yet. Instead, cold-call 3–4 students to articulate what is puzzling them and record their questions on the Driving Question Board. The phrase 'same atoms, different arrangement' should be the only explanatory seed planted 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Valence Electrons &amp; the Octet Rule: The Electron Bookkeeping Behind the Carbon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period-table period numbers and group numbers to determine valence electron counts for H, C, N, O, Na, Mg, Cl, and Ar. They drew dot-and-cross (Lewis dot) diagrams for individual atoms and observed that noble gases (full outer shells) are chemically inert, while other atoms have incomplete outer shells.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 those in the outermost energy level — are the only electrons involved in bonding. Atoms bond in order to achieve a full outer shell: 8 electrons (the octet rule) for most elements, or 2 electrons (duplet rule) for hydrogen and helium. Carbon has exactly 4 valence electrons, giving it unique flexibility: it can form 4 bonds in multiple geometric arrangements — the root cause of the diamond–graphite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the octet rule is a useful model, not an absolute law (exceptions such as PCl₅ exist but are beyond Grade 10 scope). Use the carbon atom as the recurring anchor: ask students, 'If carbon has 4 valence electrons and needs 4 more to complete its octet, what are its bonding options?' Allow 30 seconds of wait time before cold-calling. This question should remain open and be revisited in Lessons 3, 4, and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Electron Transfer and the Giant Ionic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properties of sodium chloride (table salt — familiar from salting ugali and nyama choma): white crystalline solid, high melting point, brittle when struck, conducts electricity only when dissolved in water or melted. They also observed the flame test colours for Na⁺ (yellow) and the vigorous reaction of sodium metal with water (teacher demonstration or video).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when a metal atom transfers one or more valence electrons to a non-metal atom, forming oppositely charged ions held together by strong electrostatic attraction. NaCl forms a giant ionic lattice — a three-dimensional array of alternating Na⁺ and Cl⁻ ions. This lattice structure explains NaCl's high melting point (strong forces between many ions), brittleness (ion layers shift and like charges repel), and conductivity only in solution or melt (ions must be free to move). Ionic bonding is distinct from covalent bonding because electrons are transferred, not shared.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Contrast ionic bonding explicitly with what students will learn about carbon in Lessons 4 and 10. Ask: 'Carbon does NOT form ionic bonds in diamond or graphite — why not?' (Carbon is a non-metal and has equal electronegativity to itself, so electron transfer does not occur.) This keeps the driving question alive. Use dot-and-cross diagrams to show electron transfer for NaCl and MgO. Cold-call 2 students to explain why ionic compounds do not conduct in the solid state using particle-level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Covalent &amp; Dative Covalent Bonding: Drawing Lewis Structures and Exploring Electron Sharing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Lewis (dot-and-cross) structures for H₂, Cl₂, H₂O, NH₃, CO₂, and CH₄. They observed that carbon in CH₄ forms exactly 4 shared pairs, achieving a full octet. They also examined the dative (coordinate) bond in NH₄⁺, where nitrogen donates both electrons of a lone pair to form a bond with 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Covalent bonds form when two atoms share one or more pairs of electrons, with each atom typically contributing one electron to the shared pair. A dative (coordinate) covalent bond is a special case where one atom donates BOTH electrons of the shared pair. Bond order (single, double, triple) increases bond strength and decreases bond length. Carbon's 4 valence electrons allow it to form 4 covalent bonds — this flexibility is the foundation for understanding why diamond and graphite have different structures: both use covalent bonds, but the geometry and number of bonds per atom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critical pedagogical move here is to withhold the full diamond/graphite explanation. Students now know carbon forms 4 covalent bonds — but HOW those bonds are arranged in 3-D space is the key, which is addressed in Lessons 10 and 12. Pose the question: 'Carbon forms 4 covalent bonds in both diamond and graphite — so why are they different?' and add it to the Driving Question Board. Allow students to make predictions. This productive uncertainty deepens engagement with Lesson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Hydrogen Bonding &amp; Van der Waals Forces: Why Water Defies Expectation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boiling points of H₂O (100 °C), H₂S (−60 °C), HCl (−85 °C), and CH₄ (−161 °C). They noted that water has an anomalously high boiling point relative to its molar mass. They also observed water's surface tension (a paper clip floating on water in a beaker — a familiar sight at Kenyan household water containers) and water's ability to dissolve ionic compounds like NaCl.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Intermolecular forces are attractions between molecules, distinct from the covalent bonds within molecules. Van der Waals forces (London dispersion forces and permanent dipole–dipole interactions) are weak, temporary or permanent electrostatic attractions present in all molecules; they increase with molecular mass and surface area. Hydrogen bonds are a stronger type of intermolecular force that form when hydrogen is covalently bonded to a highly electronegative atom (N, O, or F) and is attracted to a lone pair on a neighbouring N, O, or F. Water's two O–H bonds and two lone pairs allow it to form an extensive hydrogen-bond network, explaining its high boiling point, high specific heat capacity, and role as the 'solvent of life' — critical for understanding Lake Victoria's climate-moderating effect.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hydrogen bonds are intermolecular (between molecules), NOT intramolecular (within a molecule) — this is a persistent student misconception. Use a think-pair-share: 'Why does water have a higher boiling point than hydrogen sulfide, even though H₂S has a greater molar mass?' Allow 60 seconds pair discussion before cold-calling. Connect to daily Kenyan life: the fact that uji (porridge) takes a long time to cool is partly due to water's high specific heat capacity, itself a consequence of hydrogen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Metallic Bonding: The Sea of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physical properties of metals available in the Kenyan context — iron (from a jua kali workshop tool), copper wire (from electrical wiring), aluminium foil (used to wrap nyama choma). They recorded that metals are lustrous, malleable, ductile, good conductors of heat and electricity, and generally have high melting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bonds form in solid metals when metal atoms release their valence electrons into a shared, delocalised 'sea of electrons' that surrounds a lattice of positive metal ions (cations). The strong electrostatic attraction between the positive ion lattice and the mobile electron sea accounts for metals' characteristic properties: high melting points (strong attraction throughout the lattice), electrical conductivity (free electrons carry charge), thermal conductivity (free electrons transfer kinetic energy), malleability and ductility (ion layers slide without breaking the non-directional metallic bond), and metallic lustre (free electrons absorb and re-emit light). Metallic bonding is a third distinct bond type alongside ionic and covalent — and like giant ionic and giant covalent structures, the giant metallic structure involves a vast 3-D lattice held together by strong forces throughout.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completes the trio of primary bond types (ionic, covalent, metallic) before students investigate physical properties experimentally in Lessons 7–8. Explicitly ask students to compare and contrast the 'sea of electrons' model with the ionic and covalent models they already know. A useful cold-call prompt: 'A copper wire conducts electricity — a giant ionic lattice of NaCl does not — use particle-level reasoning to explain why.' Wait 45 seconds before taking responses. Add to the Driving Question Board: 'How does the sea of electrons explain why we can bend a copper wire but not a salt crystal?'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Physical Properties Investigation — Part 1: Setup &amp; Prediction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four substances to be investigated: NaCl (giant ionic), candle wax (simple molecular), sand/SiO₂ (giant covalent), and copper wire (giant metallic). They recorded initial observations (appearance, feel, colour) and made written predictions about each substance's melting point range (low/medium/high), solubility in water, and electrical conductivity in solid and dissolved states, justifying each prediction using their knowledge of bond types from Lessons 2–6.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structural type — giant ionic, simple molecular, giant covalent, and giant metallic — has a characteristic pattern of physical properties that can be predicted from the nature and strength of the forces that must be overcome. Giant structures (ionic, covalent, metallic) all require breaking many strong bonds throughout a lattice and therefore have high melting points; simple molecular substances require only overcoming weak intermolecular forces and therefore have low melting points. Conductivity depends on the presence of freely moving charged particles — ions or electrons. Making and justifying predictions before collecting data is a core scientific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a prediction-only lesson — data collection occurs in Lesson 8. The pedagogical value lies in students committing to written predictions with reasoning BEFORE they see results. This creates cognitive investment and makes discrepancies between prediction and observation more memorable. Circulate and check prediction tables; look for students who conflate 'melting the solid' with 'dissolving in water' for ionic compounds — this is a common misconception to address in Lesson 8. Do NOT correct predictions at this stage; allow the experiment to do that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Physical Properties Investigation — Part 2: Data Collection (Solubility, Conductivity &amp; Melting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the four substances (NaCl, candle wax, SiO₂/sand, copper wire) for: (1) solubility in water, (2) electrical conductivity as a solid and in solution/melt using a simple circuit with a bulb or LED, and (3) relative melting behaviour using a hot-water bath or candle flame. They recorded results in a data table and compared findings with their Lesson 7 predictions.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Bond type determines physical properties in predictable ways: ionic compounds (NaCl) conduct only when dissolved or melted because ions become free to move; in the solid state, ions are fixed in the lattice. Simple molecular substances (candle wax) have low melting points because only weak van der Waals forces between molecules must be overcome; covalent bonds within molecules are not broken on melting. Giant covalent structures (SiO₂/sand) have very high melting points because every atom is held by strong covalent bonds throughout the lattice. Giant metallic structures (copper) conduct in both solid and liquid states because delocalised electrons are always free to move. These empirical patterns confirm and extend the theoretical models built in Lessons 3–6.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After data collection, run a 'claim–evidence–reasoning' (CER) discussion: select 2–3 student groups to present one result each, explicitly naming the claim, their evidence, and the reasoning that connects evidence to claim. Pay particular attention to NaCl conductivity — many students predict it will conduct as a solid. Use this as a teachable moment: ask 'What would the ions need to do in order to carry charge, and can they do that in a rigid lattice?' Connect back to the driving question: 'We now have a tool — bond type predicts properties. How does this help us start explaining diamond vs. graphite?'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Giant Covalent Structures: Diamond, Graphite, and Silicon Dioxide in Depth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where available, physical samples or 3-D model images of diamond, graphite, and SiO₂ (quartz/sand). They annotated diagrams to show bond angles (109.5° tetrahedral in diamond; 120° trigonal planar within graphite layers), the number of covalent bonds per carbon atom in each allotrope (4 in diamond; 3 in graphite, with 1 delocalised electron per atom), and the presence or absence of free electrons.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graphite, and SiO₂ are all giant covalent structures — three-dimensional networks in which every atom is linked to its neighbours by strong covalent bonds — which is why they all have very high melting points and are insoluble in water. However, their internal geometries differ critically: in diamond, each carbon forms 4 tetrahedral covalent bonds to 4 neighbours, creating a rigid, isotropic 3-D lattice with no free electrons (hence non-conductive, hardest natural substance). In graphite, each carbon forms 3 bonds in a flat hexagonal layer; the 4th valence electron is delocalised across the layer (hence conducts electricity within layers). The weak van der Waals forces between graphite layers allow them to slide (hence soft, lubricating, and used in pencil leads). In SiO₂, each Si forms 4 bonds to O atoms — similar geometry to diamond, explaining its hardness and high melting point but non-conductivity.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the conceptual resolution lesson for the driving question — students now have the full answer to the carbon paradox. Use a direct 'return to the phenomenon' moment: display the diamond and graphite images from Lesson 1 side by side and ask students to write a full explanation in their own words before class discussion. Cold-call 2 students to give their explanations; use peer critique ('What did they include? What could be added?'). Emphasise that both allotropes are 'giant covalent' but the 3-D geometry of bonds — not the bond type alone — determines the property differences. This is the sub-strand's central learning breakthrough.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Resultant Structures &amp; Uses: From Bond Type to Real-World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matched real-world materials and applications to their bond types and structural features: diamond (industrial drill bits used in Kenyan mining operations, gemstones), graphite (pencil leads, dry lubricants, electrodes in electrolysis), SiO₂ (glass, optical fibres for Nairobi's internet infrastructure, ceramic tiles), NaCl (food preservation of fish at Lake Victoria, saline drips in hospitals), copper (electrical wiring throughout Kenya's national grid), and simple molecular substances (iodine as antiseptic, candle wax, plastics).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material's real-world application is directly determined by its bond type and resultant structure: diamond's rigid tetrahedral lattice (no free electrons, no cleavage planes) makes it ideal for cutting and drilling; graphite's layered structure with delocalised electrons makes it an excellent lubricant and electrode; SiO₂'s giant covalent network gives glass and optical fibres their transparency and durability; NaCl's giant ionic lattice dissolves readily in water, enabling its use in food preservation and medicine; copper's metallic sea of electrons provides the conductivity and malleability needed for electrical wiring. The principle 'structure determines properties; properties determine use' is the master organising idea of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the 'payoff' for all prior content and should feel integrative and satisfying. A recommended activity is a 'Design a Material' challenge: give student pairs a real Kenyan engineering problem (e.g., 'A Rift Valley geothermal plant needs a material for high-temperature drill bits — what bond type and structure do you recommend, and why?') and have them justify their answer in writing. This develops both higher-order thinking and real-world relevance. Add the completed 'structure → properties → use' chain to the Driving Question Board as the sub-strand's master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Animations, Simulations &amp; Digital Literacy: Seeing Chemical Bonding in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digital simulations (PhET 'Build a Molecule', ARES platform animations, or teacher-projected 3-D models) to visualise the tetrahedral network of diamond, the layered hexagonal lattice of graphite, the ionic lattice of NaCl, and the electron-sea model of copper. They annotated screenshots or sketches with labels identifying bond type, geometry, and the structural feature that explains a key property.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Digital simulations and animations allow students to 'see' structural features that are impossible to observe directly — bond angles, lattice repeating units, electron delocalisation, and layer separation. Critically evaluating a simulation (identifying what it accurately models and what it simplifies or omits) is a scientific and digital literacy skill. For example, 3-D models of graphite show layers as perfectly flat and equidistant, whereas real graphite has slight interlayer disorder — the simulation is a useful approximation, not a perfect replica. Students practised cross-referencing simulation outputs with data tables from Lesson 8 to check for consistency.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For schools without reliable internet, pre-downloaded ARES platform animations or printed 3-D diagram sheets can replace live simulations. The key pedagogical goal is not technology use per se but the habit of triangulating multiple representations — diagram, simulation, physical data, and written explanation — as practised scientists do. Ask students: 'What does this simulation help you understand that a 2-D diagram cannot show?' Cold-call 2 students. Also prompt: 'What does the simulation NOT show that you would need to know to fully explain graphite's conductivity?' (Answer: it does not show electron movement.)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Project Lesson — 3-D Model Building: Bonding Structures with Locally Available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3-D models of assigned bonding structures (diamond, graphite, NaCl ionic lattice, or a simple molecular substance such as CH₄ or H₂O) using locally available materials: maize cobs or mandazi pieces as atoms, matchsticks or toothpicks as bonds, wire or string for metallic/delocalised electron representation. They measured or estimated bond angles in their models and presented them to the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three-dimensional geometry of chemical bonds — 109.5° tetrahedral in diamond and SiO₂, 120° trigonal planar within graphite layers — cannot be fully appreciated from 2-D diagrams alone. Building a physical model makes bond angles, coordination numbers, and spatial relationships tangible and memorable. Students also learned that all models are simplifications: a maize-cob-and-matchstick model cannot show electron density, bond polarity, or thermal vibration, and acknowledging a model's limitations is part of scientific modelling practice. Cross-group comparison of diamond and graphite models provided a final visual confirmation of the driving question's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Assign structures strategically — ensure at least two groups build diamond and two build graphite so a direct side-by-side comparison is possible during presentations. During the gallery walk or presentation phase, require each group to state: (1) the bond type in their structure, (2) one physical property their model helps explain, and (3) one real-world Kenyan use of the substance. This ties project work back to sub-strand learning goals. Assess models formatively using a simple three-point rubric: accuracy of geometry, correctness of bond type representation, and quality of oral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13</w:t>
            </w:r>
          </w:p>
          <w:p>
            <w:pPr>
              <w:spacing w:after="40" w:before="0"/>
              <w:jc w:val="left"/>
            </w:pPr>
            <w:r>
              <w:rPr>
                <w:rFonts w:ascii="Arial" w:cs="Arial" w:eastAsia="Arial" w:hAnsi="Arial"/>
                <w:b/>
                <w:bCs/>
                <w:i w:val="false"/>
                <w:iCs w:val="false"/>
                <w:color w:val="000000"/>
                <w:sz w:val="18"/>
                <w:szCs w:val="18"/>
              </w:rPr>
              <w:t xml:space="preserve">Sub-Strand Review &amp; Assessment: Consolidating the Carbon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Driving Question Board compiled across all 12 previous lessons, reviewing how each posted question was eventually answered. They completed a structured sub-strand review activity — matching bond types to properties, explaining the diamond–graphite paradox in full written sentences, and evaluating a novel material (e.g., silicon carbide used in Kenyan solar panel components) by predicting its properties from its giant covalent structure.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major concepts of Sub-Strand 1.4 are now integrated into a coherent explanatory framework: bond type (ionic, covalent — including dative, hydrogen bonding, van der Waals, metallic) determines the resultant structure (giant ionic, simple molecular, giant covalent, giant metallic), which in turn determines physical properties (melting point, solubility, conductivity, hardness), which in turn determines real-world applications. The diamond–graphite paradox is fully explained: same atoms (carbon), same bond type (covalent), but different 3-D geometry (4 bonds tetrahedral vs. 3 bonds trigonal planar with delocalised electrons) produces entirely different properties and 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serves as both consolidation and formative/summative assessment. The Driving Question Board review is a powerful metacognitive tool — walk through it chronologically with the class, asking 'Which lesson answered this question?' to make learning progression visible. For the novel-material transfer task (silicon carbide), do NOT pre-teach — the ability to apply the 'structure → properties → use' framework to an unfamiliar substance is the target competency for Grade 10 CBE. Collect written explanations as an assessment artefact. Celebrate students who can articulate that the sub-strand's answer is not just about carbon, but about a universal principle: arrangement of bonds determines the identity of a material.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2026-07-05T21:56:39.914Z</dcterms:created>
  <dcterms:modified xsi:type="dcterms:W3CDTF">2026-07-05T21:56:39.914Z</dcterms:modified>
</cp:coreProperties>
</file>

<file path=docProps/custom.xml><?xml version="1.0" encoding="utf-8"?>
<Properties xmlns="http://schemas.openxmlformats.org/officeDocument/2006/custom-properties" xmlns:vt="http://schemas.openxmlformats.org/officeDocument/2006/docPropsVTypes"/>
</file>