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Summary Table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PURPOSE STATEMENT</w:t>
            </w:r>
          </w:p>
        </w:tc>
      </w:tr>
      <w:tr>
        <w:tc>
          <w:tcPr>
            <w:tcW w:type="dxa" w:w="13680"/>
            <w:shd w:val="clear" w:color="auto" w:fill="FFFFFF"/>
          </w:tcPr>
          <w:p>
            <w:pPr>
              <w:spacing w:before="20" w:after="20"/>
              <w:jc w:val="left"/>
            </w:pPr>
            <w:r>
              <w:rPr>
                <w:rFonts w:ascii="Arial" w:hAnsi="Arial"/>
                <w:b w:val="0"/>
                <w:i w:val="0"/>
                <w:color w:val="000000"/>
                <w:sz w:val="18"/>
              </w:rPr>
              <w:t>For Students:</w:t>
              <w:br/>
              <w:t>This Summary Table is your learning companion throughout Sub-Strand 1.4. Use it to track your observations, connect new ideas to what you already know, and build a complete explanation for everyday thermal phenomena. By the end of this unit, you’ll be able to explain why materials change size with temperature and how engineers design safe structures and devices using this knowledge.</w:t>
            </w:r>
          </w:p>
          <w:p>
            <w:pPr>
              <w:spacing w:before="20" w:after="20"/>
              <w:jc w:val="left"/>
            </w:pPr>
            <w:r>
              <w:rPr>
                <w:rFonts w:ascii="Arial" w:hAnsi="Arial"/>
                <w:b w:val="0"/>
                <w:i w:val="0"/>
                <w:color w:val="000000"/>
                <w:sz w:val="18"/>
              </w:rPr>
              <w:t>For Teachers:</w:t>
              <w:br/>
              <w:t>This tool supports formative assessment by making student thinking visible across the learning progression. Use it to identify misconceptions early, monitor conceptual development, and guide instructional decisions. The completed table provides evidence of three-dimensional learning (SEPs, DCIs, and CCCs) and readiness for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SUMMARY TABLE: PHYSICS GRADE 10 --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SUMMARY TABLE</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Temperature and Thermal Expansion</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Why do materials change size when temperature changes — and how do engineers use this to keep us safe?</w:t>
            </w:r>
          </w:p>
        </w:tc>
      </w:tr>
      <w:tr>
        <w:tc>
          <w:tcPr>
            <w:tcW w:type="dxa" w:w="2999"/>
            <w:shd w:val="clear" w:color="auto" w:fill="FCE4D6"/>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tightly sealed metal sufuria lid won't budge — but after running hot water over it for 10 seconds, it opens easily. Also: a glass bottle full of water placed in a freezer cracks overnight.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HOW TO USE THIS TABLE</w:t>
            </w:r>
          </w:p>
        </w:tc>
      </w:tr>
      <w:tr>
        <w:tc>
          <w:tcPr>
            <w:tcW w:type="dxa" w:w="13680"/>
            <w:shd w:val="clear" w:color="auto" w:fill="FFFFFF"/>
          </w:tcPr>
          <w:p>
            <w:pPr>
              <w:spacing w:before="20" w:after="20"/>
              <w:ind w:left="240"/>
              <w:jc w:val="left"/>
            </w:pPr>
            <w:r>
              <w:rPr>
                <w:rFonts w:ascii="Arial" w:hAnsi="Arial"/>
                <w:b w:val="0"/>
                <w:i w:val="0"/>
                <w:color w:val="000000"/>
                <w:sz w:val="18"/>
              </w:rPr>
              <w:t>• 1. Complete one row after each lesson (or as directed by your teacher).</w:t>
            </w:r>
          </w:p>
          <w:p>
            <w:pPr>
              <w:spacing w:before="20" w:after="20"/>
              <w:ind w:left="240"/>
              <w:jc w:val="left"/>
            </w:pPr>
            <w:r>
              <w:rPr>
                <w:rFonts w:ascii="Arial" w:hAnsi="Arial"/>
                <w:b w:val="0"/>
                <w:i w:val="0"/>
                <w:color w:val="000000"/>
                <w:sz w:val="18"/>
              </w:rPr>
              <w:t>• 2. Column 1: Record the lesson number and title.</w:t>
            </w:r>
          </w:p>
          <w:p>
            <w:pPr>
              <w:spacing w:before="20" w:after="20"/>
              <w:ind w:left="240"/>
              <w:jc w:val="left"/>
            </w:pPr>
            <w:r>
              <w:rPr>
                <w:rFonts w:ascii="Arial" w:hAnsi="Arial"/>
                <w:b w:val="0"/>
                <w:i w:val="0"/>
                <w:color w:val="000000"/>
                <w:sz w:val="18"/>
              </w:rPr>
              <w:t>• 3. Column 2: Describe what you observed, measured, or investigated (activities, demonstrations, simulations, or data).</w:t>
            </w:r>
          </w:p>
          <w:p>
            <w:pPr>
              <w:spacing w:before="20" w:after="20"/>
              <w:ind w:left="240"/>
              <w:jc w:val="left"/>
            </w:pPr>
            <w:r>
              <w:rPr>
                <w:rFonts w:ascii="Arial" w:hAnsi="Arial"/>
                <w:b w:val="0"/>
                <w:i w:val="0"/>
                <w:color w:val="000000"/>
                <w:sz w:val="18"/>
              </w:rPr>
              <w:t>• 4. Column 3: Summarize the key scientific concepts you learned. Use precise vocabulary (e.g. thermal expansion, kinetic energy, linear expansivity, coefficient of expansion).</w:t>
            </w:r>
          </w:p>
          <w:p>
            <w:pPr>
              <w:spacing w:before="20" w:after="20"/>
              <w:ind w:left="240"/>
              <w:jc w:val="left"/>
            </w:pPr>
            <w:r>
              <w:rPr>
                <w:rFonts w:ascii="Arial" w:hAnsi="Arial"/>
                <w:b w:val="0"/>
                <w:i w:val="0"/>
                <w:color w:val="000000"/>
                <w:sz w:val="18"/>
              </w:rPr>
              <w:t>• 5. Column 4: Connect your learning to the anchoring phenomena — explain how this lesson helps you understand the sufuria lid or frozen bottle (or both).</w:t>
            </w:r>
          </w:p>
          <w:p>
            <w:pPr>
              <w:spacing w:before="20" w:after="20"/>
              <w:ind w:left="240"/>
              <w:jc w:val="left"/>
            </w:pPr>
            <w:r>
              <w:rPr>
                <w:rFonts w:ascii="Arial" w:hAnsi="Arial"/>
                <w:b w:val="0"/>
                <w:i w:val="0"/>
                <w:color w:val="000000"/>
                <w:sz w:val="18"/>
              </w:rPr>
              <w:t>• 6. Column 5: Update your Driving Question Board (note new questions raised or questions answered) and update your scientific model sketch.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9"/>
        <w:gridCol w:w="3120"/>
        <w:gridCol w:w="3120"/>
        <w:gridCol w:w="3120"/>
        <w:gridCol w:w="3120"/>
      </w:tblGrid>
      <w:tr>
        <w:tc>
          <w:tcPr>
            <w:tcW w:type="dxa" w:w="1199"/>
            <w:shd w:val="clear" w:color="auto" w:fill="1F3864"/>
            <w:vAlign w:val="center"/>
          </w:tcPr>
          <w:p>
            <w:pPr>
              <w:spacing w:before="40" w:after="40"/>
              <w:jc w:val="center"/>
            </w:pPr>
            <w:r>
              <w:rPr>
                <w:rFonts w:ascii="Arial" w:hAnsi="Arial"/>
                <w:b/>
                <w:i w:val="0"/>
                <w:color w:val="FFFFFF"/>
                <w:sz w:val="18"/>
              </w:rPr>
              <w:t>Lesson # and Title</w:t>
            </w:r>
          </w:p>
        </w:tc>
        <w:tc>
          <w:tcPr>
            <w:tcW w:type="dxa" w:w="3120"/>
            <w:shd w:val="clear" w:color="auto" w:fill="2E75B6"/>
            <w:vAlign w:val="center"/>
          </w:tcPr>
          <w:p>
            <w:pPr>
              <w:spacing w:before="40" w:after="40"/>
              <w:jc w:val="center"/>
            </w:pPr>
            <w:r>
              <w:rPr>
                <w:rFonts w:ascii="Arial" w:hAnsi="Arial"/>
                <w:b/>
                <w:i w:val="0"/>
                <w:color w:val="FFFFFF"/>
                <w:sz w:val="18"/>
              </w:rPr>
              <w:t>What did I observe or investigate?</w:t>
            </w:r>
          </w:p>
        </w:tc>
        <w:tc>
          <w:tcPr>
            <w:tcW w:type="dxa" w:w="3120"/>
            <w:shd w:val="clear" w:color="auto" w:fill="1F6B75"/>
            <w:vAlign w:val="center"/>
          </w:tcPr>
          <w:p>
            <w:pPr>
              <w:spacing w:before="40" w:after="40"/>
              <w:jc w:val="center"/>
            </w:pPr>
            <w:r>
              <w:rPr>
                <w:rFonts w:ascii="Arial" w:hAnsi="Arial"/>
                <w:b/>
                <w:i w:val="0"/>
                <w:color w:val="FFFFFF"/>
                <w:sz w:val="18"/>
              </w:rPr>
              <w:t>What did I learn?</w:t>
            </w:r>
          </w:p>
        </w:tc>
        <w:tc>
          <w:tcPr>
            <w:tcW w:type="dxa" w:w="3120"/>
            <w:shd w:val="clear" w:color="auto" w:fill="2E75B6"/>
            <w:vAlign w:val="center"/>
          </w:tcPr>
          <w:p>
            <w:pPr>
              <w:spacing w:before="40" w:after="40"/>
              <w:jc w:val="center"/>
            </w:pPr>
            <w:r>
              <w:rPr>
                <w:rFonts w:ascii="Arial" w:hAnsi="Arial"/>
                <w:b/>
                <w:i w:val="0"/>
                <w:color w:val="FFFFFF"/>
                <w:sz w:val="18"/>
              </w:rPr>
              <w:t>How does this explain the sufuria lid and frozen bottle phenomenon?</w:t>
            </w:r>
          </w:p>
        </w:tc>
        <w:tc>
          <w:tcPr>
            <w:tcW w:type="dxa" w:w="3120"/>
            <w:shd w:val="clear" w:color="auto" w:fill="7030A0"/>
            <w:vAlign w:val="center"/>
          </w:tcPr>
          <w:p>
            <w:pPr>
              <w:spacing w:before="40" w:after="40"/>
              <w:jc w:val="center"/>
            </w:pPr>
            <w:r>
              <w:rPr>
                <w:rFonts w:ascii="Arial" w:hAnsi="Arial"/>
                <w:b/>
                <w:i w:val="0"/>
                <w:color w:val="FFFFFF"/>
                <w:sz w:val="18"/>
              </w:rPr>
              <w:t>DQB and Model Update</w:t>
            </w:r>
          </w:p>
        </w:tc>
      </w:tr>
      <w:tr>
        <w:tc>
          <w:tcPr>
            <w:tcW w:type="dxa" w:w="1199"/>
            <w:shd w:val="clear" w:color="auto" w:fill="D5E8F0"/>
            <w:vAlign w:val="top"/>
          </w:tcPr>
          <w:p>
            <w:pPr>
              <w:spacing w:before="40" w:after="40"/>
              <w:jc w:val="left"/>
            </w:pPr>
            <w:r>
              <w:rPr>
                <w:rFonts w:ascii="Arial" w:hAnsi="Arial"/>
                <w:b/>
                <w:i w:val="0"/>
                <w:color w:val="000000"/>
                <w:sz w:val="18"/>
              </w:rPr>
              <w:t>Lesson 1: Introduction to Temperature and Heat</w:t>
            </w:r>
          </w:p>
        </w:tc>
        <w:tc>
          <w:tcPr>
            <w:tcW w:type="dxa" w:w="3120"/>
            <w:shd w:val="clear" w:color="auto" w:fill="FFFFFF"/>
            <w:vAlign w:val="top"/>
          </w:tcPr>
          <w:p>
            <w:pPr>
              <w:spacing w:before="20" w:after="20"/>
              <w:jc w:val="left"/>
            </w:pPr>
            <w:r>
              <w:rPr>
                <w:rFonts w:ascii="Arial" w:hAnsi="Arial"/>
                <w:b w:val="0"/>
                <w:i w:val="0"/>
                <w:color w:val="000000"/>
                <w:sz w:val="18"/>
              </w:rPr>
              <w:t>Measured temperature of different objects using thermometers. Discussed what 'hot' and 'cold' mean and shared everyday experiences.</w:t>
            </w:r>
          </w:p>
        </w:tc>
        <w:tc>
          <w:tcPr>
            <w:tcW w:type="dxa" w:w="3120"/>
            <w:shd w:val="clear" w:color="auto" w:fill="FFFFFF"/>
            <w:vAlign w:val="top"/>
          </w:tcPr>
          <w:p>
            <w:pPr>
              <w:spacing w:before="20" w:after="20"/>
              <w:jc w:val="left"/>
            </w:pPr>
            <w:r>
              <w:rPr>
                <w:rFonts w:ascii="Arial" w:hAnsi="Arial"/>
                <w:b w:val="0"/>
                <w:i w:val="0"/>
                <w:color w:val="000000"/>
                <w:sz w:val="18"/>
              </w:rPr>
              <w:t>Temperature measures the average kinetic energy of particles. Heat is energy transferred from hotter to cooler objects. They are related but different.</w:t>
            </w:r>
          </w:p>
        </w:tc>
        <w:tc>
          <w:tcPr>
            <w:tcW w:type="dxa" w:w="3120"/>
            <w:shd w:val="clear" w:color="auto" w:fill="FFFFFF"/>
            <w:vAlign w:val="top"/>
          </w:tcPr>
          <w:p>
            <w:pPr>
              <w:spacing w:before="20" w:after="20"/>
              <w:jc w:val="left"/>
            </w:pPr>
            <w:r>
              <w:rPr>
                <w:rFonts w:ascii="Arial" w:hAnsi="Arial"/>
                <w:b/>
                <w:i w:val="0"/>
                <w:color w:val="000000"/>
                <w:sz w:val="18"/>
              </w:rPr>
              <w:t>This sets the foundation:</w:t>
            </w:r>
          </w:p>
          <w:p>
            <w:pPr>
              <w:spacing w:before="20" w:after="20"/>
              <w:jc w:val="left"/>
            </w:pPr>
            <w:r>
              <w:rPr>
                <w:rFonts w:ascii="Arial" w:hAnsi="Arial"/>
                <w:b w:val="0"/>
                <w:i w:val="0"/>
                <w:color w:val="000000"/>
                <w:sz w:val="18"/>
              </w:rPr>
              <w:t>when we run hot water over the sufuria lid, heat transfers to the lid and increases its temperature. But we don't yet know why this makes it easier to open.</w:t>
            </w:r>
          </w:p>
        </w:tc>
        <w:tc>
          <w:tcPr>
            <w:tcW w:type="dxa" w:w="3120"/>
            <w:shd w:val="clear" w:color="auto" w:fill="EAD1F5"/>
            <w:vAlign w:val="top"/>
          </w:tcPr>
          <w:p>
            <w:pPr>
              <w:spacing w:before="20" w:after="20"/>
              <w:jc w:val="left"/>
            </w:pPr>
            <w:r>
              <w:rPr>
                <w:rFonts w:ascii="Arial" w:hAnsi="Arial"/>
                <w:b/>
                <w:i w:val="0"/>
                <w:color w:val="000000"/>
                <w:sz w:val="18"/>
              </w:rPr>
              <w:t>DQB Started:</w:t>
            </w:r>
          </w:p>
          <w:p>
            <w:pPr>
              <w:spacing w:before="20" w:after="20"/>
              <w:jc w:val="left"/>
            </w:pPr>
            <w:r>
              <w:rPr>
                <w:rFonts w:ascii="Arial" w:hAnsi="Arial"/>
                <w:b w:val="0"/>
                <w:i w:val="0"/>
                <w:color w:val="000000"/>
                <w:sz w:val="18"/>
              </w:rPr>
              <w:t>Why do things expand when heated? What happens to particles when temperature increases?</w:t>
            </w:r>
          </w:p>
          <w:p>
            <w:pPr>
              <w:spacing w:before="20" w:after="20"/>
              <w:jc w:val="left"/>
            </w:pPr>
            <w:r>
              <w:rPr>
                <w:rFonts w:ascii="Arial" w:hAnsi="Arial"/>
                <w:b/>
                <w:i w:val="0"/>
                <w:color w:val="000000"/>
                <w:sz w:val="18"/>
              </w:rPr>
              <w:t>Initial Model:</w:t>
            </w:r>
          </w:p>
          <w:p>
            <w:pPr>
              <w:spacing w:before="20" w:after="20"/>
              <w:jc w:val="left"/>
            </w:pPr>
            <w:r>
              <w:rPr>
                <w:rFonts w:ascii="Arial" w:hAnsi="Arial"/>
                <w:b w:val="0"/>
                <w:i w:val="0"/>
                <w:color w:val="000000"/>
                <w:sz w:val="18"/>
              </w:rPr>
              <w:t>Particles in a solid vibrate but stay in place.</w:t>
            </w:r>
          </w:p>
        </w:tc>
      </w:tr>
      <w:tr>
        <w:tc>
          <w:tcPr>
            <w:tcW w:type="dxa" w:w="1199"/>
            <w:shd w:val="clear" w:color="auto" w:fill="D5E8F0"/>
            <w:vAlign w:val="top"/>
          </w:tcPr>
          <w:p>
            <w:pPr>
              <w:spacing w:before="40" w:after="40"/>
              <w:jc w:val="left"/>
            </w:pPr>
            <w:r>
              <w:rPr>
                <w:rFonts w:ascii="Arial" w:hAnsi="Arial"/>
                <w:b/>
                <w:i w:val="0"/>
                <w:color w:val="000000"/>
                <w:sz w:val="18"/>
              </w:rPr>
              <w:t>Lesson 2: Particle Model of Matter and Temperature</w:t>
            </w:r>
          </w:p>
        </w:tc>
        <w:tc>
          <w:tcPr>
            <w:tcW w:type="dxa" w:w="3120"/>
            <w:shd w:val="clear" w:color="auto" w:fill="F2F2F2"/>
            <w:vAlign w:val="top"/>
          </w:tcPr>
          <w:p>
            <w:pPr>
              <w:spacing w:before="20" w:after="2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c>
          <w:tcPr>
            <w:tcW w:type="dxa" w:w="3120"/>
            <w:shd w:val="clear" w:color="auto" w:fill="F2F2F2"/>
            <w:vAlign w:val="top"/>
          </w:tcPr>
          <w:p>
            <w:pPr>
              <w:spacing w:before="20" w:after="2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c>
          <w:tcPr>
            <w:tcW w:type="dxa" w:w="3120"/>
            <w:shd w:val="clear" w:color="auto" w:fill="F2F2F2"/>
            <w:vAlign w:val="top"/>
          </w:tcPr>
          <w:p>
            <w:pPr>
              <w:spacing w:before="20" w:after="2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'What happens to particles when something heats up?'</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Particle diagrams added showing vibrating solids and moving liquids/gases with temperature arrows.</w:t>
            </w:r>
          </w:p>
        </w:tc>
      </w:tr>
      <w:tr>
        <w:tc>
          <w:tcPr>
            <w:tcW w:type="dxa" w:w="1199"/>
            <w:shd w:val="clear" w:color="auto" w:fill="D5E8F0"/>
            <w:vAlign w:val="top"/>
          </w:tcPr>
          <w:p>
            <w:pPr>
              <w:spacing w:before="40" w:after="40"/>
              <w:jc w:val="left"/>
            </w:pPr>
            <w:r>
              <w:rPr>
                <w:rFonts w:ascii="Arial" w:hAnsi="Arial"/>
                <w:b/>
                <w:i w:val="0"/>
                <w:color w:val="000000"/>
                <w:sz w:val="18"/>
              </w:rPr>
              <w:t>Lesson 3: Thermal Expansion in Solids</w:t>
            </w:r>
          </w:p>
        </w:tc>
        <w:tc>
          <w:tcPr>
            <w:tcW w:type="dxa" w:w="3120"/>
            <w:shd w:val="clear" w:color="auto" w:fill="FFFFFF"/>
            <w:vAlign w:val="top"/>
          </w:tcPr>
          <w:p>
            <w:pPr>
              <w:spacing w:before="20" w:after="2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c>
          <w:tcPr>
            <w:tcW w:type="dxa" w:w="3120"/>
            <w:shd w:val="clear" w:color="auto" w:fill="FFFFFF"/>
            <w:vAlign w:val="top"/>
          </w:tcPr>
          <w:p>
            <w:pPr>
              <w:spacing w:before="20" w:after="20"/>
              <w:jc w:val="left"/>
            </w:pPr>
            <w:r>
              <w:rPr>
                <w:rFonts w:ascii="Arial" w:hAnsi="Arial"/>
                <w:b/>
                <w:i w:val="0"/>
                <w:color w:val="000000"/>
                <w:sz w:val="18"/>
              </w:rPr>
              <w:t>Thermal expansion:</w:t>
            </w:r>
          </w:p>
          <w:p>
            <w:pPr>
              <w:spacing w:before="20" w:after="20"/>
              <w:jc w:val="left"/>
            </w:pPr>
            <w:r>
              <w:rPr>
                <w:rFonts w:ascii="Arial" w:hAnsi="Arial"/>
                <w:b w:val="0"/>
                <w:i w:val="0"/>
                <w:color w:val="000000"/>
                <w:sz w:val="18"/>
              </w:rPr>
              <w:t>most solids expand when heated because particles vibrate more vigorously and need more space. Different metals have different coefficients of linear expansion (α). Engineers use expansion joints to accommodate this.</w:t>
            </w:r>
          </w:p>
        </w:tc>
        <w:tc>
          <w:tcPr>
            <w:tcW w:type="dxa" w:w="3120"/>
            <w:shd w:val="clear" w:color="auto" w:fill="FFFFFF"/>
            <w:vAlign w:val="top"/>
          </w:tcPr>
          <w:p>
            <w:pPr>
              <w:spacing w:before="20" w:after="20"/>
              <w:jc w:val="left"/>
            </w:pPr>
            <w:r>
              <w:rPr>
                <w:rFonts w:ascii="Arial" w:hAnsi="Arial"/>
                <w:b/>
                <w:i w:val="0"/>
                <w:color w:val="000000"/>
                <w:sz w:val="18"/>
              </w:rPr>
              <w:t>Sufuria lid:</w:t>
            </w:r>
          </w:p>
          <w:p>
            <w:pPr>
              <w:spacing w:before="20" w:after="20"/>
              <w:jc w:val="left"/>
            </w:pPr>
            <w:r>
              <w:rPr>
                <w:rFonts w:ascii="Arial" w:hAnsi="Arial"/>
                <w:b w:val="0"/>
                <w:i w:val="0"/>
                <w:color w:val="000000"/>
                <w:sz w:val="18"/>
              </w:rPr>
              <w:t>the metal lid expands when heated with hot water, breaking the tight seal and making it easier to twist off. Frozen bottle: we know solids usually expand when heated — water may behave differently (anomaly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does the lid open when heated?' (differential expansion breaks the seal.)</w:t>
            </w:r>
          </w:p>
          <w:p>
            <w:pPr>
              <w:spacing w:before="20" w:after="20"/>
              <w:jc w:val="left"/>
            </w:pPr>
            <w:r>
              <w:rPr>
                <w:rFonts w:ascii="Arial" w:hAnsi="Arial"/>
                <w:b/>
                <w:i w:val="0"/>
                <w:color w:val="000000"/>
                <w:sz w:val="18"/>
              </w:rPr>
              <w:t>New question:</w:t>
            </w:r>
          </w:p>
          <w:p>
            <w:pPr>
              <w:spacing w:before="20" w:after="20"/>
              <w:jc w:val="left"/>
            </w:pPr>
            <w:r>
              <w:rPr>
                <w:rFonts w:ascii="Arial" w:hAnsi="Arial"/>
                <w:b w:val="0"/>
                <w:i w:val="0"/>
                <w:color w:val="000000"/>
                <w:sz w:val="18"/>
              </w:rPr>
              <w:t>Does water expand or contract when it freezes?</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arrows showing particles moving further apart when heated.</w:t>
            </w:r>
          </w:p>
        </w:tc>
      </w:tr>
      <w:tr>
        <w:tc>
          <w:tcPr>
            <w:tcW w:type="dxa" w:w="1199"/>
            <w:shd w:val="clear" w:color="auto" w:fill="D5E8F0"/>
            <w:vAlign w:val="top"/>
          </w:tcPr>
          <w:p>
            <w:pPr>
              <w:spacing w:before="40" w:after="40"/>
              <w:jc w:val="left"/>
            </w:pPr>
            <w:r>
              <w:rPr>
                <w:rFonts w:ascii="Arial" w:hAnsi="Arial"/>
                <w:b/>
                <w:i w:val="0"/>
                <w:color w:val="000000"/>
                <w:sz w:val="18"/>
              </w:rPr>
              <w:t>Lesson 4: Thermal Expansion in Liquids</w:t>
            </w:r>
          </w:p>
        </w:tc>
        <w:tc>
          <w:tcPr>
            <w:tcW w:type="dxa" w:w="3120"/>
            <w:shd w:val="clear" w:color="auto" w:fill="F2F2F2"/>
            <w:vAlign w:val="top"/>
          </w:tcPr>
          <w:p>
            <w:pPr>
              <w:spacing w:before="20" w:after="2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c>
          <w:tcPr>
            <w:tcW w:type="dxa" w:w="3120"/>
            <w:shd w:val="clear" w:color="auto" w:fill="F2F2F2"/>
            <w:vAlign w:val="top"/>
          </w:tcPr>
          <w:p>
            <w:pPr>
              <w:spacing w:before="20" w:after="2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c>
          <w:tcPr>
            <w:tcW w:type="dxa" w:w="3120"/>
            <w:shd w:val="clear" w:color="auto" w:fill="F2F2F2"/>
            <w:vAlign w:val="top"/>
          </w:tcPr>
          <w:p>
            <w:pPr>
              <w:spacing w:before="20" w:after="2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Added 'Do liquids expand the same as solids?' Answered — liquids expand more.</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liquid expansion diagram showing particles spreading out more freely than solids.</w:t>
            </w:r>
          </w:p>
        </w:tc>
      </w:tr>
      <w:tr>
        <w:tc>
          <w:tcPr>
            <w:tcW w:type="dxa" w:w="1199"/>
            <w:shd w:val="clear" w:color="auto" w:fill="D5E8F0"/>
            <w:vAlign w:val="top"/>
          </w:tcPr>
          <w:p>
            <w:pPr>
              <w:spacing w:before="40" w:after="40"/>
              <w:jc w:val="left"/>
            </w:pPr>
            <w:r>
              <w:rPr>
                <w:rFonts w:ascii="Arial" w:hAnsi="Arial"/>
                <w:b/>
                <w:i w:val="0"/>
                <w:color w:val="000000"/>
                <w:sz w:val="18"/>
              </w:rPr>
              <w:t>Lesson 5: Anomalous Expansion of Water</w:t>
            </w:r>
          </w:p>
        </w:tc>
        <w:tc>
          <w:tcPr>
            <w:tcW w:type="dxa" w:w="3120"/>
            <w:shd w:val="clear" w:color="auto" w:fill="FFFFFF"/>
            <w:vAlign w:val="top"/>
          </w:tcPr>
          <w:p>
            <w:pPr>
              <w:spacing w:before="20" w:after="2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c>
          <w:tcPr>
            <w:tcW w:type="dxa" w:w="3120"/>
            <w:shd w:val="clear" w:color="auto" w:fill="FFFFFF"/>
            <w:vAlign w:val="top"/>
          </w:tcPr>
          <w:p>
            <w:pPr>
              <w:spacing w:before="20" w:after="20"/>
              <w:jc w:val="left"/>
            </w:pPr>
            <w:r>
              <w:rPr>
                <w:rFonts w:ascii="Arial" w:hAnsi="Arial"/>
                <w:b/>
                <w:i w:val="0"/>
                <w:color w:val="000000"/>
                <w:sz w:val="18"/>
              </w:rPr>
              <w:t>Water is anomalous:</w:t>
            </w:r>
          </w:p>
          <w:p>
            <w:pPr>
              <w:spacing w:before="20" w:after="20"/>
              <w:jc w:val="left"/>
            </w:pPr>
            <w:r>
              <w:rPr>
                <w:rFonts w:ascii="Arial" w:hAnsi="Arial"/>
                <w:b w:val="0"/>
                <w:i w:val="0"/>
                <w:color w:val="000000"/>
                <w:sz w:val="18"/>
              </w:rPr>
              <w:t>it is densest at 4°C and EXPANDS when cooling from 4°C to 0°C. When water freezes, hydrogen bonds form a hexagonal lattice with MORE space than liquid water — so ice is less dense than water and expands by ~9%.</w:t>
            </w:r>
          </w:p>
        </w:tc>
        <w:tc>
          <w:tcPr>
            <w:tcW w:type="dxa" w:w="3120"/>
            <w:shd w:val="clear" w:color="auto" w:fill="FFFFFF"/>
            <w:vAlign w:val="top"/>
          </w:tcPr>
          <w:p>
            <w:pPr>
              <w:spacing w:before="20" w:after="20"/>
              <w:jc w:val="left"/>
            </w:pPr>
            <w:r>
              <w:rPr>
                <w:rFonts w:ascii="Arial" w:hAnsi="Arial"/>
                <w:b/>
                <w:i w:val="0"/>
                <w:color w:val="000000"/>
                <w:sz w:val="18"/>
              </w:rPr>
              <w:t>MYSTERY SOLVED for the frozen bottle:</w:t>
            </w:r>
          </w:p>
          <w:p>
            <w:pPr>
              <w:spacing w:before="20" w:after="20"/>
              <w:jc w:val="left"/>
            </w:pPr>
            <w:r>
              <w:rPr>
                <w:rFonts w:ascii="Arial" w:hAnsi="Arial"/>
                <w:b w:val="0"/>
                <w:i w:val="0"/>
                <w:color w:val="000000"/>
                <w:sz w:val="18"/>
              </w:rPr>
              <w:t>water expands ~9% when it freezes due to hydrogen bond hexagonal lattice formation. A bottle completely full of water had no room for this expansion — the outward force cracked the glass. This is anomalous — most substances contract when freezing!</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did the glass bottle crack?' Water expands (anomalously) on freezing.</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Hydrogen bond hexagonal ice structure drawn. Water anomaly explained at molecular level.</w:t>
            </w:r>
          </w:p>
        </w:tc>
      </w:tr>
      <w:tr>
        <w:tc>
          <w:tcPr>
            <w:tcW w:type="dxa" w:w="1199"/>
            <w:shd w:val="clear" w:color="auto" w:fill="D5E8F0"/>
            <w:vAlign w:val="top"/>
          </w:tcPr>
          <w:p>
            <w:pPr>
              <w:spacing w:before="40" w:after="40"/>
              <w:jc w:val="left"/>
            </w:pPr>
            <w:r>
              <w:rPr>
                <w:rFonts w:ascii="Arial" w:hAnsi="Arial"/>
                <w:b/>
                <w:i w:val="0"/>
                <w:color w:val="000000"/>
                <w:sz w:val="18"/>
              </w:rPr>
              <w:t>Lesson 6: Engineering Applications and Design Challenge</w:t>
            </w:r>
          </w:p>
        </w:tc>
        <w:tc>
          <w:tcPr>
            <w:tcW w:type="dxa" w:w="3120"/>
            <w:shd w:val="clear" w:color="auto" w:fill="F2F2F2"/>
            <w:vAlign w:val="top"/>
          </w:tcPr>
          <w:p>
            <w:pPr>
              <w:spacing w:before="20" w:after="2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c>
          <w:tcPr>
            <w:tcW w:type="dxa" w:w="3120"/>
            <w:shd w:val="clear" w:color="auto" w:fill="F2F2F2"/>
            <w:vAlign w:val="top"/>
          </w:tcPr>
          <w:p>
            <w:pPr>
              <w:spacing w:before="20" w:after="2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c>
          <w:tcPr>
            <w:tcW w:type="dxa" w:w="3120"/>
            <w:shd w:val="clear" w:color="auto" w:fill="F2F2F2"/>
            <w:vAlign w:val="top"/>
          </w:tcPr>
          <w:p>
            <w:pPr>
              <w:spacing w:before="20" w:after="2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c>
          <w:tcPr>
            <w:tcW w:type="dxa" w:w="3120"/>
            <w:shd w:val="clear" w:color="auto" w:fill="EAD1F5"/>
            <w:vAlign w:val="top"/>
          </w:tcPr>
          <w:p>
            <w:pPr>
              <w:spacing w:before="20" w:after="20"/>
              <w:jc w:val="left"/>
            </w:pPr>
            <w:r>
              <w:rPr>
                <w:rFonts w:ascii="Arial" w:hAnsi="Arial"/>
                <w:b/>
                <w:i w:val="0"/>
                <w:color w:val="000000"/>
                <w:sz w:val="18"/>
              </w:rPr>
              <w:t>DQB Completed:</w:t>
            </w:r>
          </w:p>
          <w:p>
            <w:pPr>
              <w:spacing w:before="20" w:after="20"/>
              <w:jc w:val="left"/>
            </w:pPr>
            <w:r>
              <w:rPr>
                <w:rFonts w:ascii="Arial" w:hAnsi="Arial"/>
                <w:b w:val="0"/>
                <w:i w:val="0"/>
                <w:color w:val="000000"/>
                <w:sz w:val="18"/>
              </w:rPr>
              <w:t>Answered driving question — materials change size because particles move more at higher temperatures; engineers use expansion joints, bimetallic strips, and flexible materials to keep structures safe.</w:t>
            </w:r>
          </w:p>
          <w:p>
            <w:pPr>
              <w:spacing w:before="20" w:after="20"/>
              <w:jc w:val="left"/>
            </w:pPr>
            <w:r>
              <w:rPr>
                <w:rFonts w:ascii="Arial" w:hAnsi="Arial"/>
                <w:b/>
                <w:i w:val="0"/>
                <w:color w:val="000000"/>
                <w:sz w:val="18"/>
              </w:rPr>
              <w:t>Final Model:</w:t>
            </w:r>
          </w:p>
          <w:p>
            <w:pPr>
              <w:spacing w:before="20" w:after="20"/>
              <w:jc w:val="left"/>
            </w:pPr>
            <w:r>
              <w:rPr>
                <w:rFonts w:ascii="Arial" w:hAnsi="Arial"/>
                <w:b w:val="0"/>
                <w:i w:val="0"/>
                <w:color w:val="000000"/>
                <w:sz w:val="18"/>
              </w:rPr>
              <w:t>Complete model explaining thermal expansion in solids and liquids, including water's anomalous behavior, with engineering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7030A0"/>
          </w:tcPr>
          <w:p>
            <w:pPr>
              <w:spacing w:before="40" w:after="40"/>
              <w:jc w:val="left"/>
            </w:pPr>
            <w:r>
              <w:rPr>
                <w:rFonts w:ascii="Arial" w:hAnsi="Arial"/>
                <w:b/>
                <w:i w:val="0"/>
                <w:color w:val="FFFFFF"/>
                <w:sz w:val="22"/>
              </w:rPr>
              <w:t>DQB AND MODEL TRACKING GUIDE</w:t>
            </w:r>
          </w:p>
        </w:tc>
      </w:tr>
      <w:tr>
        <w:tc>
          <w:tcPr>
            <w:tcW w:type="dxa" w:w="13680"/>
            <w:shd w:val="clear" w:color="auto" w:fill="FFFFFF"/>
          </w:tcPr>
          <w:p>
            <w:pPr>
              <w:spacing w:before="20" w:after="20"/>
              <w:jc w:val="left"/>
            </w:pPr>
            <w:r>
              <w:rPr>
                <w:rFonts w:ascii="Arial" w:hAnsi="Arial"/>
                <w:b/>
                <w:i w:val="0"/>
                <w:color w:val="000000"/>
                <w:sz w:val="18"/>
              </w:rPr>
              <w:t>Driving Question Board (DQB) Progression:</w:t>
            </w:r>
          </w:p>
          <w:p>
            <w:pPr>
              <w:spacing w:before="20" w:after="20"/>
              <w:ind w:left="240"/>
              <w:jc w:val="left"/>
            </w:pPr>
            <w:r>
              <w:rPr>
                <w:rFonts w:ascii="Arial" w:hAnsi="Arial"/>
                <w:b w:val="0"/>
                <w:i w:val="0"/>
                <w:color w:val="000000"/>
                <w:sz w:val="18"/>
              </w:rPr>
              <w:t>• Lesson 1: DQB Started — Initial questions posted based on anchoring phenomena</w:t>
            </w:r>
          </w:p>
          <w:p>
            <w:pPr>
              <w:spacing w:before="20" w:after="20"/>
              <w:ind w:left="240"/>
              <w:jc w:val="left"/>
            </w:pPr>
            <w:r>
              <w:rPr>
                <w:rFonts w:ascii="Arial" w:hAnsi="Arial"/>
                <w:b w:val="0"/>
                <w:i w:val="0"/>
                <w:color w:val="000000"/>
                <w:sz w:val="18"/>
              </w:rPr>
              <w:t>• Lessons 2–5: DQB Updated — Questions answered, new questions added, ideas refined</w:t>
            </w:r>
          </w:p>
          <w:p>
            <w:pPr>
              <w:spacing w:before="20" w:after="20"/>
              <w:ind w:left="240"/>
              <w:jc w:val="left"/>
            </w:pPr>
            <w:r>
              <w:rPr>
                <w:rFonts w:ascii="Arial" w:hAnsi="Arial"/>
                <w:b w:val="0"/>
                <w:i w:val="0"/>
                <w:color w:val="000000"/>
                <w:sz w:val="18"/>
              </w:rPr>
              <w:t>• Lesson 6: DQB Completed — Driving question fully answered with evidence-based explanation</w:t>
            </w:r>
          </w:p>
          <w:p>
            <w:pPr>
              <w:spacing w:before="20" w:after="20"/>
              <w:jc w:val="left"/>
            </w:pPr>
            <w:r>
              <w:rPr>
                <w:rFonts w:ascii="Arial" w:hAnsi="Arial"/>
                <w:b/>
                <w:i w:val="0"/>
                <w:color w:val="000000"/>
                <w:sz w:val="18"/>
              </w:rPr>
              <w:t>Scientific Model Progression:</w:t>
            </w:r>
          </w:p>
          <w:p>
            <w:pPr>
              <w:spacing w:before="20" w:after="20"/>
              <w:ind w:left="240"/>
              <w:jc w:val="left"/>
            </w:pPr>
            <w:r>
              <w:rPr>
                <w:rFonts w:ascii="Arial" w:hAnsi="Arial"/>
                <w:b w:val="0"/>
                <w:i w:val="0"/>
                <w:color w:val="000000"/>
                <w:sz w:val="18"/>
              </w:rPr>
              <w:t>• Lesson 1: Initial Model — Basic particle representation of solids, liquids, and gases</w:t>
            </w:r>
          </w:p>
          <w:p>
            <w:pPr>
              <w:spacing w:before="20" w:after="20"/>
              <w:ind w:left="240"/>
              <w:jc w:val="left"/>
            </w:pPr>
            <w:r>
              <w:rPr>
                <w:rFonts w:ascii="Arial" w:hAnsi="Arial"/>
                <w:b w:val="0"/>
                <w:i w:val="0"/>
                <w:color w:val="000000"/>
                <w:sz w:val="18"/>
              </w:rPr>
              <w:t>• Lessons 2–5: Model Revised — Adding detail about particle motion, energy, spacing, and material-specific behavior</w:t>
            </w:r>
          </w:p>
          <w:p>
            <w:pPr>
              <w:spacing w:before="20" w:after="20"/>
              <w:ind w:left="240"/>
              <w:jc w:val="left"/>
            </w:pPr>
            <w:r>
              <w:rPr>
                <w:rFonts w:ascii="Arial" w:hAnsi="Arial"/>
                <w:b w:val="0"/>
                <w:i w:val="0"/>
                <w:color w:val="000000"/>
                <w:sz w:val="18"/>
              </w:rPr>
              <w:t>• Lesson 6: Final Model — Complete model explaining thermal expansion in solids and liquids, including water’s anomalous behavior, with applications to real-world engineering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END-OF-UNIT REFLECTION QUESTIONS</w:t>
            </w:r>
          </w:p>
        </w:tc>
      </w:tr>
      <w:tr>
        <w:tc>
          <w:tcPr>
            <w:tcW w:type="dxa" w:w="13680"/>
            <w:shd w:val="clear" w:color="auto" w:fill="FFFFFF"/>
          </w:tcPr>
          <w:p>
            <w:pPr>
              <w:spacing w:before="20" w:after="20"/>
              <w:jc w:val="left"/>
            </w:pPr>
            <w:r>
              <w:rPr>
                <w:rFonts w:ascii="Arial" w:hAnsi="Arial"/>
                <w:b w:val="0"/>
                <w:i w:val="0"/>
                <w:color w:val="000000"/>
                <w:sz w:val="18"/>
              </w:rPr>
              <w:t>After completing the Summary Table, respond to the following questions in your science notebook:</w:t>
            </w:r>
          </w:p>
          <w:p>
            <w:pPr>
              <w:spacing w:before="20" w:after="20"/>
              <w:jc w:val="left"/>
            </w:pPr>
            <w:r>
              <w:rPr>
                <w:rFonts w:ascii="Arial" w:hAnsi="Arial"/>
                <w:b w:val="0"/>
                <w:i w:val="0"/>
                <w:color w:val="000000"/>
                <w:sz w:val="18"/>
              </w:rPr>
              <w:t>Conceptual Connection: How does the particle model of matter help explain why materials expand when heated? Use evidence from at least two lessons.</w:t>
            </w:r>
          </w:p>
          <w:p>
            <w:pPr>
              <w:spacing w:before="20" w:after="20"/>
              <w:jc w:val="left"/>
            </w:pPr>
            <w:r>
              <w:rPr>
                <w:rFonts w:ascii="Arial" w:hAnsi="Arial"/>
                <w:b w:val="0"/>
                <w:i w:val="0"/>
                <w:color w:val="000000"/>
                <w:sz w:val="18"/>
              </w:rPr>
              <w:t>Phenomenon Explanation: Write a complete scientific explanation for either the sufuria lid or the frozen bottle phenomenon. Include:</w:t>
            </w:r>
          </w:p>
          <w:p>
            <w:pPr>
              <w:spacing w:before="20" w:after="20"/>
              <w:ind w:left="240"/>
              <w:jc w:val="left"/>
            </w:pPr>
            <w:r>
              <w:rPr>
                <w:rFonts w:ascii="Arial" w:hAnsi="Arial"/>
                <w:b w:val="0"/>
                <w:i w:val="0"/>
                <w:color w:val="000000"/>
                <w:sz w:val="18"/>
              </w:rPr>
              <w:t>• Claim (what happens and why)</w:t>
            </w:r>
          </w:p>
          <w:p>
            <w:pPr>
              <w:spacing w:before="20" w:after="20"/>
              <w:ind w:left="240"/>
              <w:jc w:val="left"/>
            </w:pPr>
            <w:r>
              <w:rPr>
                <w:rFonts w:ascii="Arial" w:hAnsi="Arial"/>
                <w:b w:val="0"/>
                <w:i w:val="0"/>
                <w:color w:val="000000"/>
                <w:sz w:val="18"/>
              </w:rPr>
              <w:t>• Evidence (observations and data from lessons)</w:t>
            </w:r>
          </w:p>
          <w:p>
            <w:pPr>
              <w:spacing w:before="20" w:after="20"/>
              <w:ind w:left="240"/>
              <w:jc w:val="left"/>
            </w:pPr>
            <w:r>
              <w:rPr>
                <w:rFonts w:ascii="Arial" w:hAnsi="Arial"/>
                <w:b w:val="0"/>
                <w:i w:val="0"/>
                <w:color w:val="000000"/>
                <w:sz w:val="18"/>
              </w:rPr>
              <w:t>• Reasoning (how the evidence supports your claim using scientific principles)</w:t>
            </w:r>
          </w:p>
          <w:p>
            <w:pPr>
              <w:spacing w:before="20" w:after="20"/>
              <w:jc w:val="left"/>
            </w:pPr>
            <w:r>
              <w:rPr>
                <w:rFonts w:ascii="Arial" w:hAnsi="Arial"/>
                <w:b w:val="0"/>
                <w:i w:val="0"/>
                <w:color w:val="000000"/>
                <w:sz w:val="18"/>
              </w:rPr>
              <w:t>Cross-Cutting Concepts: Identify at least two patterns you noticed across different lessons (e.g., patterns in how solids vs. liquids expand, patterns in material behavior).</w:t>
            </w:r>
          </w:p>
          <w:p>
            <w:pPr>
              <w:spacing w:before="20" w:after="20"/>
              <w:jc w:val="left"/>
            </w:pPr>
            <w:r>
              <w:rPr>
                <w:rFonts w:ascii="Arial" w:hAnsi="Arial"/>
                <w:b w:val="0"/>
                <w:i w:val="0"/>
                <w:color w:val="000000"/>
                <w:sz w:val="18"/>
              </w:rPr>
              <w:t>Engineering Connection: Choose one engineering application of thermal expansion you learned about. Explain the problem engineers faced and how understanding thermal expansion helped them design a solution.</w:t>
            </w:r>
          </w:p>
          <w:p>
            <w:pPr>
              <w:spacing w:before="20" w:after="20"/>
              <w:jc w:val="left"/>
            </w:pPr>
            <w:r>
              <w:rPr>
                <w:rFonts w:ascii="Arial" w:hAnsi="Arial"/>
                <w:b w:val="0"/>
                <w:i w:val="0"/>
                <w:color w:val="000000"/>
                <w:sz w:val="18"/>
              </w:rPr>
              <w:t>Metacognition: Which lesson or activity helped you understand thermal expansion most clearly? Why was it effective for your learning?</w:t>
            </w:r>
          </w:p>
          <w:p>
            <w:pPr>
              <w:spacing w:before="20" w:after="20"/>
              <w:jc w:val="left"/>
            </w:pPr>
            <w:r>
              <w:rPr>
                <w:rFonts w:ascii="Arial" w:hAnsi="Arial"/>
                <w:b w:val="0"/>
                <w:i w:val="0"/>
                <w:color w:val="000000"/>
                <w:sz w:val="18"/>
              </w:rPr>
              <w:t>Lingering Questions: What questions do you still have about temperature, heat, or thermal expansion? What would you like to investigate further?</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TEACHER NOTES: FORMATIVE USE OF THIS TABLE</w:t>
            </w:r>
          </w:p>
        </w:tc>
      </w:tr>
      <w:tr>
        <w:tc>
          <w:tcPr>
            <w:tcW w:type="dxa" w:w="13680"/>
            <w:shd w:val="clear" w:color="auto" w:fill="FFFFFF"/>
          </w:tcPr>
          <w:p>
            <w:pPr>
              <w:spacing w:before="20" w:after="20"/>
              <w:jc w:val="left"/>
            </w:pPr>
            <w:r>
              <w:rPr>
                <w:rFonts w:ascii="Arial" w:hAnsi="Arial"/>
                <w:b/>
                <w:i w:val="0"/>
                <w:color w:val="000000"/>
                <w:sz w:val="18"/>
              </w:rPr>
              <w:t>Purpose and Pedagogical Framework:</w:t>
            </w:r>
          </w:p>
          <w:p>
            <w:pPr>
              <w:spacing w:before="20" w:after="20"/>
              <w:jc w:val="left"/>
            </w:pPr>
            <w:r>
              <w:rPr>
                <w:rFonts w:ascii="Arial" w:hAnsi="Arial"/>
                <w:b w:val="0"/>
                <w:i w:val="0"/>
                <w:color w:val="000000"/>
                <w:sz w:val="18"/>
              </w:rPr>
              <w:t>This Summary Table is designed as a formative assessment tool aligned with three-dimensional learning (NGSS-style framework adaptable to various curricula). It makes student thinking visible across a multi-lesson learning progression and supports: - Coherence: Students see connections between lessons and build toward answering the driving question - Sensemaking: Students actively construct explanations rather than passively receiving information - Equity: All students have a structured way to organize and express their learning</w:t>
            </w:r>
          </w:p>
          <w:p>
            <w:pPr>
              <w:spacing w:before="20" w:after="20"/>
              <w:jc w:val="left"/>
            </w:pPr>
            <w:r>
              <w:rPr>
                <w:rFonts w:ascii="Arial" w:hAnsi="Arial"/>
                <w:b/>
                <w:i w:val="0"/>
                <w:color w:val="000000"/>
                <w:sz w:val="18"/>
              </w:rPr>
              <w:t>Formative Assessment Opportunities:</w:t>
            </w:r>
          </w:p>
          <w:p>
            <w:pPr>
              <w:spacing w:before="20" w:after="20"/>
              <w:jc w:val="left"/>
            </w:pPr>
            <w:r>
              <w:rPr>
                <w:rFonts w:ascii="Arial" w:hAnsi="Arial"/>
                <w:b w:val="0"/>
                <w:i w:val="0"/>
                <w:color w:val="000000"/>
                <w:sz w:val="18"/>
              </w:rPr>
              <w:t>1. Monitor Conceptual Development: - Column 3 (What did I learn?): Check for accurate use of scientific vocabulary and conceptual understanding. Common misconceptions to watch for: - Confusing heat and temperature - Thinking particles themselves expand (rather than spacing increasing) - Believing all materials expand equally - Not recognizing water’s anomalous behavior</w:t>
            </w:r>
          </w:p>
          <w:p>
            <w:pPr>
              <w:spacing w:before="20" w:after="20"/>
              <w:jc w:val="left"/>
            </w:pPr>
            <w:r>
              <w:rPr>
                <w:rFonts w:ascii="Arial" w:hAnsi="Arial"/>
                <w:b w:val="0"/>
                <w:i w:val="0"/>
                <w:color w:val="000000"/>
                <w:sz w:val="18"/>
              </w:rPr>
              <w:t>2. Assess Three-Dimensional Learning: - Science and Engineering Practices (SEPs): Column 2 reveals engagement with investigations, data collection, and observations - Disciplinary Core Ideas (DCIs): Column 3 shows understanding of thermal energy, particle motion, and material properties - Crosscutting Concepts (CCCs): Column 4 demonstrates cause-and-effect reasoning, patterns, and scale/proportion thinking</w:t>
            </w:r>
          </w:p>
          <w:p>
            <w:pPr>
              <w:spacing w:before="20" w:after="20"/>
              <w:jc w:val="left"/>
            </w:pPr>
            <w:r>
              <w:rPr>
                <w:rFonts w:ascii="Arial" w:hAnsi="Arial"/>
                <w:b w:val="0"/>
                <w:i w:val="0"/>
                <w:color w:val="000000"/>
                <w:sz w:val="18"/>
              </w:rPr>
              <w:t>3. Track Model-Based Reasoning: - Column 5 (Model Update): Review student model revisions to assess: - Increasing sophistication (from simple to detailed particle representations) - Incorporation of new evidence - Use of models as explanatory tools (not just drawings)</w:t>
            </w:r>
          </w:p>
          <w:p>
            <w:pPr>
              <w:spacing w:before="20" w:after="20"/>
              <w:jc w:val="left"/>
            </w:pPr>
            <w:r>
              <w:rPr>
                <w:rFonts w:ascii="Arial" w:hAnsi="Arial"/>
                <w:b w:val="0"/>
                <w:i w:val="0"/>
                <w:color w:val="000000"/>
                <w:sz w:val="18"/>
              </w:rPr>
              <w:t>4. Identify Students Needing Support: - Incomplete or vague entries: May indicate absence, confusion, or language barriers - Persistent misconceptions: Require targeted intervention or re-teaching - Lack of connection to phenomena (Column 4): Student may be learning facts without sensemaking</w:t>
            </w:r>
          </w:p>
          <w:p>
            <w:pPr>
              <w:spacing w:before="20" w:after="20"/>
              <w:jc w:val="left"/>
            </w:pPr>
            <w:r>
              <w:rPr>
                <w:rFonts w:ascii="Arial" w:hAnsi="Arial"/>
                <w:b/>
                <w:i w:val="0"/>
                <w:color w:val="000000"/>
                <w:sz w:val="18"/>
              </w:rPr>
              <w:t>Instructional Strategies:</w:t>
            </w:r>
          </w:p>
          <w:p>
            <w:pPr>
              <w:spacing w:before="20" w:after="20"/>
              <w:jc w:val="left"/>
            </w:pPr>
            <w:r>
              <w:rPr>
                <w:rFonts w:ascii="Arial" w:hAnsi="Arial"/>
                <w:b w:val="0"/>
                <w:i w:val="0"/>
                <w:color w:val="000000"/>
                <w:sz w:val="18"/>
              </w:rPr>
              <w:t>During the Unit: - Lesson closure routine: Reserve 8–10 minutes at the end of each lesson for students to complete the corresponding row - Peer review: Have students exchange tables and provide feedback using a simple protocol (“One thing that’s clear + one question”) - Gallery walk: Post selected student entries (with permission) to highlight strong explanations or interesting questions - Just-in-time support: Circulate while students complete entries; provide scaffolding questions for struggling students</w:t>
            </w:r>
          </w:p>
          <w:p>
            <w:pPr>
              <w:spacing w:before="20" w:after="20"/>
              <w:jc w:val="left"/>
            </w:pPr>
            <w:r>
              <w:rPr>
                <w:rFonts w:ascii="Arial" w:hAnsi="Arial"/>
                <w:b w:val="0"/>
                <w:i w:val="0"/>
                <w:color w:val="000000"/>
                <w:sz w:val="18"/>
              </w:rPr>
              <w:t>Differentiation: - Emerging learners: Provide sentence frames for Columns 3 and 4 (e.g., “When temperature increases, particles _____ because _____.”) - Advanced learners: Challenge them to include quantitative reasoning (e.g., calculate expansion using α values) or compare multiple materials - Multilingual learners: Allow use of home language alongside English; encourage labeled diagrams in Column 5</w:t>
            </w:r>
          </w:p>
          <w:p>
            <w:pPr>
              <w:spacing w:before="20" w:after="20"/>
              <w:jc w:val="left"/>
            </w:pPr>
            <w:r>
              <w:rPr>
                <w:rFonts w:ascii="Arial" w:hAnsi="Arial"/>
                <w:b w:val="0"/>
                <w:i w:val="0"/>
                <w:color w:val="000000"/>
                <w:sz w:val="18"/>
              </w:rPr>
              <w:t>End-of-Unit Use: - Self-assessment: Students review their complete table and reflection questions before summative assessment - Grading evidence: Use completed tables as part of formative grade or as evidence of learning progression (not as high-stakes assessment) - Parent communication: Tables provide concrete evidence of student learning to share at conferences</w:t>
            </w:r>
          </w:p>
          <w:p>
            <w:pPr>
              <w:spacing w:before="20" w:after="20"/>
              <w:jc w:val="left"/>
            </w:pPr>
            <w:r>
              <w:rPr>
                <w:rFonts w:ascii="Arial" w:hAnsi="Arial"/>
                <w:b/>
                <w:i w:val="0"/>
                <w:color w:val="000000"/>
                <w:sz w:val="18"/>
              </w:rPr>
              <w:t>Alignment with Summative Assessment:</w:t>
            </w:r>
          </w:p>
          <w:p>
            <w:pPr>
              <w:spacing w:before="20" w:after="20"/>
              <w:jc w:val="left"/>
            </w:pPr>
            <w:r>
              <w:rPr>
                <w:rFonts w:ascii="Arial" w:hAnsi="Arial"/>
                <w:b w:val="0"/>
                <w:i w:val="0"/>
                <w:color w:val="000000"/>
                <w:sz w:val="18"/>
              </w:rPr>
              <w:t>The completed Summary Table prepares students for summative tasks such as: - Written explanations of novel thermal expansion phenomena - Design challenges requiring application of thermal expansion principles - Model-based reasoning tasks (e.g., predict and explain behavior of new materials) - Transfer tasks (e.g., explain why thermometers work, why power lines sag in summer)</w:t>
            </w:r>
          </w:p>
          <w:p>
            <w:pPr>
              <w:spacing w:before="20" w:after="20"/>
              <w:jc w:val="left"/>
            </w:pPr>
            <w:r>
              <w:rPr>
                <w:rFonts w:ascii="Arial" w:hAnsi="Arial"/>
                <w:b/>
                <w:i w:val="0"/>
                <w:color w:val="000000"/>
                <w:sz w:val="18"/>
              </w:rPr>
              <w:t>Time Management:</w:t>
            </w:r>
          </w:p>
          <w:p>
            <w:pPr>
              <w:spacing w:before="20" w:after="20"/>
              <w:ind w:left="240"/>
              <w:jc w:val="left"/>
            </w:pPr>
            <w:r>
              <w:rPr>
                <w:rFonts w:ascii="Arial" w:hAnsi="Arial"/>
                <w:b w:val="0"/>
                <w:i w:val="0"/>
                <w:color w:val="000000"/>
                <w:sz w:val="18"/>
              </w:rPr>
              <w:t>• In-class completion: 8–10 minutes per lesson (total ~60 minutes across unit)</w:t>
            </w:r>
          </w:p>
          <w:p>
            <w:pPr>
              <w:spacing w:before="20" w:after="20"/>
              <w:ind w:left="240"/>
              <w:jc w:val="left"/>
            </w:pPr>
            <w:r>
              <w:rPr>
                <w:rFonts w:ascii="Arial" w:hAnsi="Arial"/>
                <w:b w:val="0"/>
                <w:i w:val="0"/>
                <w:color w:val="000000"/>
                <w:sz w:val="18"/>
              </w:rPr>
              <w:t>• Reflection questions: 20–30 minutes (can be homework or extended class activity)</w:t>
            </w:r>
          </w:p>
          <w:p>
            <w:pPr>
              <w:spacing w:before="20" w:after="20"/>
              <w:ind w:left="240"/>
              <w:jc w:val="left"/>
            </w:pPr>
            <w:r>
              <w:rPr>
                <w:rFonts w:ascii="Arial" w:hAnsi="Arial"/>
                <w:b w:val="0"/>
                <w:i w:val="0"/>
                <w:color w:val="000000"/>
                <w:sz w:val="18"/>
              </w:rPr>
              <w:t>• Teacher review: 2–3 minutes per student per lesson (or sample 5–6 students per lesson on rotation)</w:t>
            </w:r>
          </w:p>
          <w:p>
            <w:pPr>
              <w:spacing w:before="20" w:after="20"/>
              <w:jc w:val="left"/>
            </w:pPr>
            <w:r>
              <w:rPr>
                <w:rFonts w:ascii="Arial" w:hAnsi="Arial"/>
                <w:b w:val="0"/>
                <w:i w:val="0"/>
                <w:color w:val="000000"/>
                <w:sz w:val="18"/>
              </w:rPr>
              <w:t>Document Version: 1.0</w:t>
              <w:br/>
              <w:t>Created: April 2026</w:t>
              <w:br/>
              <w:t>Curriculum Alignment: Grade 10 Physics, Sub-Strand 1.4 (Temperature and Thermal Expansion)</w:t>
              <w:br/>
              <w:t>Framework: Phenomenon-based, three-dimensional learning with formative assessment integration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