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80a637cd30b5291665607246d4fcc66442831a"/>
      <w:r>
        <w:t xml:space="preserve">Summary Table — Quadratic Expressions and Equations (Sub-Strand 1.3)</w:t>
      </w:r>
      <w:bookmarkEnd w:id="20"/>
    </w:p>
    <w:p>
      <w:pPr>
        <w:pStyle w:val="Heading2"/>
      </w:pPr>
      <w:bookmarkStart w:id="21" w:name="purpose-statement"/>
      <w:r>
        <w:t xml:space="preserve">Purpose Statement</w:t>
      </w:r>
      <w:bookmarkEnd w:id="21"/>
    </w:p>
    <w:p>
      <w:pPr>
        <w:pStyle w:val="FirstParagraph"/>
      </w:pPr>
      <w:r>
        <w:rPr>
          <w:b/>
        </w:rPr>
        <w:t xml:space="preserve">For Students:</w:t>
      </w:r>
      <w:r>
        <w:br/>
      </w:r>
      <w:r>
        <w:t xml:space="preserve">This Summary Table is your learning companion throughout Sub-Strand 1.3. Use it to track your journey as you explore quadratic expressions and equations. After each lesson, reflect on what you investigated, what you learned, and how it connects to solving real problems in your community. By the end of the unit, you’ll see how all the pieces fit together to help you model and solve authentic challenges.</w:t>
      </w:r>
    </w:p>
    <w:p>
      <w:pPr>
        <w:pStyle w:val="BodyText"/>
      </w:pPr>
      <w:r>
        <w:rPr>
          <w:b/>
        </w:rPr>
        <w:t xml:space="preserve">For Teachers:</w:t>
      </w:r>
      <w:r>
        <w:br/>
      </w:r>
      <w:r>
        <w:t xml:space="preserve">This tool supports formative assessment and metacognitive development. It helps students make explicit connections between mathematical concepts and the anchoring phenomenon, while providing you with insight into their evolving understanding. Use student entries to identify misconceptions, guide discussions, and differentiate instruction.</w:t>
      </w:r>
    </w:p>
    <w:p>
      <w:r>
        <w:pict>
          <v:rect style="width:0;height:1.5pt" o:hralign="center" o:hrstd="t" o:hr="t"/>
        </w:pict>
      </w:r>
    </w:p>
    <w:p>
      <w:pPr>
        <w:pStyle w:val="Heading2"/>
      </w:pPr>
      <w:bookmarkStart w:id="22" w:name="driving-question"/>
      <w:r>
        <w:t xml:space="preserve">Driving Question</w:t>
      </w:r>
      <w:bookmarkEnd w:id="22"/>
    </w:p>
    <w:p>
      <w:pPr>
        <w:pStyle w:val="FirstParagraph"/>
      </w:pPr>
      <w:r>
        <w:rPr>
          <w:b/>
        </w:rPr>
        <w:t xml:space="preserve">“</w:t>
      </w:r>
      <w:r>
        <w:rPr>
          <w:b/>
        </w:rPr>
        <w:t xml:space="preserve">How can we use quadratic equations to model, solve, and make sense of real-life problems in our communities?</w:t>
      </w:r>
      <w:r>
        <w:rPr>
          <w:b/>
        </w:rPr>
        <w:t xml:space="preserve">”</w:t>
      </w:r>
    </w:p>
    <w:p>
      <w:r>
        <w:pict>
          <v:rect style="width:0;height:1.5pt" o:hralign="center" o:hrstd="t" o:hr="t"/>
        </w:pict>
      </w:r>
    </w:p>
    <w:p>
      <w:pPr>
        <w:pStyle w:val="Heading2"/>
      </w:pPr>
      <w:bookmarkStart w:id="23" w:name="anchoring-phenomenon"/>
      <w:r>
        <w:t xml:space="preserve">Anchoring Phenomenon</w:t>
      </w:r>
      <w:bookmarkEnd w:id="23"/>
    </w:p>
    <w:p>
      <w:pPr>
        <w:pStyle w:val="FirstParagraph"/>
      </w:pPr>
      <w:r>
        <w:rPr>
          <w:b/>
        </w:rPr>
        <w:t xml:space="preserve">The Harambee Textbook Fundraiser:</w:t>
      </w:r>
    </w:p>
    <w:p>
      <w:pPr>
        <w:pStyle w:val="BodyText"/>
      </w:pPr>
      <w:r>
        <w:t xml:space="preserve">A harambee group is raising Ksh 12,000 to purchase mathematics textbooks for their local school. After the initial planning, 3 members drop out of the group. As a result, each of the remaining members must contribute Ksh 200 more than originally planned to still reach the Ksh 12,000 goal.</w:t>
      </w:r>
    </w:p>
    <w:p>
      <w:pPr>
        <w:pStyle w:val="BodyText"/>
      </w:pPr>
      <w:r>
        <w:rPr>
          <w:b/>
        </w:rPr>
        <w:t xml:space="preserve">Challenge:</w:t>
      </w:r>
      <w:r>
        <w:t xml:space="preserve"> </w:t>
      </w:r>
      <w:r>
        <w:t xml:space="preserve">Find the original number of members in the harambee group.</w:t>
      </w:r>
    </w:p>
    <w:p>
      <w:r>
        <w:pict>
          <v:rect style="width:0;height:1.5pt" o:hralign="center" o:hrstd="t" o:hr="t"/>
        </w:pict>
      </w:r>
    </w:p>
    <w:p>
      <w:pPr>
        <w:pStyle w:val="Heading2"/>
      </w:pPr>
      <w:bookmarkStart w:id="24" w:name="X47586c943eaeae2a058715bde40ccfdb253c956"/>
      <w:r>
        <w:t xml:space="preserve">Instructions for Completing the Summary Table</w:t>
      </w:r>
      <w:bookmarkEnd w:id="24"/>
    </w:p>
    <w:p>
      <w:pPr>
        <w:numPr>
          <w:ilvl w:val="0"/>
          <w:numId w:val="1001"/>
        </w:numPr>
      </w:pPr>
      <w:r>
        <w:rPr>
          <w:b/>
        </w:rPr>
        <w:t xml:space="preserve">After each lesson</w:t>
      </w:r>
      <w:r>
        <w:t xml:space="preserve">, take 5–10 minutes to complete the corresponding row in the table below.</w:t>
      </w:r>
    </w:p>
    <w:p>
      <w:pPr>
        <w:numPr>
          <w:ilvl w:val="0"/>
          <w:numId w:val="1001"/>
        </w:numPr>
      </w:pPr>
      <w:r>
        <w:rPr>
          <w:b/>
        </w:rPr>
        <w:t xml:space="preserve">Be specific and reflective</w:t>
      </w:r>
      <w:r>
        <w:t xml:space="preserve"> </w:t>
      </w:r>
      <w:r>
        <w:t xml:space="preserve">in your responses:</w:t>
      </w:r>
    </w:p>
    <w:p>
      <w:pPr>
        <w:numPr>
          <w:ilvl w:val="1"/>
          <w:numId w:val="1002"/>
        </w:numPr>
        <w:pStyle w:val="Compact"/>
      </w:pPr>
      <w:r>
        <w:rPr>
          <w:b/>
        </w:rPr>
        <w:t xml:space="preserve">Column 2 (What did I investigate?):</w:t>
      </w:r>
      <w:r>
        <w:t xml:space="preserve"> </w:t>
      </w:r>
      <w:r>
        <w:t xml:space="preserve">Describe the main activity, problem, or concept you explored.</w:t>
      </w:r>
    </w:p>
    <w:p>
      <w:pPr>
        <w:numPr>
          <w:ilvl w:val="1"/>
          <w:numId w:val="1002"/>
        </w:numPr>
        <w:pStyle w:val="Compact"/>
      </w:pPr>
      <w:r>
        <w:rPr>
          <w:b/>
        </w:rPr>
        <w:t xml:space="preserve">Column 3 (What did I learn?):</w:t>
      </w:r>
      <w:r>
        <w:t xml:space="preserve"> </w:t>
      </w:r>
      <w:r>
        <w:t xml:space="preserve">Summarize key mathematical ideas, skills, or insights in your own words.</w:t>
      </w:r>
    </w:p>
    <w:p>
      <w:pPr>
        <w:numPr>
          <w:ilvl w:val="1"/>
          <w:numId w:val="1002"/>
        </w:numPr>
        <w:pStyle w:val="Compact"/>
      </w:pPr>
      <w:r>
        <w:rPr>
          <w:b/>
        </w:rPr>
        <w:t xml:space="preserve">Column 4 (Connection to harambee problem):</w:t>
      </w:r>
      <w:r>
        <w:t xml:space="preserve"> </w:t>
      </w:r>
      <w:r>
        <w:t xml:space="preserve">Explain how this lesson’s content helps you understand or solve the anchoring phenomenon.</w:t>
      </w:r>
    </w:p>
    <w:p>
      <w:pPr>
        <w:numPr>
          <w:ilvl w:val="1"/>
          <w:numId w:val="1002"/>
        </w:numPr>
        <w:pStyle w:val="Compact"/>
      </w:pPr>
      <w:r>
        <w:rPr>
          <w:b/>
        </w:rPr>
        <w:t xml:space="preserve">Column 5 (DQB and Model Update):</w:t>
      </w:r>
      <w:r>
        <w:t xml:space="preserve"> </w:t>
      </w:r>
      <w:r>
        <w:t xml:space="preserve">Note any progress on your Driving Question Board or mathematical model.</w:t>
      </w:r>
    </w:p>
    <w:p>
      <w:pPr>
        <w:numPr>
          <w:ilvl w:val="0"/>
          <w:numId w:val="1001"/>
        </w:numPr>
      </w:pPr>
      <w:r>
        <w:rPr>
          <w:b/>
        </w:rPr>
        <w:t xml:space="preserve">Use the example row (Lesson 5)</w:t>
      </w:r>
      <w:r>
        <w:t xml:space="preserve"> </w:t>
      </w:r>
      <w:r>
        <w:t xml:space="preserve">as a guide for the level of detail expected.</w:t>
      </w:r>
    </w:p>
    <w:p>
      <w:pPr>
        <w:numPr>
          <w:ilvl w:val="0"/>
          <w:numId w:val="1001"/>
        </w:numPr>
      </w:pPr>
      <w:r>
        <w:rPr>
          <w:b/>
        </w:rPr>
        <w:t xml:space="preserve">Review your table regularly</w:t>
      </w:r>
      <w:r>
        <w:t xml:space="preserve"> </w:t>
      </w:r>
      <w:r>
        <w:t xml:space="preserve">to see patterns, connections, and your growth over time.</w:t>
      </w:r>
    </w:p>
    <w:p>
      <w:pPr>
        <w:numPr>
          <w:ilvl w:val="0"/>
          <w:numId w:val="1001"/>
        </w:numPr>
      </w:pPr>
      <w:r>
        <w:rPr>
          <w:b/>
        </w:rPr>
        <w:t xml:space="preserve">At the end of the unit</w:t>
      </w:r>
      <w:r>
        <w:t xml:space="preserve">, use the reflection questions to synthesize your learning.</w:t>
      </w:r>
    </w:p>
    <w:p>
      <w:r>
        <w:pict>
          <v:rect style="width:0;height:1.5pt" o:hralign="center" o:hrstd="t" o:hr="t"/>
        </w:pict>
      </w:r>
    </w:p>
    <w:p>
      <w:pPr>
        <w:pStyle w:val="Heading2"/>
      </w:pPr>
      <w:bookmarkStart w:id="25" w:name="summary-table"/>
      <w:r>
        <w:t xml:space="preserve">Summary Table</w:t>
      </w:r>
      <w:bookmarkEnd w:id="25"/>
    </w:p>
    <w:tbl>
      <w:tblPr>
        <w:tblStyle w:val="Table"/>
        <w:tblW w:type="pct" w:w="5000.0"/>
        <w:tblLook w:firstRow="1"/>
      </w:tblPr>
      <w:tblGrid>
        <w:gridCol w:w="1166"/>
        <w:gridCol w:w="1943"/>
        <w:gridCol w:w="1068"/>
        <w:gridCol w:w="2478"/>
        <w:gridCol w:w="1263"/>
      </w:tblGrid>
      <w:tr>
        <w:trPr>
          <w:cnfStyle w:firstRow="1"/>
        </w:trPr>
        <w:tc>
          <w:tcPr>
            <w:tcBorders>
              <w:bottom w:val="single"/>
            </w:tcBorders>
            <w:vAlign w:val="bottom"/>
          </w:tcPr>
          <w:p>
            <w:pPr>
              <w:pStyle w:val="Compact"/>
              <w:jc w:val="left"/>
            </w:pPr>
            <w:r>
              <w:rPr>
                <w:b/>
              </w:rPr>
              <w:t xml:space="preserve">Lesson # and Title</w:t>
            </w:r>
          </w:p>
        </w:tc>
        <w:tc>
          <w:tcPr>
            <w:tcBorders>
              <w:bottom w:val="single"/>
            </w:tcBorders>
            <w:vAlign w:val="bottom"/>
          </w:tcPr>
          <w:p>
            <w:pPr>
              <w:pStyle w:val="Compact"/>
              <w:jc w:val="left"/>
            </w:pPr>
            <w:r>
              <w:rPr>
                <w:b/>
              </w:rPr>
              <w:t xml:space="preserve">What did I investigate or work on?</w:t>
            </w:r>
          </w:p>
        </w:tc>
        <w:tc>
          <w:tcPr>
            <w:tcBorders>
              <w:bottom w:val="single"/>
            </w:tcBorders>
            <w:vAlign w:val="bottom"/>
          </w:tcPr>
          <w:p>
            <w:pPr>
              <w:pStyle w:val="Compact"/>
              <w:jc w:val="left"/>
            </w:pPr>
            <w:r>
              <w:rPr>
                <w:b/>
              </w:rPr>
              <w:t xml:space="preserve">What did I learn?</w:t>
            </w:r>
          </w:p>
        </w:tc>
        <w:tc>
          <w:tcPr>
            <w:tcBorders>
              <w:bottom w:val="single"/>
            </w:tcBorders>
            <w:vAlign w:val="bottom"/>
          </w:tcPr>
          <w:p>
            <w:pPr>
              <w:pStyle w:val="Compact"/>
              <w:jc w:val="left"/>
            </w:pPr>
            <w:r>
              <w:rPr>
                <w:b/>
              </w:rPr>
              <w:t xml:space="preserve">How does this help solve the harambee problem?</w:t>
            </w:r>
          </w:p>
        </w:tc>
        <w:tc>
          <w:tcPr>
            <w:tcBorders>
              <w:bottom w:val="single"/>
            </w:tcBorders>
            <w:vAlign w:val="bottom"/>
          </w:tcPr>
          <w:p>
            <w:pPr>
              <w:pStyle w:val="Compact"/>
              <w:jc w:val="left"/>
            </w:pPr>
            <w:r>
              <w:rPr>
                <w:b/>
              </w:rPr>
              <w:t xml:space="preserve">DQB and Model Update</w:t>
            </w:r>
          </w:p>
        </w:tc>
      </w:tr>
      <w:tr>
        <w:tc>
          <w:p>
            <w:pPr>
              <w:pStyle w:val="Compact"/>
              <w:jc w:val="left"/>
            </w:pPr>
            <w:r>
              <w:rPr>
                <w:b/>
              </w:rPr>
              <w:t xml:space="preserve">Lesson 1:</w:t>
            </w:r>
            <w:r>
              <w:t xml:space="preserve"> </w:t>
            </w:r>
            <w:r>
              <w:t xml:space="preserve">Introduction to Quadratic Expressions</w:t>
            </w:r>
          </w:p>
        </w:tc>
        <w:tc>
          <w:p>
            <w:pPr>
              <w:pStyle w:val="Compact"/>
              <w:jc w:val="left"/>
            </w:pPr>
            <w:r>
              <w:t xml:space="preserve">Exploring patterns in area models and recognizing expressions with squared terms; sorting algebraic expressions</w:t>
            </w:r>
          </w:p>
        </w:tc>
        <w:tc>
          <w:p>
            <w:pPr>
              <w:pStyle w:val="Compact"/>
              <w:jc w:val="left"/>
            </w:pPr>
            <w:r>
              <w:t xml:space="preserve">A quadratic expression contains a term with a variable squared (like</w:t>
            </w:r>
            <w:r>
              <w:t xml:space="preserve"> </w:t>
            </w:r>
            <w:r>
              <w:rPr>
                <w:i/>
              </w:rPr>
              <w:t xml:space="preserve">x</w:t>
            </w:r>
            <w:r>
              <w:t xml:space="preserve">²) and can be written in the form</w:t>
            </w:r>
            <w:r>
              <w:t xml:space="preserve"> </w:t>
            </w:r>
            <w:r>
              <w:rPr>
                <w:i/>
              </w:rPr>
              <w:t xml:space="preserve">ax</w:t>
            </w:r>
            <w:r>
              <w:t xml:space="preserve">² +</w:t>
            </w:r>
            <w:r>
              <w:t xml:space="preserve"> </w:t>
            </w:r>
            <w:r>
              <w:rPr>
                <w:i/>
              </w:rPr>
              <w:t xml:space="preserve">bx</w:t>
            </w:r>
            <w:r>
              <w:t xml:space="preserve"> </w:t>
            </w:r>
            <w:r>
              <w:t xml:space="preserve">+</w:t>
            </w:r>
            <w:r>
              <w:t xml:space="preserve"> </w:t>
            </w:r>
            <w:r>
              <w:rPr>
                <w:i/>
              </w:rPr>
              <w:t xml:space="preserve">c</w:t>
            </w:r>
            <w:r>
              <w:t xml:space="preserve">. Quadratics model situations involving area, growth, and other non-linear relationships.</w:t>
            </w:r>
          </w:p>
        </w:tc>
        <w:tc>
          <w:p>
            <w:pPr>
              <w:pStyle w:val="Compact"/>
              <w:jc w:val="left"/>
            </w:pPr>
            <w:r>
              <w:t xml:space="preserve">The harambee problem involves an unknown number of members and a relationship between contributions and total amount. Recognizing this as a quadratic situation is the first step.</w:t>
            </w:r>
          </w:p>
        </w:tc>
        <w:tc>
          <w:p>
            <w:pPr>
              <w:pStyle w:val="Compact"/>
              <w:jc w:val="left"/>
            </w:pPr>
            <w:r>
              <w:rPr>
                <w:b/>
              </w:rPr>
              <w:t xml:space="preserve">DQB Started:</w:t>
            </w:r>
            <w:r>
              <w:t xml:space="preserve"> </w:t>
            </w:r>
            <w:r>
              <w:t xml:space="preserve">Posted the harambee problem and initial questions.</w:t>
            </w:r>
            <w:r>
              <w:t xml:space="preserve"> </w:t>
            </w:r>
            <w:r>
              <w:rPr>
                <w:b/>
              </w:rPr>
              <w:t xml:space="preserve">Model:</w:t>
            </w:r>
            <w:r>
              <w:t xml:space="preserve"> </w:t>
            </w:r>
            <w:r>
              <w:t xml:space="preserve">Identified variables—let</w:t>
            </w:r>
            <w:r>
              <w:t xml:space="preserve"> </w:t>
            </w:r>
            <w:r>
              <w:rPr>
                <w:i/>
              </w:rPr>
              <w:t xml:space="preserve">x</w:t>
            </w:r>
            <w:r>
              <w:t xml:space="preserve"> </w:t>
            </w:r>
            <w:r>
              <w:t xml:space="preserve">= original number of members.</w:t>
            </w:r>
          </w:p>
        </w:tc>
      </w:tr>
      <w:tr>
        <w:tc>
          <w:p>
            <w:pPr>
              <w:pStyle w:val="Compact"/>
              <w:jc w:val="left"/>
            </w:pPr>
            <w:r>
              <w:rPr>
                <w:b/>
              </w:rPr>
              <w:t xml:space="preserve">Lesson 2:</w:t>
            </w:r>
            <w:r>
              <w:t xml:space="preserve"> </w:t>
            </w:r>
            <w:r>
              <w:t xml:space="preserve">Expanding Quadratic Expressions</w:t>
            </w:r>
          </w:p>
        </w:tc>
        <w:tc>
          <w:p>
            <w:pPr>
              <w:pStyle w:val="Compact"/>
              <w:jc w:val="left"/>
            </w:pPr>
            <w:r>
              <w:t xml:space="preserve">Practicing the distributive property and expanding products like (</w:t>
            </w:r>
            <w:r>
              <w:rPr>
                <w:i/>
              </w:rPr>
              <w:t xml:space="preserve">x</w:t>
            </w:r>
            <w:r>
              <w:t xml:space="preserve"> </w:t>
            </w:r>
            <w:r>
              <w:t xml:space="preserve">+ 3)(</w:t>
            </w:r>
            <w:r>
              <w:rPr>
                <w:i/>
              </w:rPr>
              <w:t xml:space="preserve">x</w:t>
            </w:r>
            <w:r>
              <w:t xml:space="preserve"> </w:t>
            </w:r>
            <w:r>
              <w:t xml:space="preserve">+ 5) using area models and algebraic methods</w:t>
            </w:r>
          </w:p>
        </w:tc>
        <w:tc>
          <w:p>
            <w:pPr>
              <w:pStyle w:val="Compact"/>
              <w:jc w:val="left"/>
            </w:pPr>
            <w:r>
              <w:t xml:space="preserve">Expanding means multiplying out brackets to write a quadratic in standard form. I learned to use FOIL (First, Outer, Inner, Last) and area diagrams to ensure I don’t miss any terms.</w:t>
            </w:r>
          </w:p>
        </w:tc>
        <w:tc>
          <w:p>
            <w:pPr>
              <w:pStyle w:val="Compact"/>
              <w:jc w:val="left"/>
            </w:pPr>
            <w:r>
              <w:t xml:space="preserve">If I set up an equation for the harambee problem, I may need to expand brackets to simplify and solve it. This skill is essential for manipulating equations.</w:t>
            </w:r>
          </w:p>
        </w:tc>
        <w:tc>
          <w:p>
            <w:pPr>
              <w:pStyle w:val="Compact"/>
              <w:jc w:val="left"/>
            </w:pPr>
            <w:r>
              <w:rPr>
                <w:b/>
              </w:rPr>
              <w:t xml:space="preserve">DQB Updated:</w:t>
            </w:r>
            <w:r>
              <w:t xml:space="preserve"> </w:t>
            </w:r>
            <w:r>
              <w:t xml:space="preserve">Added</w:t>
            </w:r>
            <w:r>
              <w:t xml:space="preserve"> </w:t>
            </w:r>
            <w:r>
              <w:t xml:space="preserve">“</w:t>
            </w:r>
            <w:r>
              <w:t xml:space="preserve">How do we expand and simplify quadratic expressions?</w:t>
            </w:r>
            <w:r>
              <w:t xml:space="preserve">”</w:t>
            </w:r>
            <w:r>
              <w:t xml:space="preserve"> </w:t>
            </w:r>
            <w:r>
              <w:rPr>
                <w:b/>
              </w:rPr>
              <w:t xml:space="preserve">Model:</w:t>
            </w:r>
            <w:r>
              <w:t xml:space="preserve"> </w:t>
            </w:r>
            <w:r>
              <w:t xml:space="preserve">Practiced expanding expressions to prepare for equation setup.</w:t>
            </w:r>
          </w:p>
        </w:tc>
      </w:tr>
      <w:tr>
        <w:tc>
          <w:p>
            <w:pPr>
              <w:pStyle w:val="Compact"/>
              <w:jc w:val="left"/>
            </w:pPr>
            <w:r>
              <w:rPr>
                <w:b/>
              </w:rPr>
              <w:t xml:space="preserve">Lesson 3:</w:t>
            </w:r>
            <w:r>
              <w:t xml:space="preserve"> </w:t>
            </w:r>
            <w:r>
              <w:t xml:space="preserve">Factorizing Quadratic Expressions</w:t>
            </w:r>
          </w:p>
        </w:tc>
        <w:tc>
          <w:p>
            <w:pPr>
              <w:pStyle w:val="Compact"/>
              <w:jc w:val="left"/>
            </w:pPr>
            <w:r>
              <w:t xml:space="preserve">Breaking down quadratic expressions into products of binomials; finding factor pairs and using the</w:t>
            </w:r>
            <w:r>
              <w:t xml:space="preserve"> </w:t>
            </w:r>
            <w:r>
              <w:t xml:space="preserve">“</w:t>
            </w:r>
            <w:r>
              <w:t xml:space="preserve">ac method</w:t>
            </w:r>
            <w:r>
              <w:t xml:space="preserve">”</w:t>
            </w:r>
          </w:p>
        </w:tc>
        <w:tc>
          <w:p>
            <w:pPr>
              <w:pStyle w:val="Compact"/>
              <w:jc w:val="left"/>
            </w:pPr>
            <w:r>
              <w:t xml:space="preserve">Factorizing is the reverse of expanding. I find two numbers that multiply to give</w:t>
            </w:r>
            <w:r>
              <w:t xml:space="preserve"> </w:t>
            </w:r>
            <w:r>
              <w:rPr>
                <w:i/>
              </w:rPr>
              <w:t xml:space="preserve">ac</w:t>
            </w:r>
            <w:r>
              <w:t xml:space="preserve"> </w:t>
            </w:r>
            <w:r>
              <w:t xml:space="preserve">and add to give</w:t>
            </w:r>
            <w:r>
              <w:t xml:space="preserve"> </w:t>
            </w:r>
            <w:r>
              <w:rPr>
                <w:i/>
              </w:rPr>
              <w:t xml:space="preserve">b</w:t>
            </w:r>
            <w:r>
              <w:t xml:space="preserve">, then rewrite and group terms. Factorizing helps solve equations by finding values that make the expression equal zero.</w:t>
            </w:r>
          </w:p>
        </w:tc>
        <w:tc>
          <w:p>
            <w:pPr>
              <w:pStyle w:val="Compact"/>
              <w:jc w:val="left"/>
            </w:pPr>
            <w:r>
              <w:t xml:space="preserve">Once I form a quadratic equation from the harambee problem, factorizing will allow me to find the possible values for the number of members.</w:t>
            </w:r>
          </w:p>
        </w:tc>
        <w:tc>
          <w:p>
            <w:pPr>
              <w:pStyle w:val="Compact"/>
              <w:jc w:val="left"/>
            </w:pPr>
            <w:r>
              <w:rPr>
                <w:b/>
              </w:rPr>
              <w:t xml:space="preserve">DQB Updated:</w:t>
            </w:r>
            <w:r>
              <w:t xml:space="preserve"> </w:t>
            </w:r>
            <w:r>
              <w:t xml:space="preserve">Added</w:t>
            </w:r>
            <w:r>
              <w:t xml:space="preserve"> </w:t>
            </w:r>
            <w:r>
              <w:t xml:space="preserve">“</w:t>
            </w:r>
            <w:r>
              <w:t xml:space="preserve">How do we factorize quadratics and why is this useful?</w:t>
            </w:r>
            <w:r>
              <w:t xml:space="preserve">”</w:t>
            </w:r>
            <w:r>
              <w:t xml:space="preserve"> </w:t>
            </w:r>
            <w:r>
              <w:rPr>
                <w:b/>
              </w:rPr>
              <w:t xml:space="preserve">Model:</w:t>
            </w:r>
            <w:r>
              <w:t xml:space="preserve"> </w:t>
            </w:r>
            <w:r>
              <w:t xml:space="preserve">Explored factorizing sample equations to prepare for solving.</w:t>
            </w:r>
          </w:p>
        </w:tc>
      </w:tr>
      <w:tr>
        <w:tc>
          <w:p>
            <w:pPr>
              <w:pStyle w:val="Compact"/>
              <w:jc w:val="left"/>
            </w:pPr>
            <w:r>
              <w:rPr>
                <w:b/>
              </w:rPr>
              <w:t xml:space="preserve">Lesson 4:</w:t>
            </w:r>
            <w:r>
              <w:t xml:space="preserve"> </w:t>
            </w:r>
            <w:r>
              <w:t xml:space="preserve">Solving Quadratic Equations by Factorizing</w:t>
            </w:r>
          </w:p>
        </w:tc>
        <w:tc>
          <w:p>
            <w:pPr>
              <w:pStyle w:val="Compact"/>
              <w:jc w:val="left"/>
            </w:pPr>
            <w:r>
              <w:t xml:space="preserve">Setting quadratic equations equal to zero, factorizing, and applying the zero-product property (</w:t>
            </w:r>
            <w:r>
              <w:rPr>
                <w:i/>
              </w:rPr>
              <w:t xml:space="preserve">if ab</w:t>
            </w:r>
            <w:r>
              <w:t xml:space="preserve"> </w:t>
            </w:r>
            <w:r>
              <w:t xml:space="preserve">= 0, then</w:t>
            </w:r>
            <w:r>
              <w:t xml:space="preserve"> </w:t>
            </w:r>
            <w:r>
              <w:rPr>
                <w:i/>
              </w:rPr>
              <w:t xml:space="preserve">a</w:t>
            </w:r>
            <w:r>
              <w:t xml:space="preserve"> </w:t>
            </w:r>
            <w:r>
              <w:t xml:space="preserve">= 0 or</w:t>
            </w:r>
            <w:r>
              <w:t xml:space="preserve"> </w:t>
            </w:r>
            <w:r>
              <w:rPr>
                <w:i/>
              </w:rPr>
              <w:t xml:space="preserve">b</w:t>
            </w:r>
            <w:r>
              <w:t xml:space="preserve"> </w:t>
            </w:r>
            <w:r>
              <w:t xml:space="preserve">= 0)</w:t>
            </w:r>
          </w:p>
        </w:tc>
        <w:tc>
          <w:p>
            <w:pPr>
              <w:pStyle w:val="Compact"/>
              <w:jc w:val="left"/>
            </w:pPr>
            <w:r>
              <w:t xml:space="preserve">To solve a quadratic equation by factorizing: (1) rearrange to standard form, (2) factorize, (3) set each factor to zero, (4) solve for the variable. I must check solutions in the context of the problem.</w:t>
            </w:r>
          </w:p>
        </w:tc>
        <w:tc>
          <w:p>
            <w:pPr>
              <w:pStyle w:val="Compact"/>
              <w:jc w:val="left"/>
            </w:pPr>
            <w:r>
              <w:t xml:space="preserve">This is the key method I’ll use to solve the harambee equation. After forming and factorizing the equation, I’ll find the original number of members.</w:t>
            </w:r>
          </w:p>
        </w:tc>
        <w:tc>
          <w:p>
            <w:pPr>
              <w:pStyle w:val="Compact"/>
              <w:jc w:val="left"/>
            </w:pPr>
            <w:r>
              <w:rPr>
                <w:b/>
              </w:rPr>
              <w:t xml:space="preserve">DQB Updated:</w:t>
            </w:r>
            <w:r>
              <w:t xml:space="preserve"> </w:t>
            </w:r>
            <w:r>
              <w:t xml:space="preserve">Added</w:t>
            </w:r>
            <w:r>
              <w:t xml:space="preserve"> </w:t>
            </w:r>
            <w:r>
              <w:t xml:space="preserve">“</w:t>
            </w:r>
            <w:r>
              <w:t xml:space="preserve">How do we solve quadratic equations and interpret solutions?</w:t>
            </w:r>
            <w:r>
              <w:t xml:space="preserve">”</w:t>
            </w:r>
            <w:r>
              <w:t xml:space="preserve"> </w:t>
            </w:r>
            <w:r>
              <w:rPr>
                <w:b/>
              </w:rPr>
              <w:t xml:space="preserve">Model:</w:t>
            </w:r>
            <w:r>
              <w:t xml:space="preserve"> </w:t>
            </w:r>
            <w:r>
              <w:t xml:space="preserve">Practiced solving equations and checking for extraneous solutions.</w:t>
            </w:r>
          </w:p>
        </w:tc>
      </w:tr>
      <w:tr>
        <w:tc>
          <w:p>
            <w:pPr>
              <w:pStyle w:val="Compact"/>
              <w:jc w:val="left"/>
            </w:pPr>
            <w:r>
              <w:rPr>
                <w:b/>
              </w:rPr>
              <w:t xml:space="preserve">Lesson 5:</w:t>
            </w:r>
            <w:r>
              <w:t xml:space="preserve"> </w:t>
            </w:r>
            <w:r>
              <w:t xml:space="preserve">Formation of Quadratic Equations from Real-World Contexts</w:t>
            </w:r>
          </w:p>
        </w:tc>
        <w:tc>
          <w:p>
            <w:pPr>
              <w:pStyle w:val="Compact"/>
              <w:jc w:val="left"/>
            </w:pPr>
            <w:r>
              <w:t xml:space="preserve">Translating word problems into algebraic equations; identifying known and unknown quantities, defining variables, and writing equations that represent relationships described in context</w:t>
            </w:r>
          </w:p>
        </w:tc>
        <w:tc>
          <w:p>
            <w:pPr>
              <w:pStyle w:val="Compact"/>
              <w:jc w:val="left"/>
            </w:pPr>
            <w:r>
              <w:t xml:space="preserve">Forming equations requires careful reading and logical reasoning. I learned to: (1) define a variable clearly, (2) express other quantities in terms of that variable, (3) use relationships in the problem to write an equation, (4) simplify to standard form. Context clues (like</w:t>
            </w:r>
            <w:r>
              <w:t xml:space="preserve"> </w:t>
            </w:r>
            <w:r>
              <w:t xml:space="preserve">“</w:t>
            </w:r>
            <w:r>
              <w:t xml:space="preserve">200 more</w:t>
            </w:r>
            <w:r>
              <w:t xml:space="preserve">”</w:t>
            </w:r>
            <w:r>
              <w:t xml:space="preserve"> </w:t>
            </w:r>
            <w:r>
              <w:t xml:space="preserve">or</w:t>
            </w:r>
            <w:r>
              <w:t xml:space="preserve"> </w:t>
            </w:r>
            <w:r>
              <w:t xml:space="preserve">“</w:t>
            </w:r>
            <w:r>
              <w:t xml:space="preserve">total of 12,000</w:t>
            </w:r>
            <w:r>
              <w:t xml:space="preserve">”</w:t>
            </w:r>
            <w:r>
              <w:t xml:space="preserve">) guide equation setup.</w:t>
            </w:r>
          </w:p>
        </w:tc>
        <w:tc>
          <w:p>
            <w:pPr>
              <w:pStyle w:val="Compact"/>
              <w:jc w:val="left"/>
            </w:pPr>
            <w:r>
              <w:t xml:space="preserve">This lesson directly addresses the harambee problem. I practiced setting up equations from similar contexts (cost-sharing, area problems). Now I can translate the harambee scenario into a solvable quadratic equation: original contribution per person × number of people = 12,000, and new contribution = original + 200.</w:t>
            </w:r>
          </w:p>
        </w:tc>
        <w:tc>
          <w:p>
            <w:pPr>
              <w:pStyle w:val="Compact"/>
              <w:jc w:val="left"/>
            </w:pPr>
            <w:r>
              <w:rPr>
                <w:b/>
              </w:rPr>
              <w:t xml:space="preserve">DQB Updated:</w:t>
            </w:r>
            <w:r>
              <w:t xml:space="preserve"> </w:t>
            </w:r>
            <w:r>
              <w:t xml:space="preserve">Added</w:t>
            </w:r>
            <w:r>
              <w:t xml:space="preserve"> </w:t>
            </w:r>
            <w:r>
              <w:t xml:space="preserve">“</w:t>
            </w:r>
            <w:r>
              <w:t xml:space="preserve">How do we translate real-world problems into quadratic equations?</w:t>
            </w:r>
            <w:r>
              <w:t xml:space="preserve">”</w:t>
            </w:r>
            <w:r>
              <w:t xml:space="preserve"> </w:t>
            </w:r>
            <w:r>
              <w:rPr>
                <w:b/>
              </w:rPr>
              <w:t xml:space="preserve">Model Revised:</w:t>
            </w:r>
            <w:r>
              <w:t xml:space="preserve"> </w:t>
            </w:r>
            <w:r>
              <w:t xml:space="preserve">Let</w:t>
            </w:r>
            <w:r>
              <w:t xml:space="preserve"> </w:t>
            </w:r>
            <w:r>
              <w:rPr>
                <w:i/>
              </w:rPr>
              <w:t xml:space="preserve">x</w:t>
            </w:r>
            <w:r>
              <w:t xml:space="preserve"> </w:t>
            </w:r>
            <w:r>
              <w:t xml:space="preserve">= original number of members. Original contribution per person = 12000/</w:t>
            </w:r>
            <w:r>
              <w:rPr>
                <w:i/>
              </w:rPr>
              <w:t xml:space="preserve">x</w:t>
            </w:r>
            <w:r>
              <w:t xml:space="preserve">. After 3 drop out, (</w:t>
            </w:r>
            <w:r>
              <w:rPr>
                <w:i/>
              </w:rPr>
              <w:t xml:space="preserve">x</w:t>
            </w:r>
            <w:r>
              <w:t xml:space="preserve"> </w:t>
            </w:r>
            <w:r>
              <w:t xml:space="preserve">− 3) members remain, each pays 12000/(</w:t>
            </w:r>
            <w:r>
              <w:rPr>
                <w:i/>
              </w:rPr>
              <w:t xml:space="preserve">x</w:t>
            </w:r>
            <w:r>
              <w:t xml:space="preserve"> </w:t>
            </w:r>
            <w:r>
              <w:t xml:space="preserve">− 3). Equation: 12000/(</w:t>
            </w:r>
            <w:r>
              <w:rPr>
                <w:i/>
              </w:rPr>
              <w:t xml:space="preserve">x</w:t>
            </w:r>
            <w:r>
              <w:t xml:space="preserve"> </w:t>
            </w:r>
            <w:r>
              <w:t xml:space="preserve">− 3) = 12000/</w:t>
            </w:r>
            <w:r>
              <w:rPr>
                <w:i/>
              </w:rPr>
              <w:t xml:space="preserve">x</w:t>
            </w:r>
            <w:r>
              <w:t xml:space="preserve"> </w:t>
            </w:r>
            <w:r>
              <w:t xml:space="preserve">+ 200.</w:t>
            </w:r>
          </w:p>
        </w:tc>
      </w:tr>
      <w:tr>
        <w:tc>
          <w:p>
            <w:pPr>
              <w:pStyle w:val="Compact"/>
              <w:jc w:val="left"/>
            </w:pPr>
            <w:r>
              <w:rPr>
                <w:b/>
              </w:rPr>
              <w:t xml:space="preserve">Lesson 6:</w:t>
            </w:r>
            <w:r>
              <w:t xml:space="preserve"> </w:t>
            </w:r>
            <w:r>
              <w:t xml:space="preserve">Solving and Interpreting Quadratic Equations in Context</w:t>
            </w:r>
          </w:p>
        </w:tc>
        <w:tc>
          <w:p>
            <w:pPr>
              <w:pStyle w:val="Compact"/>
              <w:jc w:val="left"/>
            </w:pPr>
            <w:r>
              <w:t xml:space="preserve">Solving the equations formed in Lesson 5, interpreting solutions, and rejecting non-viable answers based on context (e.g., negative or non-integer values)</w:t>
            </w:r>
          </w:p>
        </w:tc>
        <w:tc>
          <w:p>
            <w:pPr>
              <w:pStyle w:val="Compact"/>
              <w:jc w:val="left"/>
            </w:pPr>
            <w:r>
              <w:t xml:space="preserve">Not all mathematical solutions make sense in real life. I learned to check solutions against the problem context and reject those that are impossible (like negative people or fractional members). Interpretation is as important as calculation.</w:t>
            </w:r>
          </w:p>
        </w:tc>
        <w:tc>
          <w:p>
            <w:pPr>
              <w:pStyle w:val="Compact"/>
              <w:jc w:val="left"/>
            </w:pPr>
            <w:r>
              <w:t xml:space="preserve">After solving the harambee equation, I’ll get two solutions. I must interpret which one is realistic (positive integer number of members) and explain why the other is rejected.</w:t>
            </w:r>
          </w:p>
        </w:tc>
        <w:tc>
          <w:p>
            <w:pPr>
              <w:pStyle w:val="Compact"/>
              <w:jc w:val="left"/>
            </w:pPr>
            <w:r>
              <w:rPr>
                <w:b/>
              </w:rPr>
              <w:t xml:space="preserve">DQB Updated:</w:t>
            </w:r>
            <w:r>
              <w:t xml:space="preserve"> </w:t>
            </w:r>
            <w:r>
              <w:t xml:space="preserve">Added</w:t>
            </w:r>
            <w:r>
              <w:t xml:space="preserve"> </w:t>
            </w:r>
            <w:r>
              <w:t xml:space="preserve">“</w:t>
            </w:r>
            <w:r>
              <w:t xml:space="preserve">How do we interpret and validate solutions in context?</w:t>
            </w:r>
            <w:r>
              <w:t xml:space="preserve">”</w:t>
            </w:r>
            <w:r>
              <w:t xml:space="preserve"> </w:t>
            </w:r>
            <w:r>
              <w:rPr>
                <w:b/>
              </w:rPr>
              <w:t xml:space="preserve">Model Revised:</w:t>
            </w:r>
            <w:r>
              <w:t xml:space="preserve"> </w:t>
            </w:r>
            <w:r>
              <w:t xml:space="preserve">Solved the harambee equation, found</w:t>
            </w:r>
            <w:r>
              <w:t xml:space="preserve"> </w:t>
            </w:r>
            <w:r>
              <w:rPr>
                <w:i/>
              </w:rPr>
              <w:t xml:space="preserve">x</w:t>
            </w:r>
            <w:r>
              <w:t xml:space="preserve"> </w:t>
            </w:r>
            <w:r>
              <w:t xml:space="preserve">= 15 or</w:t>
            </w:r>
            <w:r>
              <w:t xml:space="preserve"> </w:t>
            </w:r>
            <w:r>
              <w:rPr>
                <w:i/>
              </w:rPr>
              <w:t xml:space="preserve">x</w:t>
            </w:r>
            <w:r>
              <w:t xml:space="preserve"> </w:t>
            </w:r>
            <w:r>
              <w:t xml:space="preserve">= −12. Rejected</w:t>
            </w:r>
            <w:r>
              <w:t xml:space="preserve"> </w:t>
            </w:r>
            <w:r>
              <w:rPr>
                <w:i/>
              </w:rPr>
              <w:t xml:space="preserve">x</w:t>
            </w:r>
            <w:r>
              <w:t xml:space="preserve"> </w:t>
            </w:r>
            <w:r>
              <w:t xml:space="preserve">= −12 (can’t have negative members). Original number = 15 members.</w:t>
            </w:r>
          </w:p>
        </w:tc>
      </w:tr>
      <w:tr>
        <w:tc>
          <w:p>
            <w:pPr>
              <w:pStyle w:val="Compact"/>
              <w:jc w:val="left"/>
            </w:pPr>
            <w:r>
              <w:rPr>
                <w:b/>
              </w:rPr>
              <w:t xml:space="preserve">Lesson 7:</w:t>
            </w:r>
            <w:r>
              <w:t xml:space="preserve"> </w:t>
            </w:r>
            <w:r>
              <w:t xml:space="preserve">Reflection and Application</w:t>
            </w:r>
          </w:p>
        </w:tc>
        <w:tc>
          <w:p>
            <w:pPr>
              <w:pStyle w:val="Compact"/>
              <w:jc w:val="left"/>
            </w:pPr>
            <w:r>
              <w:t xml:space="preserve">Reviewing the entire process from problem to solution; presenting the harambee solution; exploring extensions and new applications of quadratic equations</w:t>
            </w:r>
          </w:p>
        </w:tc>
        <w:tc>
          <w:p>
            <w:pPr>
              <w:pStyle w:val="Compact"/>
              <w:jc w:val="left"/>
            </w:pPr>
            <w:r>
              <w:t xml:space="preserve">Quadratic equations are powerful tools for modeling real-world situations involving products, areas, rates, and optimization. The process—define, model, solve, interpret—applies across many contexts. I can now confidently approach similar problems.</w:t>
            </w:r>
          </w:p>
        </w:tc>
        <w:tc>
          <w:p>
            <w:pPr>
              <w:pStyle w:val="Compact"/>
              <w:jc w:val="left"/>
            </w:pPr>
            <w:r>
              <w:t xml:space="preserve">I successfully solved the harambee problem: the original group had 15 members. Each was to pay Ksh 800, but after 3 left, the remaining 12 each paid Ksh 1,000. This confirms the solution. I can now apply this process to other community problems.</w:t>
            </w:r>
          </w:p>
        </w:tc>
        <w:tc>
          <w:p>
            <w:pPr>
              <w:pStyle w:val="Compact"/>
              <w:jc w:val="left"/>
            </w:pPr>
            <w:r>
              <w:rPr>
                <w:b/>
              </w:rPr>
              <w:t xml:space="preserve">DQB Completed:</w:t>
            </w:r>
            <w:r>
              <w:t xml:space="preserve"> </w:t>
            </w:r>
            <w:r>
              <w:t xml:space="preserve">Answered the driving question with a full solution and explanation.</w:t>
            </w:r>
            <w:r>
              <w:t xml:space="preserve"> </w:t>
            </w:r>
            <w:r>
              <w:rPr>
                <w:b/>
              </w:rPr>
              <w:t xml:space="preserve">Model Final:</w:t>
            </w:r>
            <w:r>
              <w:t xml:space="preserve"> </w:t>
            </w:r>
            <w:r>
              <w:t xml:space="preserve">Verified solution by checking: 12,000/15 = 800 (original), 12,000/12 = 1,000 (new), difference = 200 ✓. Presented model and solution to class.</w:t>
            </w:r>
          </w:p>
        </w:tc>
      </w:tr>
    </w:tbl>
    <w:p>
      <w:r>
        <w:pict>
          <v:rect style="width:0;height:1.5pt" o:hralign="center" o:hrstd="t" o:hr="t"/>
        </w:pict>
      </w:r>
    </w:p>
    <w:p>
      <w:pPr>
        <w:pStyle w:val="Heading2"/>
      </w:pPr>
      <w:bookmarkStart w:id="26" w:name="dqb-driving-question-board-tracking"/>
      <w:r>
        <w:t xml:space="preserve">DQB (Driving Question Board) Tracking</w:t>
      </w:r>
      <w:bookmarkEnd w:id="26"/>
    </w:p>
    <w:p>
      <w:pPr>
        <w:numPr>
          <w:ilvl w:val="0"/>
          <w:numId w:val="1003"/>
        </w:numPr>
        <w:pStyle w:val="Compact"/>
      </w:pPr>
      <w:r>
        <w:rPr>
          <w:b/>
        </w:rPr>
        <w:t xml:space="preserve">Lesson 1:</w:t>
      </w:r>
      <w:r>
        <w:t xml:space="preserve"> </w:t>
      </w:r>
      <w:r>
        <w:t xml:space="preserve">DQB Started — Posted the anchoring phenomenon and initial wonderings</w:t>
      </w:r>
    </w:p>
    <w:p>
      <w:pPr>
        <w:numPr>
          <w:ilvl w:val="0"/>
          <w:numId w:val="1003"/>
        </w:numPr>
        <w:pStyle w:val="Compact"/>
      </w:pPr>
      <w:r>
        <w:rPr>
          <w:b/>
        </w:rPr>
        <w:t xml:space="preserve">Lessons 2–6:</w:t>
      </w:r>
      <w:r>
        <w:t xml:space="preserve"> </w:t>
      </w:r>
      <w:r>
        <w:t xml:space="preserve">DQB Updated — Added new questions and insights as skills developed</w:t>
      </w:r>
    </w:p>
    <w:p>
      <w:pPr>
        <w:numPr>
          <w:ilvl w:val="0"/>
          <w:numId w:val="1003"/>
        </w:numPr>
        <w:pStyle w:val="Compact"/>
      </w:pPr>
      <w:r>
        <w:rPr>
          <w:b/>
        </w:rPr>
        <w:t xml:space="preserve">Lesson 7:</w:t>
      </w:r>
      <w:r>
        <w:t xml:space="preserve"> </w:t>
      </w:r>
      <w:r>
        <w:t xml:space="preserve">DQB Completed — Answered the driving question with full justification</w:t>
      </w:r>
    </w:p>
    <w:p>
      <w:r>
        <w:pict>
          <v:rect style="width:0;height:1.5pt" o:hralign="center" o:hrstd="t" o:hr="t"/>
        </w:pict>
      </w:r>
    </w:p>
    <w:p>
      <w:pPr>
        <w:pStyle w:val="Heading2"/>
      </w:pPr>
      <w:bookmarkStart w:id="27" w:name="model-tracking"/>
      <w:r>
        <w:t xml:space="preserve">Model Tracking</w:t>
      </w:r>
      <w:bookmarkEnd w:id="27"/>
    </w:p>
    <w:p>
      <w:pPr>
        <w:numPr>
          <w:ilvl w:val="0"/>
          <w:numId w:val="1004"/>
        </w:numPr>
        <w:pStyle w:val="Compact"/>
      </w:pPr>
      <w:r>
        <w:rPr>
          <w:b/>
        </w:rPr>
        <w:t xml:space="preserve">Lesson 1:</w:t>
      </w:r>
      <w:r>
        <w:t xml:space="preserve"> </w:t>
      </w:r>
      <w:r>
        <w:t xml:space="preserve">Initial Model — Defined variables and identified the problem structure</w:t>
      </w:r>
    </w:p>
    <w:p>
      <w:pPr>
        <w:numPr>
          <w:ilvl w:val="0"/>
          <w:numId w:val="1004"/>
        </w:numPr>
        <w:pStyle w:val="Compact"/>
      </w:pPr>
      <w:r>
        <w:rPr>
          <w:b/>
        </w:rPr>
        <w:t xml:space="preserve">Lessons 2–6:</w:t>
      </w:r>
      <w:r>
        <w:t xml:space="preserve"> </w:t>
      </w:r>
      <w:r>
        <w:t xml:space="preserve">Model Revised — Developed, refined, and solved the mathematical model</w:t>
      </w:r>
    </w:p>
    <w:p>
      <w:pPr>
        <w:numPr>
          <w:ilvl w:val="0"/>
          <w:numId w:val="1004"/>
        </w:numPr>
        <w:pStyle w:val="Compact"/>
      </w:pPr>
      <w:r>
        <w:rPr>
          <w:b/>
        </w:rPr>
        <w:t xml:space="preserve">Lesson 7:</w:t>
      </w:r>
      <w:r>
        <w:t xml:space="preserve"> </w:t>
      </w:r>
      <w:r>
        <w:t xml:space="preserve">Final Model — Verified, interpreted, and presented the complete solution</w:t>
      </w:r>
    </w:p>
    <w:p>
      <w:r>
        <w:pict>
          <v:rect style="width:0;height:1.5pt" o:hralign="center" o:hrstd="t" o:hr="t"/>
        </w:pict>
      </w:r>
    </w:p>
    <w:p>
      <w:pPr>
        <w:pStyle w:val="Heading2"/>
      </w:pPr>
      <w:bookmarkStart w:id="28" w:name="reflection-questions"/>
      <w:r>
        <w:t xml:space="preserve">Reflection Questions</w:t>
      </w:r>
      <w:bookmarkEnd w:id="28"/>
    </w:p>
    <w:p>
      <w:pPr>
        <w:pStyle w:val="FirstParagraph"/>
      </w:pPr>
      <w:r>
        <w:t xml:space="preserve">At the end of Sub-Strand 1.3, reflect on your learning journey by answering these questions:</w:t>
      </w:r>
    </w:p>
    <w:p>
      <w:pPr>
        <w:numPr>
          <w:ilvl w:val="0"/>
          <w:numId w:val="1005"/>
        </w:numPr>
      </w:pPr>
      <w:r>
        <w:rPr>
          <w:b/>
        </w:rPr>
        <w:t xml:space="preserve">Conceptual Understanding:</w:t>
      </w:r>
      <w:r>
        <w:br/>
      </w:r>
      <w:r>
        <w:t xml:space="preserve">How has your understanding of quadratic expressions and equations evolved from Lesson 1 to Lesson 7? What was the most challenging concept, and how did you overcome that challenge?</w:t>
      </w:r>
    </w:p>
    <w:p>
      <w:pPr>
        <w:numPr>
          <w:ilvl w:val="0"/>
          <w:numId w:val="1005"/>
        </w:numPr>
      </w:pPr>
      <w:r>
        <w:rPr>
          <w:b/>
        </w:rPr>
        <w:t xml:space="preserve">Problem-Solving Process:</w:t>
      </w:r>
      <w:r>
        <w:br/>
      </w:r>
      <w:r>
        <w:t xml:space="preserve">Describe the steps you followed to solve the harambee problem. Which step was most difficult, and why?</w:t>
      </w:r>
    </w:p>
    <w:p>
      <w:pPr>
        <w:numPr>
          <w:ilvl w:val="0"/>
          <w:numId w:val="1005"/>
        </w:numPr>
      </w:pPr>
      <w:r>
        <w:rPr>
          <w:b/>
        </w:rPr>
        <w:t xml:space="preserve">Real-World Connections:</w:t>
      </w:r>
      <w:r>
        <w:br/>
      </w:r>
      <w:r>
        <w:t xml:space="preserve">Why are quadratic equations useful for modeling real-life situations? Can you think of another problem in your community or daily life that might involve a quadratic equation?</w:t>
      </w:r>
    </w:p>
    <w:p>
      <w:pPr>
        <w:numPr>
          <w:ilvl w:val="0"/>
          <w:numId w:val="1005"/>
        </w:numPr>
      </w:pPr>
      <w:r>
        <w:rPr>
          <w:b/>
        </w:rPr>
        <w:t xml:space="preserve">Mathematical Practices:</w:t>
      </w:r>
      <w:r>
        <w:br/>
      </w:r>
      <w:r>
        <w:t xml:space="preserve">How did using the Summary Table help you connect ideas across lessons? Did it change the way you think about learning mathematics?</w:t>
      </w:r>
    </w:p>
    <w:p>
      <w:pPr>
        <w:numPr>
          <w:ilvl w:val="0"/>
          <w:numId w:val="1005"/>
        </w:numPr>
      </w:pPr>
      <w:r>
        <w:rPr>
          <w:b/>
        </w:rPr>
        <w:t xml:space="preserve">Collaboration and Communication:</w:t>
      </w:r>
      <w:r>
        <w:br/>
      </w:r>
      <w:r>
        <w:t xml:space="preserve">How did discussing your thinking with classmates help you understand quadratics better? What did you learn from others’ approaches?</w:t>
      </w:r>
    </w:p>
    <w:p>
      <w:pPr>
        <w:numPr>
          <w:ilvl w:val="0"/>
          <w:numId w:val="1005"/>
        </w:numPr>
      </w:pPr>
      <w:r>
        <w:rPr>
          <w:b/>
        </w:rPr>
        <w:t xml:space="preserve">Looking Ahead:</w:t>
      </w:r>
      <w:r>
        <w:br/>
      </w:r>
      <w:r>
        <w:t xml:space="preserve">What questions do you still have about quadratic equations? How might you use what you’ve learned in future mathematics topics or other subjects?</w:t>
      </w:r>
    </w:p>
    <w:p>
      <w:r>
        <w:pict>
          <v:rect style="width:0;height:1.5pt" o:hralign="center" o:hrstd="t" o:hr="t"/>
        </w:pict>
      </w:r>
    </w:p>
    <w:p>
      <w:pPr>
        <w:pStyle w:val="Heading2"/>
      </w:pPr>
      <w:bookmarkStart w:id="29" w:name="X4cf5cdc9bd9f0e59a587b2044ca37682e689866"/>
      <w:r>
        <w:t xml:space="preserve">Teacher Notes: Formative Use of the Summary Table</w:t>
      </w:r>
      <w:bookmarkEnd w:id="29"/>
    </w:p>
    <w:p>
      <w:pPr>
        <w:pStyle w:val="Heading3"/>
      </w:pPr>
      <w:bookmarkStart w:id="30" w:name="purpose"/>
      <w:r>
        <w:t xml:space="preserve">Purpose</w:t>
      </w:r>
      <w:bookmarkEnd w:id="30"/>
    </w:p>
    <w:p>
      <w:pPr>
        <w:pStyle w:val="FirstParagraph"/>
      </w:pPr>
      <w:r>
        <w:t xml:space="preserve">The Summary Table serves as a</w:t>
      </w:r>
      <w:r>
        <w:t xml:space="preserve"> </w:t>
      </w:r>
      <w:r>
        <w:rPr>
          <w:b/>
        </w:rPr>
        <w:t xml:space="preserve">formative assessment tool</w:t>
      </w:r>
      <w:r>
        <w:t xml:space="preserve"> </w:t>
      </w:r>
      <w:r>
        <w:t xml:space="preserve">that makes student thinking visible and supports metacognition. It helps students build coherence across lessons and see mathematics as a sense-making activity anchored in authentic contexts.</w:t>
      </w:r>
    </w:p>
    <w:p>
      <w:pPr>
        <w:pStyle w:val="Heading3"/>
      </w:pPr>
      <w:bookmarkStart w:id="31" w:name="formative-assessment-strategies"/>
      <w:r>
        <w:t xml:space="preserve">Formative Assessment Strategies</w:t>
      </w:r>
      <w:bookmarkEnd w:id="31"/>
    </w:p>
    <w:p>
      <w:pPr>
        <w:numPr>
          <w:ilvl w:val="0"/>
          <w:numId w:val="1006"/>
        </w:numPr>
        <w:pStyle w:val="Compact"/>
      </w:pPr>
      <w:r>
        <w:rPr>
          <w:b/>
        </w:rPr>
        <w:t xml:space="preserve">Regular Review:</w:t>
      </w:r>
      <w:r>
        <w:br/>
      </w:r>
      <w:r>
        <w:t xml:space="preserve">Collect or review Summary Tables every 2–3 lessons. Look for:</w:t>
      </w:r>
    </w:p>
    <w:p>
      <w:pPr>
        <w:numPr>
          <w:ilvl w:val="1"/>
          <w:numId w:val="1007"/>
        </w:numPr>
        <w:pStyle w:val="Compact"/>
      </w:pPr>
      <w:r>
        <w:t xml:space="preserve">Depth and specificity of reflections</w:t>
      </w:r>
    </w:p>
    <w:p>
      <w:pPr>
        <w:numPr>
          <w:ilvl w:val="1"/>
          <w:numId w:val="1007"/>
        </w:numPr>
        <w:pStyle w:val="Compact"/>
      </w:pPr>
      <w:r>
        <w:t xml:space="preserve">Accurate use of mathematical vocabulary</w:t>
      </w:r>
    </w:p>
    <w:p>
      <w:pPr>
        <w:numPr>
          <w:ilvl w:val="1"/>
          <w:numId w:val="1007"/>
        </w:numPr>
        <w:pStyle w:val="Compact"/>
      </w:pPr>
      <w:r>
        <w:t xml:space="preserve">Evidence of connections between lessons and the anchoring phenomenon</w:t>
      </w:r>
    </w:p>
    <w:p>
      <w:pPr>
        <w:numPr>
          <w:ilvl w:val="1"/>
          <w:numId w:val="1007"/>
        </w:numPr>
        <w:pStyle w:val="Compact"/>
      </w:pPr>
      <w:r>
        <w:t xml:space="preserve">Misconceptions or gaps in understanding</w:t>
      </w:r>
    </w:p>
    <w:p>
      <w:pPr>
        <w:numPr>
          <w:ilvl w:val="0"/>
          <w:numId w:val="1006"/>
        </w:numPr>
        <w:pStyle w:val="Compact"/>
      </w:pPr>
      <w:r>
        <w:rPr>
          <w:b/>
        </w:rPr>
        <w:t xml:space="preserve">Feedback:</w:t>
      </w:r>
      <w:r>
        <w:br/>
      </w:r>
      <w:r>
        <w:t xml:space="preserve">Provide targeted, growth-oriented feedback:</w:t>
      </w:r>
    </w:p>
    <w:p>
      <w:pPr>
        <w:numPr>
          <w:ilvl w:val="1"/>
          <w:numId w:val="1008"/>
        </w:numPr>
        <w:pStyle w:val="Compact"/>
      </w:pPr>
      <w:r>
        <w:t xml:space="preserve">Highlight strong connections and clear explanations</w:t>
      </w:r>
    </w:p>
    <w:p>
      <w:pPr>
        <w:numPr>
          <w:ilvl w:val="1"/>
          <w:numId w:val="1008"/>
        </w:numPr>
        <w:pStyle w:val="Compact"/>
      </w:pPr>
      <w:r>
        <w:t xml:space="preserve">Ask probing questions to deepen thinking (e.g.,</w:t>
      </w:r>
      <w:r>
        <w:t xml:space="preserve"> </w:t>
      </w:r>
      <w:r>
        <w:t xml:space="preserve">“</w:t>
      </w:r>
      <w:r>
        <w:t xml:space="preserve">Can you explain why factorizing helps solve the equation?</w:t>
      </w:r>
      <w:r>
        <w:t xml:space="preserve">”</w:t>
      </w:r>
      <w:r>
        <w:t xml:space="preserve">)</w:t>
      </w:r>
    </w:p>
    <w:p>
      <w:pPr>
        <w:numPr>
          <w:ilvl w:val="1"/>
          <w:numId w:val="1008"/>
        </w:numPr>
        <w:pStyle w:val="Compact"/>
      </w:pPr>
      <w:r>
        <w:t xml:space="preserve">Suggest revisions for unclear or incomplete entries</w:t>
      </w:r>
    </w:p>
    <w:p>
      <w:pPr>
        <w:numPr>
          <w:ilvl w:val="0"/>
          <w:numId w:val="1006"/>
        </w:numPr>
        <w:pStyle w:val="Compact"/>
      </w:pPr>
      <w:r>
        <w:rPr>
          <w:b/>
        </w:rPr>
        <w:t xml:space="preserve">Differentiation:</w:t>
      </w:r>
      <w:r>
        <w:br/>
      </w:r>
      <w:r>
        <w:t xml:space="preserve">Use Summary Table entries to differentiate instruction:</w:t>
      </w:r>
    </w:p>
    <w:p>
      <w:pPr>
        <w:numPr>
          <w:ilvl w:val="1"/>
          <w:numId w:val="1009"/>
        </w:numPr>
        <w:pStyle w:val="Compact"/>
      </w:pPr>
      <w:r>
        <w:rPr>
          <w:b/>
        </w:rPr>
        <w:t xml:space="preserve">Struggling students:</w:t>
      </w:r>
      <w:r>
        <w:t xml:space="preserve"> </w:t>
      </w:r>
      <w:r>
        <w:t xml:space="preserve">Provide sentence stems, worked examples, or peer buddies</w:t>
      </w:r>
    </w:p>
    <w:p>
      <w:pPr>
        <w:numPr>
          <w:ilvl w:val="1"/>
          <w:numId w:val="1009"/>
        </w:numPr>
        <w:pStyle w:val="Compact"/>
      </w:pPr>
      <w:r>
        <w:rPr>
          <w:b/>
        </w:rPr>
        <w:t xml:space="preserve">Advanced students:</w:t>
      </w:r>
      <w:r>
        <w:t xml:space="preserve"> </w:t>
      </w:r>
      <w:r>
        <w:t xml:space="preserve">Challenge them to explore extensions (e.g., solving by completing the square, graphing solutions)</w:t>
      </w:r>
    </w:p>
    <w:p>
      <w:pPr>
        <w:numPr>
          <w:ilvl w:val="0"/>
          <w:numId w:val="1006"/>
        </w:numPr>
        <w:pStyle w:val="Compact"/>
      </w:pPr>
      <w:r>
        <w:rPr>
          <w:b/>
        </w:rPr>
        <w:t xml:space="preserve">Class Discussion:</w:t>
      </w:r>
      <w:r>
        <w:br/>
      </w:r>
      <w:r>
        <w:t xml:space="preserve">Use anonymized or volunteer student entries to spark whole-class discussions:</w:t>
      </w:r>
    </w:p>
    <w:p>
      <w:pPr>
        <w:numPr>
          <w:ilvl w:val="1"/>
          <w:numId w:val="1010"/>
        </w:numPr>
        <w:pStyle w:val="Compact"/>
      </w:pPr>
      <w:r>
        <w:t xml:space="preserve">Compare different ways students connected a lesson to the harambee problem</w:t>
      </w:r>
    </w:p>
    <w:p>
      <w:pPr>
        <w:numPr>
          <w:ilvl w:val="1"/>
          <w:numId w:val="1010"/>
        </w:numPr>
        <w:pStyle w:val="Compact"/>
      </w:pPr>
      <w:r>
        <w:t xml:space="preserve">Address common misconceptions revealed in the tables</w:t>
      </w:r>
    </w:p>
    <w:p>
      <w:pPr>
        <w:numPr>
          <w:ilvl w:val="1"/>
          <w:numId w:val="1010"/>
        </w:numPr>
        <w:pStyle w:val="Compact"/>
      </w:pPr>
      <w:r>
        <w:t xml:space="preserve">Celebrate growth and insightful reflections</w:t>
      </w:r>
    </w:p>
    <w:p>
      <w:pPr>
        <w:numPr>
          <w:ilvl w:val="0"/>
          <w:numId w:val="1006"/>
        </w:numPr>
        <w:pStyle w:val="Compact"/>
      </w:pPr>
      <w:r>
        <w:rPr>
          <w:b/>
        </w:rPr>
        <w:t xml:space="preserve">Self-Assessment:</w:t>
      </w:r>
      <w:r>
        <w:br/>
      </w:r>
      <w:r>
        <w:t xml:space="preserve">Periodically ask students to review their own tables and identify:</w:t>
      </w:r>
    </w:p>
    <w:p>
      <w:pPr>
        <w:numPr>
          <w:ilvl w:val="1"/>
          <w:numId w:val="1011"/>
        </w:numPr>
        <w:pStyle w:val="Compact"/>
      </w:pPr>
      <w:r>
        <w:t xml:space="preserve">Their strongest entry and why</w:t>
      </w:r>
    </w:p>
    <w:p>
      <w:pPr>
        <w:numPr>
          <w:ilvl w:val="1"/>
          <w:numId w:val="1011"/>
        </w:numPr>
        <w:pStyle w:val="Compact"/>
      </w:pPr>
      <w:r>
        <w:t xml:space="preserve">An entry they’d like to revise or expand</w:t>
      </w:r>
    </w:p>
    <w:p>
      <w:pPr>
        <w:numPr>
          <w:ilvl w:val="1"/>
          <w:numId w:val="1011"/>
        </w:numPr>
        <w:pStyle w:val="Compact"/>
      </w:pPr>
      <w:r>
        <w:t xml:space="preserve">Patterns in their learning (e.g.,</w:t>
      </w:r>
      <w:r>
        <w:t xml:space="preserve"> </w:t>
      </w:r>
      <w:r>
        <w:t xml:space="preserve">“</w:t>
      </w:r>
      <w:r>
        <w:t xml:space="preserve">I understand procedures but struggle with context</w:t>
      </w:r>
      <w:r>
        <w:t xml:space="preserve">”</w:t>
      </w:r>
      <w:r>
        <w:t xml:space="preserve">)</w:t>
      </w:r>
    </w:p>
    <w:p>
      <w:pPr>
        <w:numPr>
          <w:ilvl w:val="0"/>
          <w:numId w:val="1006"/>
        </w:numPr>
        <w:pStyle w:val="Compact"/>
      </w:pPr>
      <w:r>
        <w:rPr>
          <w:b/>
        </w:rPr>
        <w:t xml:space="preserve">Summative Preparation:</w:t>
      </w:r>
      <w:r>
        <w:br/>
      </w:r>
      <w:r>
        <w:t xml:space="preserve">Encourage students to use their completed Summary Tables as study guides for end-of-unit assessments. The table provides a personalized record of key concepts, skills, and problem-solving strategies.</w:t>
      </w:r>
    </w:p>
    <w:p>
      <w:pPr>
        <w:pStyle w:val="Heading3"/>
      </w:pPr>
      <w:bookmarkStart w:id="32" w:name="Xf90d7efb1b95ce357c67de834d22b55bcf19d42"/>
      <w:r>
        <w:t xml:space="preserve">Alignment with Competency-Based Curriculum (CBC)</w:t>
      </w:r>
      <w:bookmarkEnd w:id="32"/>
    </w:p>
    <w:p>
      <w:pPr>
        <w:pStyle w:val="FirstParagraph"/>
      </w:pPr>
      <w:r>
        <w:t xml:space="preserve">This tool supports CBC goals by:</w:t>
      </w:r>
      <w:r>
        <w:t xml:space="preserve"> </w:t>
      </w:r>
      <w:r>
        <w:t xml:space="preserve">- Emphasizing</w:t>
      </w:r>
      <w:r>
        <w:t xml:space="preserve"> </w:t>
      </w:r>
      <w:r>
        <w:rPr>
          <w:b/>
        </w:rPr>
        <w:t xml:space="preserve">learning as a process</w:t>
      </w:r>
      <w:r>
        <w:t xml:space="preserve"> </w:t>
      </w:r>
      <w:r>
        <w:t xml:space="preserve">rather than isolated skills</w:t>
      </w:r>
      <w:r>
        <w:t xml:space="preserve"> </w:t>
      </w:r>
      <w:r>
        <w:t xml:space="preserve">- Promoting</w:t>
      </w:r>
      <w:r>
        <w:t xml:space="preserve"> </w:t>
      </w:r>
      <w:r>
        <w:rPr>
          <w:b/>
        </w:rPr>
        <w:t xml:space="preserve">critical thinking and problem-solving</w:t>
      </w:r>
      <w:r>
        <w:t xml:space="preserve"> </w:t>
      </w:r>
      <w:r>
        <w:t xml:space="preserve">through reflection</w:t>
      </w:r>
      <w:r>
        <w:t xml:space="preserve"> </w:t>
      </w:r>
      <w:r>
        <w:t xml:space="preserve">- Connecting mathematics to</w:t>
      </w:r>
      <w:r>
        <w:t xml:space="preserve"> </w:t>
      </w:r>
      <w:r>
        <w:rPr>
          <w:b/>
        </w:rPr>
        <w:t xml:space="preserve">real-world contexts</w:t>
      </w:r>
      <w:r>
        <w:t xml:space="preserve"> </w:t>
      </w:r>
      <w:r>
        <w:t xml:space="preserve">and community issues</w:t>
      </w:r>
      <w:r>
        <w:t xml:space="preserve"> </w:t>
      </w:r>
      <w:r>
        <w:t xml:space="preserve">- Developing</w:t>
      </w:r>
      <w:r>
        <w:t xml:space="preserve"> </w:t>
      </w:r>
      <w:r>
        <w:rPr>
          <w:b/>
        </w:rPr>
        <w:t xml:space="preserve">communication skills</w:t>
      </w:r>
      <w:r>
        <w:t xml:space="preserve"> </w:t>
      </w:r>
      <w:r>
        <w:t xml:space="preserve">through written explanation</w:t>
      </w:r>
      <w:r>
        <w:t xml:space="preserve"> </w:t>
      </w:r>
      <w:r>
        <w:t xml:space="preserve">- Fostering</w:t>
      </w:r>
      <w:r>
        <w:t xml:space="preserve"> </w:t>
      </w:r>
      <w:r>
        <w:rPr>
          <w:b/>
        </w:rPr>
        <w:t xml:space="preserve">self-directed learning</w:t>
      </w:r>
      <w:r>
        <w:t xml:space="preserve"> </w:t>
      </w:r>
      <w:r>
        <w:t xml:space="preserve">and metacognitive awareness</w:t>
      </w:r>
    </w:p>
    <w:p>
      <w:r>
        <w:pict>
          <v:rect style="width:0;height:1.5pt" o:hralign="center" o:hrstd="t" o:hr="t"/>
        </w:pict>
      </w:r>
    </w:p>
    <w:p>
      <w:pPr>
        <w:pStyle w:val="FirstParagraph"/>
      </w:pPr>
      <w:r>
        <w:rPr>
          <w:b/>
        </w:rPr>
        <w:t xml:space="preserve">End of Summary Table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2026-04-14T15:34:46Z</dcterms:created>
  <dcterms:modified xsi:type="dcterms:W3CDTF">2026-04-14T15:34:46Z</dcterms:modified>
</cp:coreProperties>
</file>

<file path=docProps/custom.xml><?xml version="1.0" encoding="utf-8"?>
<Properties xmlns="http://schemas.openxmlformats.org/officeDocument/2006/custom-properties" xmlns:vt="http://schemas.openxmlformats.org/officeDocument/2006/docPropsVTypes"/>
</file>