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f5b6f4c0b46909e6c7362c63fb3317c4371168"/>
      <w:r>
        <w:t xml:space="preserve">Summary Table — Temperature and Thermal Expansion (Sub-Strand 1.4)</w:t>
      </w:r>
      <w:bookmarkEnd w:id="20"/>
    </w:p>
    <w:p>
      <w:pPr>
        <w:pStyle w:val="Heading2"/>
      </w:pPr>
      <w:bookmarkStart w:id="21" w:name="purpose-statement"/>
      <w:r>
        <w:t xml:space="preserve">Purpose Statement</w:t>
      </w:r>
      <w:bookmarkEnd w:id="21"/>
    </w:p>
    <w:p>
      <w:pPr>
        <w:pStyle w:val="FirstParagraph"/>
      </w:pPr>
      <w:r>
        <w:rPr>
          <w:b/>
        </w:rPr>
        <w:t xml:space="preserve">For Students:</w:t>
      </w:r>
      <w:r>
        <w:br/>
      </w:r>
      <w:r>
        <w:t xml:space="preserve">This Summary Table is your learning companion throughout Sub-Strand 1.4. Use it to track your observations, connect new ideas to what you already know, and build a complete explanation for everyday thermal phenomena. By the end of this unit, you’ll be able to explain why materials change size with temperature and how engineers design safe structures and devices using this knowledge.</w:t>
      </w:r>
    </w:p>
    <w:p>
      <w:pPr>
        <w:pStyle w:val="BodyText"/>
      </w:pPr>
      <w:r>
        <w:rPr>
          <w:b/>
        </w:rPr>
        <w:t xml:space="preserve">For Teachers:</w:t>
      </w:r>
      <w:r>
        <w:br/>
      </w:r>
      <w:r>
        <w:t xml:space="preserve">This tool supports formative assessment by making student thinking visible across the learning progression. Use it to identify misconceptions early, monitor conceptual development, and guide instructional decisions. The completed table provides evidence of three-dimensional learning (SEPs, DCIs, and CCCs) and readiness for summative assessment.</w:t>
      </w:r>
    </w:p>
    <w:p>
      <w:r>
        <w:pict>
          <v:rect style="width:0;height:1.5pt" o:hralign="center" o:hrstd="t" o:hr="t"/>
        </w:pict>
      </w:r>
    </w:p>
    <w:p>
      <w:pPr>
        <w:pStyle w:val="Heading2"/>
      </w:pPr>
      <w:bookmarkStart w:id="22" w:name="driving-question"/>
      <w:r>
        <w:t xml:space="preserve">Driving Question</w:t>
      </w:r>
      <w:bookmarkEnd w:id="22"/>
    </w:p>
    <w:p>
      <w:pPr>
        <w:pStyle w:val="FirstParagraph"/>
      </w:pPr>
      <w:r>
        <w:rPr>
          <w:b/>
        </w:rPr>
        <w:t xml:space="preserve">“</w:t>
      </w:r>
      <w:r>
        <w:rPr>
          <w:b/>
        </w:rPr>
        <w:t xml:space="preserve">Why do materials change size when temperature changes — and how do engineers use this to keep us safe?</w:t>
      </w:r>
      <w:r>
        <w:rPr>
          <w:b/>
        </w:rPr>
        <w:t xml:space="preserve">”</w:t>
      </w:r>
    </w:p>
    <w:p>
      <w:r>
        <w:pict>
          <v:rect style="width:0;height:1.5pt" o:hralign="center" o:hrstd="t" o:hr="t"/>
        </w:pict>
      </w:r>
    </w:p>
    <w:p>
      <w:pPr>
        <w:pStyle w:val="Heading2"/>
      </w:pPr>
      <w:bookmarkStart w:id="23" w:name="anchoring-phenomenon"/>
      <w:r>
        <w:t xml:space="preserve">Anchoring Phenomenon</w:t>
      </w:r>
      <w:bookmarkEnd w:id="23"/>
    </w:p>
    <w:p>
      <w:pPr>
        <w:pStyle w:val="FirstParagraph"/>
      </w:pPr>
      <w:r>
        <w:t xml:space="preserve">Throughout this unit, we will investigate two puzzling everyday observations:</w:t>
      </w:r>
    </w:p>
    <w:p>
      <w:pPr>
        <w:numPr>
          <w:ilvl w:val="0"/>
          <w:numId w:val="1001"/>
        </w:numPr>
        <w:pStyle w:val="Compact"/>
      </w:pPr>
      <w:r>
        <w:rPr>
          <w:b/>
        </w:rPr>
        <w:t xml:space="preserve">The Sufuria Lid Mystery:</w:t>
      </w:r>
      <w:r>
        <w:t xml:space="preserve"> </w:t>
      </w:r>
      <w:r>
        <w:t xml:space="preserve">A metal lid stuck on a pot opens easily when you run hot water over it. Why?</w:t>
      </w:r>
    </w:p>
    <w:p>
      <w:pPr>
        <w:numPr>
          <w:ilvl w:val="0"/>
          <w:numId w:val="1001"/>
        </w:numPr>
        <w:pStyle w:val="Compact"/>
      </w:pPr>
      <w:r>
        <w:rPr>
          <w:b/>
        </w:rPr>
        <w:t xml:space="preserve">The Frozen Bottle Crack:</w:t>
      </w:r>
      <w:r>
        <w:t xml:space="preserve"> </w:t>
      </w:r>
      <w:r>
        <w:t xml:space="preserve">A glass bottle filled with water and placed in the freezer cracks or breaks. Why?</w:t>
      </w:r>
    </w:p>
    <w:p>
      <w:pPr>
        <w:pStyle w:val="FirstParagraph"/>
      </w:pPr>
      <w:r>
        <w:t xml:space="preserve">By the end of Sub-Strand 1.4, you will use scientific models and evidence to fully explain both phenomena.</w:t>
      </w:r>
    </w:p>
    <w:p>
      <w:r>
        <w:pict>
          <v:rect style="width:0;height:1.5pt" o:hralign="center" o:hrstd="t" o:hr="t"/>
        </w:pict>
      </w:r>
    </w:p>
    <w:p>
      <w:pPr>
        <w:pStyle w:val="Heading2"/>
      </w:pPr>
      <w:bookmarkStart w:id="24" w:name="instructions-for-completing-the-table"/>
      <w:r>
        <w:t xml:space="preserve">Instructions for Completing the Table</w:t>
      </w:r>
      <w:bookmarkEnd w:id="24"/>
    </w:p>
    <w:p>
      <w:pPr>
        <w:numPr>
          <w:ilvl w:val="0"/>
          <w:numId w:val="1002"/>
        </w:numPr>
        <w:pStyle w:val="Compact"/>
      </w:pPr>
      <w:r>
        <w:rPr>
          <w:b/>
        </w:rPr>
        <w:t xml:space="preserve">Complete one row after each lesson</w:t>
      </w:r>
      <w:r>
        <w:t xml:space="preserve"> </w:t>
      </w:r>
      <w:r>
        <w:t xml:space="preserve">(or as directed by your teacher).</w:t>
      </w:r>
    </w:p>
    <w:p>
      <w:pPr>
        <w:numPr>
          <w:ilvl w:val="0"/>
          <w:numId w:val="1002"/>
        </w:numPr>
        <w:pStyle w:val="Compact"/>
      </w:pPr>
      <w:r>
        <w:rPr>
          <w:b/>
        </w:rPr>
        <w:t xml:space="preserve">Column 1:</w:t>
      </w:r>
      <w:r>
        <w:t xml:space="preserve"> </w:t>
      </w:r>
      <w:r>
        <w:t xml:space="preserve">Record the lesson number and title.</w:t>
      </w:r>
    </w:p>
    <w:p>
      <w:pPr>
        <w:numPr>
          <w:ilvl w:val="0"/>
          <w:numId w:val="1002"/>
        </w:numPr>
        <w:pStyle w:val="Compact"/>
      </w:pPr>
      <w:r>
        <w:rPr>
          <w:b/>
        </w:rPr>
        <w:t xml:space="preserve">Column 2:</w:t>
      </w:r>
      <w:r>
        <w:t xml:space="preserve"> </w:t>
      </w:r>
      <w:r>
        <w:t xml:space="preserve">Describe what you observed, measured, or investigated during the lesson (hands-on activities, demonstrations, simulations, or data analysis).</w:t>
      </w:r>
    </w:p>
    <w:p>
      <w:pPr>
        <w:numPr>
          <w:ilvl w:val="0"/>
          <w:numId w:val="1002"/>
        </w:numPr>
        <w:pStyle w:val="Compact"/>
      </w:pPr>
      <w:r>
        <w:rPr>
          <w:b/>
        </w:rPr>
        <w:t xml:space="preserve">Column 3:</w:t>
      </w:r>
      <w:r>
        <w:t xml:space="preserve"> </w:t>
      </w:r>
      <w:r>
        <w:t xml:space="preserve">Summarize the key scientific concepts you learned. Use precise vocabulary (e.g., thermal expansion, kinetic energy, molecular motion).</w:t>
      </w:r>
    </w:p>
    <w:p>
      <w:pPr>
        <w:numPr>
          <w:ilvl w:val="0"/>
          <w:numId w:val="1002"/>
        </w:numPr>
        <w:pStyle w:val="Compact"/>
      </w:pPr>
      <w:r>
        <w:rPr>
          <w:b/>
        </w:rPr>
        <w:t xml:space="preserve">Column 4:</w:t>
      </w:r>
      <w:r>
        <w:t xml:space="preserve"> </w:t>
      </w:r>
      <w:r>
        <w:t xml:space="preserve">Connect your new learning to the anchoring phenomena. Explain how this lesson helps you understand the sufuria lid or frozen bottle (or both).</w:t>
      </w:r>
    </w:p>
    <w:p>
      <w:pPr>
        <w:numPr>
          <w:ilvl w:val="0"/>
          <w:numId w:val="1002"/>
        </w:numPr>
        <w:pStyle w:val="Compact"/>
      </w:pPr>
      <w:r>
        <w:rPr>
          <w:b/>
        </w:rPr>
        <w:t xml:space="preserve">Column 5:</w:t>
      </w:r>
      <w:r>
        <w:t xml:space="preserve"> </w:t>
      </w:r>
      <w:r>
        <w:t xml:space="preserve">Update your Driving Question Board (DQB) and scientific model:</w:t>
      </w:r>
    </w:p>
    <w:p>
      <w:pPr>
        <w:numPr>
          <w:ilvl w:val="1"/>
          <w:numId w:val="1003"/>
        </w:numPr>
        <w:pStyle w:val="Compact"/>
      </w:pPr>
      <w:r>
        <w:rPr>
          <w:b/>
        </w:rPr>
        <w:t xml:space="preserve">DQB:</w:t>
      </w:r>
      <w:r>
        <w:t xml:space="preserve"> </w:t>
      </w:r>
      <w:r>
        <w:t xml:space="preserve">Note new questions raised, questions answered, or ideas to investigate further.</w:t>
      </w:r>
    </w:p>
    <w:p>
      <w:pPr>
        <w:numPr>
          <w:ilvl w:val="1"/>
          <w:numId w:val="1003"/>
        </w:numPr>
        <w:pStyle w:val="Compact"/>
      </w:pPr>
      <w:r>
        <w:rPr>
          <w:b/>
        </w:rPr>
        <w:t xml:space="preserve">Model:</w:t>
      </w:r>
      <w:r>
        <w:t xml:space="preserve"> </w:t>
      </w:r>
      <w:r>
        <w:t xml:space="preserve">Sketch or describe how your model of thermal expansion has changed or improved.</w:t>
      </w:r>
    </w:p>
    <w:p>
      <w:r>
        <w:pict>
          <v:rect style="width:0;height:1.5pt" o:hralign="center" o:hrstd="t" o:hr="t"/>
        </w:pict>
      </w:r>
    </w:p>
    <w:p>
      <w:pPr>
        <w:pStyle w:val="Heading2"/>
      </w:pPr>
      <w:bookmarkStart w:id="25" w:name="summary-table"/>
      <w:r>
        <w:t xml:space="preserve">Summary Table</w:t>
      </w:r>
      <w:bookmarkEnd w:id="25"/>
    </w:p>
    <w:tbl>
      <w:tblPr>
        <w:tblStyle w:val="Table"/>
        <w:tblW w:type="pct" w:w="5000.0"/>
        <w:tblLook w:firstRow="1"/>
      </w:tblPr>
      <w:tblGrid>
        <w:gridCol w:w="1016"/>
        <w:gridCol w:w="1694"/>
        <w:gridCol w:w="1016"/>
        <w:gridCol w:w="3091"/>
        <w:gridCol w:w="1101"/>
      </w:tblGrid>
      <w:tr>
        <w:trPr>
          <w:cnfStyle w:firstRow="1"/>
        </w:trPr>
        <w:tc>
          <w:tcPr>
            <w:tcBorders>
              <w:bottom w:val="single"/>
            </w:tcBorders>
            <w:vAlign w:val="bottom"/>
          </w:tcPr>
          <w:p>
            <w:pPr>
              <w:pStyle w:val="Compact"/>
              <w:jc w:val="left"/>
            </w:pPr>
            <w:r>
              <w:rPr>
                <w:b/>
              </w:rPr>
              <w:t xml:space="preserve">Lesson # and Title</w:t>
            </w:r>
          </w:p>
        </w:tc>
        <w:tc>
          <w:tcPr>
            <w:tcBorders>
              <w:bottom w:val="single"/>
            </w:tcBorders>
            <w:vAlign w:val="bottom"/>
          </w:tcPr>
          <w:p>
            <w:pPr>
              <w:pStyle w:val="Compact"/>
              <w:jc w:val="left"/>
            </w:pPr>
            <w:r>
              <w:rPr>
                <w:b/>
              </w:rPr>
              <w:t xml:space="preserve">What did I observe or investigate?</w:t>
            </w:r>
          </w:p>
        </w:tc>
        <w:tc>
          <w:tcPr>
            <w:tcBorders>
              <w:bottom w:val="single"/>
            </w:tcBorders>
            <w:vAlign w:val="bottom"/>
          </w:tcPr>
          <w:p>
            <w:pPr>
              <w:pStyle w:val="Compact"/>
              <w:jc w:val="left"/>
            </w:pPr>
            <w:r>
              <w:rPr>
                <w:b/>
              </w:rPr>
              <w:t xml:space="preserve">What did I learn?</w:t>
            </w:r>
          </w:p>
        </w:tc>
        <w:tc>
          <w:tcPr>
            <w:tcBorders>
              <w:bottom w:val="single"/>
            </w:tcBorders>
            <w:vAlign w:val="bottom"/>
          </w:tcPr>
          <w:p>
            <w:pPr>
              <w:pStyle w:val="Compact"/>
              <w:jc w:val="left"/>
            </w:pPr>
            <w:r>
              <w:rPr>
                <w:b/>
              </w:rPr>
              <w:t xml:space="preserve">How does this explain the sufuria lid and frozen bottle phenomenon?</w:t>
            </w:r>
          </w:p>
        </w:tc>
        <w:tc>
          <w:tcPr>
            <w:tcBorders>
              <w:bottom w:val="single"/>
            </w:tcBorders>
            <w:vAlign w:val="bottom"/>
          </w:tcPr>
          <w:p>
            <w:pPr>
              <w:pStyle w:val="Compact"/>
              <w:jc w:val="left"/>
            </w:pPr>
            <w:r>
              <w:rPr>
                <w:b/>
              </w:rPr>
              <w:t xml:space="preserve">DQB and Model Update</w:t>
            </w:r>
          </w:p>
        </w:tc>
      </w:tr>
      <w:tr>
        <w:tc>
          <w:p>
            <w:pPr>
              <w:pStyle w:val="Compact"/>
              <w:jc w:val="left"/>
            </w:pPr>
            <w:r>
              <w:rPr>
                <w:b/>
              </w:rPr>
              <w:t xml:space="preserve">Lesson 1:</w:t>
            </w:r>
            <w:r>
              <w:t xml:space="preserve">Introduction to Temperature and Heat</w:t>
            </w:r>
          </w:p>
        </w:tc>
        <w:tc>
          <w:p>
            <w:pPr>
              <w:pStyle w:val="Compact"/>
              <w:jc w:val="left"/>
            </w:pPr>
            <w:r>
              <w:t xml:space="preserve">We measured temperature of different objects (hot water, ice water, room-temperature water) using thermometers. We discussed what</w:t>
            </w:r>
            <w:r>
              <w:t xml:space="preserve"> </w:t>
            </w:r>
            <w:r>
              <w:t xml:space="preserve">“</w:t>
            </w:r>
            <w:r>
              <w:t xml:space="preserve">hot</w:t>
            </w:r>
            <w:r>
              <w:t xml:space="preserve">”</w:t>
            </w:r>
            <w:r>
              <w:t xml:space="preserve"> </w:t>
            </w:r>
            <w:r>
              <w:t xml:space="preserve">and</w:t>
            </w:r>
            <w:r>
              <w:t xml:space="preserve"> </w:t>
            </w:r>
            <w:r>
              <w:t xml:space="preserve">“</w:t>
            </w:r>
            <w:r>
              <w:t xml:space="preserve">cold</w:t>
            </w:r>
            <w:r>
              <w:t xml:space="preserve">”</w:t>
            </w:r>
            <w:r>
              <w:t xml:space="preserve"> </w:t>
            </w:r>
            <w:r>
              <w:t xml:space="preserve">mean and shared everyday experiences with temperature changes.</w:t>
            </w:r>
          </w:p>
        </w:tc>
        <w:tc>
          <w:p>
            <w:pPr>
              <w:pStyle w:val="Compact"/>
              <w:jc w:val="left"/>
            </w:pPr>
            <w:r>
              <w:t xml:space="preserve">Temperature measures the average kinetic energy of particles in a substance. Heat is energy transferred from hotter to cooler objects. Temperature and heat are related but different concepts.</w:t>
            </w:r>
          </w:p>
        </w:tc>
        <w:tc>
          <w:p>
            <w:pPr>
              <w:pStyle w:val="Compact"/>
              <w:jc w:val="left"/>
            </w:pPr>
            <w:r>
              <w:t xml:space="preserve">This lesson sets the foundation: when we run hot water over the sufuria lid, heat transfers to the lid, increasing its temperature. But we don’t yet know why this makes it easier to open.</w:t>
            </w:r>
          </w:p>
        </w:tc>
        <w:tc>
          <w:p>
            <w:pPr>
              <w:pStyle w:val="Compact"/>
              <w:jc w:val="left"/>
            </w:pPr>
            <w:r>
              <w:rPr>
                <w:b/>
              </w:rPr>
              <w:t xml:space="preserve">DQB Started:</w:t>
            </w:r>
            <w:r>
              <w:t xml:space="preserve">- Why do things expand when heated?</w:t>
            </w:r>
            <w:r>
              <w:t xml:space="preserve">- What happens to particles when temperature increases?</w:t>
            </w:r>
            <w:r>
              <w:t xml:space="preserve">- Do all materials expand the same amount?</w:t>
            </w:r>
            <w:r>
              <w:rPr>
                <w:b/>
              </w:rPr>
              <w:t xml:space="preserve">Initial Model:</w:t>
            </w:r>
            <w:r>
              <w:t xml:space="preserve"> </w:t>
            </w:r>
            <w:r>
              <w:t xml:space="preserve">Drew particles in a solid; noted they vibrate but stay in place.</w:t>
            </w:r>
          </w:p>
        </w:tc>
      </w:tr>
      <w:tr>
        <w:tc>
          <w:p>
            <w:pPr>
              <w:pStyle w:val="Compact"/>
              <w:jc w:val="left"/>
            </w:pPr>
            <w:r>
              <w:rPr>
                <w:b/>
              </w:rPr>
              <w:t xml:space="preserve">Lesson 2:</w:t>
            </w:r>
            <w:r>
              <w:t xml:space="preserve">Particle Model of Matter and Temperature</w:t>
            </w:r>
          </w:p>
        </w:tc>
        <w:tc>
          <w:p/>
        </w:tc>
        <w:tc>
          <w:p/>
        </w:tc>
        <w:tc>
          <w:p/>
        </w:tc>
        <w:tc>
          <w:p/>
        </w:tc>
      </w:tr>
      <w:tr>
        <w:tc>
          <w:p>
            <w:pPr>
              <w:pStyle w:val="Compact"/>
              <w:jc w:val="left"/>
            </w:pPr>
            <w:r>
              <w:rPr>
                <w:b/>
              </w:rPr>
              <w:t xml:space="preserve">Lesson 3:</w:t>
            </w:r>
            <w:r>
              <w:t xml:space="preserve">Thermal Expansion in Solids</w:t>
            </w:r>
          </w:p>
        </w:tc>
        <w:tc>
          <w:p>
            <w:pPr>
              <w:pStyle w:val="Compact"/>
              <w:jc w:val="left"/>
            </w:pPr>
            <w:r>
              <w:t xml:space="preserve">We heated a metal ball until it no longer fit through a metal ring. After cooling, it fit again. We also observed a bimetallic strip bend when heated with a candle flame. We measured the change in length of a metal rod as it was heated using a dial gauge.</w:t>
            </w:r>
          </w:p>
        </w:tc>
        <w:tc>
          <w:p>
            <w:pPr>
              <w:pStyle w:val="Compact"/>
              <w:jc w:val="left"/>
            </w:pPr>
            <w:r>
              <w:rPr>
                <w:b/>
              </w:rPr>
              <w:t xml:space="preserve">Thermal expansion:</w:t>
            </w:r>
            <w:r>
              <w:t xml:space="preserve"> </w:t>
            </w:r>
            <w:r>
              <w:t xml:space="preserve">Most solids expand when heated and contract when cooled. This happens because increased temperature causes particles to vibrate more vigorously, taking up more space on average. Different metals expand at different rates (coefficient of linear expansion, α). Engineers must account for this in bridges, railways, and buildings using expansion joints.</w:t>
            </w:r>
          </w:p>
        </w:tc>
        <w:tc>
          <w:p>
            <w:pPr>
              <w:pStyle w:val="Compact"/>
              <w:jc w:val="left"/>
            </w:pPr>
            <w:r>
              <w:rPr>
                <w:b/>
              </w:rPr>
              <w:t xml:space="preserve">Sufuria lid:</w:t>
            </w:r>
            <w:r>
              <w:t xml:space="preserve"> </w:t>
            </w:r>
            <w:r>
              <w:t xml:space="preserve">The metal lid and pot are likely made of different metals or have different thicknesses. When hot water heats the lid, it expands more than the pot (or expands faster), breaking the tight seal and making it easier to twist off.</w:t>
            </w:r>
            <w:r>
              <w:rPr>
                <w:b/>
              </w:rPr>
              <w:t xml:space="preserve">Frozen bottle:</w:t>
            </w:r>
            <w:r>
              <w:t xml:space="preserve"> </w:t>
            </w:r>
            <w:r>
              <w:t xml:space="preserve">We haven’t fully explained this yet, but we know solids usually expand when heated. Water freezing might behave differently (anomaly to investigate).</w:t>
            </w:r>
          </w:p>
        </w:tc>
        <w:tc>
          <w:p>
            <w:pPr>
              <w:pStyle w:val="Compact"/>
              <w:jc w:val="left"/>
            </w:pPr>
            <w:r>
              <w:rPr>
                <w:b/>
              </w:rPr>
              <w:t xml:space="preserve">DQB Updated:</w:t>
            </w:r>
            <w:r>
              <w:t xml:space="preserve">- Answered: Why does the lid open when heated? (Differential expansion breaks the seal.)</w:t>
            </w:r>
            <w:r>
              <w:t xml:space="preserve">- New question: Does water expand or contract when it freezes?</w:t>
            </w:r>
            <w:r>
              <w:t xml:space="preserve">- New question: How do engineers prevent damage from thermal expansion?</w:t>
            </w:r>
            <w:r>
              <w:rPr>
                <w:b/>
              </w:rPr>
              <w:t xml:space="preserve">Model Revised:</w:t>
            </w:r>
            <w:r>
              <w:t xml:space="preserve"> </w:t>
            </w:r>
            <w:r>
              <w:t xml:space="preserve">Added arrows showing particles moving farther apart on average when heated. Noted that expansion is small but measurable. Included the idea that different materials expand at different rates (α values).</w:t>
            </w:r>
          </w:p>
        </w:tc>
      </w:tr>
      <w:tr>
        <w:tc>
          <w:p>
            <w:pPr>
              <w:pStyle w:val="Compact"/>
              <w:jc w:val="left"/>
            </w:pPr>
            <w:r>
              <w:rPr>
                <w:b/>
              </w:rPr>
              <w:t xml:space="preserve">Lesson 4:</w:t>
            </w:r>
            <w:r>
              <w:t xml:space="preserve">Thermal Expansion in Liquids</w:t>
            </w:r>
          </w:p>
        </w:tc>
        <w:tc>
          <w:p/>
        </w:tc>
        <w:tc>
          <w:p/>
        </w:tc>
        <w:tc>
          <w:p/>
        </w:tc>
        <w:tc>
          <w:p/>
        </w:tc>
      </w:tr>
      <w:tr>
        <w:tc>
          <w:p>
            <w:pPr>
              <w:pStyle w:val="Compact"/>
              <w:jc w:val="left"/>
            </w:pPr>
            <w:r>
              <w:rPr>
                <w:b/>
              </w:rPr>
              <w:t xml:space="preserve">Lesson 5:</w:t>
            </w:r>
            <w:r>
              <w:t xml:space="preserve">Anomalous Expansion of Water</w:t>
            </w:r>
          </w:p>
        </w:tc>
        <w:tc>
          <w:p/>
        </w:tc>
        <w:tc>
          <w:p/>
        </w:tc>
        <w:tc>
          <w:p/>
        </w:tc>
        <w:tc>
          <w:p/>
        </w:tc>
      </w:tr>
      <w:tr>
        <w:tc>
          <w:p>
            <w:pPr>
              <w:pStyle w:val="Compact"/>
              <w:jc w:val="left"/>
            </w:pPr>
            <w:r>
              <w:rPr>
                <w:b/>
              </w:rPr>
              <w:t xml:space="preserve">Lesson 6:</w:t>
            </w:r>
            <w:r>
              <w:t xml:space="preserve">Engineering Applications and Design Challenge</w:t>
            </w:r>
          </w:p>
        </w:tc>
        <w:tc>
          <w:p/>
        </w:tc>
        <w:tc>
          <w:p/>
        </w:tc>
        <w:tc>
          <w:p/>
        </w:tc>
        <w:tc>
          <w:p/>
        </w:tc>
      </w:tr>
    </w:tbl>
    <w:p>
      <w:r>
        <w:pict>
          <v:rect style="width:0;height:1.5pt" o:hralign="center" o:hrstd="t" o:hr="t"/>
        </w:pict>
      </w:r>
    </w:p>
    <w:p>
      <w:pPr>
        <w:pStyle w:val="Heading2"/>
      </w:pPr>
      <w:bookmarkStart w:id="26" w:name="dqb-and-model-tracking-guide"/>
      <w:r>
        <w:t xml:space="preserve">DQB and Model Tracking Guide</w:t>
      </w:r>
      <w:bookmarkEnd w:id="26"/>
    </w:p>
    <w:p>
      <w:pPr>
        <w:pStyle w:val="Heading3"/>
      </w:pPr>
      <w:bookmarkStart w:id="27" w:name="driving-question-board-dqb-progression"/>
      <w:r>
        <w:t xml:space="preserve">Driving Question Board (DQB) Progression:</w:t>
      </w:r>
      <w:bookmarkEnd w:id="27"/>
    </w:p>
    <w:p>
      <w:pPr>
        <w:numPr>
          <w:ilvl w:val="0"/>
          <w:numId w:val="1004"/>
        </w:numPr>
        <w:pStyle w:val="Compact"/>
      </w:pPr>
      <w:r>
        <w:rPr>
          <w:b/>
        </w:rPr>
        <w:t xml:space="preserve">Lesson 1:</w:t>
      </w:r>
      <w:r>
        <w:t xml:space="preserve"> </w:t>
      </w:r>
      <w:r>
        <w:t xml:space="preserve">DQB Started — Initial questions posted based on anchoring phenomena</w:t>
      </w:r>
    </w:p>
    <w:p>
      <w:pPr>
        <w:numPr>
          <w:ilvl w:val="0"/>
          <w:numId w:val="1004"/>
        </w:numPr>
        <w:pStyle w:val="Compact"/>
      </w:pPr>
      <w:r>
        <w:rPr>
          <w:b/>
        </w:rPr>
        <w:t xml:space="preserve">Lessons 2–5:</w:t>
      </w:r>
      <w:r>
        <w:t xml:space="preserve"> </w:t>
      </w:r>
      <w:r>
        <w:t xml:space="preserve">DQB Updated — Questions answered, new questions added, ideas refined</w:t>
      </w:r>
    </w:p>
    <w:p>
      <w:pPr>
        <w:numPr>
          <w:ilvl w:val="0"/>
          <w:numId w:val="1004"/>
        </w:numPr>
        <w:pStyle w:val="Compact"/>
      </w:pPr>
      <w:r>
        <w:rPr>
          <w:b/>
        </w:rPr>
        <w:t xml:space="preserve">Lesson 6:</w:t>
      </w:r>
      <w:r>
        <w:t xml:space="preserve"> </w:t>
      </w:r>
      <w:r>
        <w:t xml:space="preserve">DQB Completed — Driving question fully answered with evidence-based explanation</w:t>
      </w:r>
    </w:p>
    <w:p>
      <w:pPr>
        <w:pStyle w:val="Heading3"/>
      </w:pPr>
      <w:bookmarkStart w:id="28" w:name="scientific-model-progression"/>
      <w:r>
        <w:t xml:space="preserve">Scientific Model Progression:</w:t>
      </w:r>
      <w:bookmarkEnd w:id="28"/>
    </w:p>
    <w:p>
      <w:pPr>
        <w:numPr>
          <w:ilvl w:val="0"/>
          <w:numId w:val="1005"/>
        </w:numPr>
        <w:pStyle w:val="Compact"/>
      </w:pPr>
      <w:r>
        <w:rPr>
          <w:b/>
        </w:rPr>
        <w:t xml:space="preserve">Lesson 1:</w:t>
      </w:r>
      <w:r>
        <w:t xml:space="preserve"> </w:t>
      </w:r>
      <w:r>
        <w:t xml:space="preserve">Initial Model — Basic particle representation of solids, liquids, and gases</w:t>
      </w:r>
    </w:p>
    <w:p>
      <w:pPr>
        <w:numPr>
          <w:ilvl w:val="0"/>
          <w:numId w:val="1005"/>
        </w:numPr>
        <w:pStyle w:val="Compact"/>
      </w:pPr>
      <w:r>
        <w:rPr>
          <w:b/>
        </w:rPr>
        <w:t xml:space="preserve">Lessons 2–5:</w:t>
      </w:r>
      <w:r>
        <w:t xml:space="preserve"> </w:t>
      </w:r>
      <w:r>
        <w:t xml:space="preserve">Model Revised — Adding detail about particle motion, energy, spacing, and material-specific behavior</w:t>
      </w:r>
    </w:p>
    <w:p>
      <w:pPr>
        <w:numPr>
          <w:ilvl w:val="0"/>
          <w:numId w:val="1005"/>
        </w:numPr>
        <w:pStyle w:val="Compact"/>
      </w:pPr>
      <w:r>
        <w:rPr>
          <w:b/>
        </w:rPr>
        <w:t xml:space="preserve">Lesson 6:</w:t>
      </w:r>
      <w:r>
        <w:t xml:space="preserve"> </w:t>
      </w:r>
      <w:r>
        <w:t xml:space="preserve">Final Model — Complete model explaining thermal expansion in solids and liquids, including water’s anomalous behavior, with applications to real-world engineering</w:t>
      </w:r>
    </w:p>
    <w:p>
      <w:r>
        <w:pict>
          <v:rect style="width:0;height:1.5pt" o:hralign="center" o:hrstd="t" o:hr="t"/>
        </w:pict>
      </w:r>
    </w:p>
    <w:p>
      <w:pPr>
        <w:pStyle w:val="Heading2"/>
      </w:pPr>
      <w:bookmarkStart w:id="29" w:name="reflection-questions"/>
      <w:r>
        <w:t xml:space="preserve">Reflection Questions</w:t>
      </w:r>
      <w:bookmarkEnd w:id="29"/>
    </w:p>
    <w:p>
      <w:pPr>
        <w:pStyle w:val="FirstParagraph"/>
      </w:pPr>
      <w:r>
        <w:t xml:space="preserve">After completing the Summary Table, respond to the following questions in your science notebook:</w:t>
      </w:r>
    </w:p>
    <w:p>
      <w:pPr>
        <w:numPr>
          <w:ilvl w:val="0"/>
          <w:numId w:val="1006"/>
        </w:numPr>
      </w:pPr>
      <w:r>
        <w:rPr>
          <w:b/>
        </w:rPr>
        <w:t xml:space="preserve">Conceptual Connection:</w:t>
      </w:r>
      <w:r>
        <w:t xml:space="preserve"> </w:t>
      </w:r>
      <w:r>
        <w:t xml:space="preserve">How does the particle model of matter help explain why materials expand when heated? Use evidence from at least two lessons.</w:t>
      </w:r>
    </w:p>
    <w:p>
      <w:pPr>
        <w:numPr>
          <w:ilvl w:val="0"/>
          <w:numId w:val="1006"/>
        </w:numPr>
      </w:pPr>
      <w:r>
        <w:rPr>
          <w:b/>
        </w:rPr>
        <w:t xml:space="preserve">Phenomenon Explanation:</w:t>
      </w:r>
      <w:r>
        <w:t xml:space="preserve"> </w:t>
      </w:r>
      <w:r>
        <w:t xml:space="preserve">Write a complete scientific explanation for either the sufuria lid or the frozen bottle phenomenon. Include:</w:t>
      </w:r>
    </w:p>
    <w:p>
      <w:pPr>
        <w:numPr>
          <w:ilvl w:val="1"/>
          <w:numId w:val="1007"/>
        </w:numPr>
        <w:pStyle w:val="Compact"/>
      </w:pPr>
      <w:r>
        <w:t xml:space="preserve">Claim (what happens and why)</w:t>
      </w:r>
    </w:p>
    <w:p>
      <w:pPr>
        <w:numPr>
          <w:ilvl w:val="1"/>
          <w:numId w:val="1007"/>
        </w:numPr>
        <w:pStyle w:val="Compact"/>
      </w:pPr>
      <w:r>
        <w:t xml:space="preserve">Evidence (observations and data from lessons)</w:t>
      </w:r>
    </w:p>
    <w:p>
      <w:pPr>
        <w:numPr>
          <w:ilvl w:val="1"/>
          <w:numId w:val="1007"/>
        </w:numPr>
        <w:pStyle w:val="Compact"/>
      </w:pPr>
      <w:r>
        <w:t xml:space="preserve">Reasoning (how the evidence supports your claim using scientific principles)</w:t>
      </w:r>
    </w:p>
    <w:p>
      <w:pPr>
        <w:numPr>
          <w:ilvl w:val="0"/>
          <w:numId w:val="1006"/>
        </w:numPr>
      </w:pPr>
      <w:r>
        <w:rPr>
          <w:b/>
        </w:rPr>
        <w:t xml:space="preserve">Cross-Cutting Concepts:</w:t>
      </w:r>
      <w:r>
        <w:t xml:space="preserve"> </w:t>
      </w:r>
      <w:r>
        <w:t xml:space="preserve">Identify at least two patterns you noticed across different lessons (e.g., patterns in how solids vs. liquids expand, patterns in material behavior).</w:t>
      </w:r>
    </w:p>
    <w:p>
      <w:pPr>
        <w:numPr>
          <w:ilvl w:val="0"/>
          <w:numId w:val="1006"/>
        </w:numPr>
      </w:pPr>
      <w:r>
        <w:rPr>
          <w:b/>
        </w:rPr>
        <w:t xml:space="preserve">Engineering Connection:</w:t>
      </w:r>
      <w:r>
        <w:t xml:space="preserve"> </w:t>
      </w:r>
      <w:r>
        <w:t xml:space="preserve">Choose one engineering application of thermal expansion you learned about. Explain the problem engineers faced and how understanding thermal expansion helped them design a solution.</w:t>
      </w:r>
    </w:p>
    <w:p>
      <w:pPr>
        <w:numPr>
          <w:ilvl w:val="0"/>
          <w:numId w:val="1006"/>
        </w:numPr>
      </w:pPr>
      <w:r>
        <w:rPr>
          <w:b/>
        </w:rPr>
        <w:t xml:space="preserve">Metacognition:</w:t>
      </w:r>
      <w:r>
        <w:t xml:space="preserve"> </w:t>
      </w:r>
      <w:r>
        <w:t xml:space="preserve">Which lesson or activity helped you understand thermal expansion most clearly? Why was it effective for your learning?</w:t>
      </w:r>
    </w:p>
    <w:p>
      <w:pPr>
        <w:numPr>
          <w:ilvl w:val="0"/>
          <w:numId w:val="1006"/>
        </w:numPr>
      </w:pPr>
      <w:r>
        <w:rPr>
          <w:b/>
        </w:rPr>
        <w:t xml:space="preserve">Lingering Questions:</w:t>
      </w:r>
      <w:r>
        <w:t xml:space="preserve"> </w:t>
      </w:r>
      <w:r>
        <w:t xml:space="preserve">What questions do you still have about temperature, heat, or thermal expansion? What would you like to investigate further?</w:t>
      </w:r>
    </w:p>
    <w:p>
      <w:r>
        <w:pict>
          <v:rect style="width:0;height:1.5pt" o:hralign="center" o:hrstd="t" o:hr="t"/>
        </w:pict>
      </w:r>
    </w:p>
    <w:p>
      <w:pPr>
        <w:pStyle w:val="Heading2"/>
      </w:pPr>
      <w:bookmarkStart w:id="30" w:name="X6786b963d8ea70499d269a5b9c2e54b5b4813b2"/>
      <w:r>
        <w:t xml:space="preserve">Teacher Notes: Using This Table for Formative Assessment</w:t>
      </w:r>
      <w:bookmarkEnd w:id="30"/>
    </w:p>
    <w:p>
      <w:pPr>
        <w:pStyle w:val="Heading3"/>
      </w:pPr>
      <w:bookmarkStart w:id="31" w:name="purpose-and-pedagogical-framework"/>
      <w:r>
        <w:t xml:space="preserve">Purpose and Pedagogical Framework:</w:t>
      </w:r>
      <w:bookmarkEnd w:id="31"/>
    </w:p>
    <w:p>
      <w:pPr>
        <w:pStyle w:val="FirstParagraph"/>
      </w:pPr>
      <w:r>
        <w:t xml:space="preserve">This Summary Table is designed as a</w:t>
      </w:r>
      <w:r>
        <w:t xml:space="preserve"> </w:t>
      </w:r>
      <w:r>
        <w:rPr>
          <w:b/>
        </w:rPr>
        <w:t xml:space="preserve">formative assessment tool</w:t>
      </w:r>
      <w:r>
        <w:t xml:space="preserve"> </w:t>
      </w:r>
      <w:r>
        <w:t xml:space="preserve">aligned with three-dimensional learning (NGSS-style framework adaptable to various curricula). It makes student thinking visible across a multi-lesson learning progression and supports:</w:t>
      </w:r>
      <w:r>
        <w:t xml:space="preserve"> </w:t>
      </w:r>
      <w:r>
        <w:t xml:space="preserve">-</w:t>
      </w:r>
      <w:r>
        <w:t xml:space="preserve"> </w:t>
      </w:r>
      <w:r>
        <w:rPr>
          <w:b/>
        </w:rPr>
        <w:t xml:space="preserve">Coherence:</w:t>
      </w:r>
      <w:r>
        <w:t xml:space="preserve"> </w:t>
      </w:r>
      <w:r>
        <w:t xml:space="preserve">Students see connections between lessons and build toward answering the driving question</w:t>
      </w:r>
      <w:r>
        <w:t xml:space="preserve"> </w:t>
      </w:r>
      <w:r>
        <w:t xml:space="preserve">-</w:t>
      </w:r>
      <w:r>
        <w:t xml:space="preserve"> </w:t>
      </w:r>
      <w:r>
        <w:rPr>
          <w:b/>
        </w:rPr>
        <w:t xml:space="preserve">Sensemaking:</w:t>
      </w:r>
      <w:r>
        <w:t xml:space="preserve"> </w:t>
      </w:r>
      <w:r>
        <w:t xml:space="preserve">Students actively construct explanations rather than passively receiving information</w:t>
      </w:r>
      <w:r>
        <w:t xml:space="preserve"> </w:t>
      </w:r>
      <w:r>
        <w:t xml:space="preserve">-</w:t>
      </w:r>
      <w:r>
        <w:t xml:space="preserve"> </w:t>
      </w:r>
      <w:r>
        <w:rPr>
          <w:b/>
        </w:rPr>
        <w:t xml:space="preserve">Equity:</w:t>
      </w:r>
      <w:r>
        <w:t xml:space="preserve"> </w:t>
      </w:r>
      <w:r>
        <w:t xml:space="preserve">All students have a structured way to organize and express their learning</w:t>
      </w:r>
    </w:p>
    <w:p>
      <w:pPr>
        <w:pStyle w:val="Heading3"/>
      </w:pPr>
      <w:bookmarkStart w:id="32" w:name="formative-assessment-opportunities"/>
      <w:r>
        <w:t xml:space="preserve">Formative Assessment Opportunities:</w:t>
      </w:r>
      <w:bookmarkEnd w:id="32"/>
    </w:p>
    <w:p>
      <w:pPr>
        <w:pStyle w:val="FirstParagraph"/>
      </w:pPr>
      <w:r>
        <w:rPr>
          <w:b/>
        </w:rPr>
        <w:t xml:space="preserve">1. Monitor Conceptual Development:</w:t>
      </w:r>
      <w:r>
        <w:t xml:space="preserve"> </w:t>
      </w:r>
      <w:r>
        <w:t xml:space="preserve">-</w:t>
      </w:r>
      <w:r>
        <w:t xml:space="preserve"> </w:t>
      </w:r>
      <w:r>
        <w:rPr>
          <w:b/>
        </w:rPr>
        <w:t xml:space="preserve">Column 3 (What did I learn?):</w:t>
      </w:r>
      <w:r>
        <w:t xml:space="preserve"> </w:t>
      </w:r>
      <w:r>
        <w:t xml:space="preserve">Check for accurate use of scientific vocabulary and conceptual understanding. Common misconceptions to watch for:</w:t>
      </w:r>
      <w:r>
        <w:t xml:space="preserve"> </w:t>
      </w:r>
      <w:r>
        <w:t xml:space="preserve">- Confusing heat and temperature</w:t>
      </w:r>
      <w:r>
        <w:t xml:space="preserve"> </w:t>
      </w:r>
      <w:r>
        <w:t xml:space="preserve">- Thinking particles themselves expand (rather than spacing increasing)</w:t>
      </w:r>
      <w:r>
        <w:t xml:space="preserve"> </w:t>
      </w:r>
      <w:r>
        <w:t xml:space="preserve">- Believing all materials expand equally</w:t>
      </w:r>
      <w:r>
        <w:t xml:space="preserve"> </w:t>
      </w:r>
      <w:r>
        <w:t xml:space="preserve">- Not recognizing water’s anomalous behavior</w:t>
      </w:r>
    </w:p>
    <w:p>
      <w:pPr>
        <w:pStyle w:val="BodyText"/>
      </w:pPr>
      <w:r>
        <w:rPr>
          <w:b/>
        </w:rPr>
        <w:t xml:space="preserve">2. Assess Three-Dimensional Learning:</w:t>
      </w:r>
      <w:r>
        <w:t xml:space="preserve"> </w:t>
      </w:r>
      <w:r>
        <w:t xml:space="preserve">-</w:t>
      </w:r>
      <w:r>
        <w:t xml:space="preserve"> </w:t>
      </w:r>
      <w:r>
        <w:rPr>
          <w:b/>
        </w:rPr>
        <w:t xml:space="preserve">Science and Engineering Practices (SEPs):</w:t>
      </w:r>
      <w:r>
        <w:t xml:space="preserve"> </w:t>
      </w:r>
      <w:r>
        <w:t xml:space="preserve">Column 2 reveals engagement with investigations, data collection, and observations</w:t>
      </w:r>
      <w:r>
        <w:t xml:space="preserve"> </w:t>
      </w:r>
      <w:r>
        <w:t xml:space="preserve">-</w:t>
      </w:r>
      <w:r>
        <w:t xml:space="preserve"> </w:t>
      </w:r>
      <w:r>
        <w:rPr>
          <w:b/>
        </w:rPr>
        <w:t xml:space="preserve">Disciplinary Core Ideas (DCIs):</w:t>
      </w:r>
      <w:r>
        <w:t xml:space="preserve"> </w:t>
      </w:r>
      <w:r>
        <w:t xml:space="preserve">Column 3 shows understanding of thermal energy, particle motion, and material properties</w:t>
      </w:r>
      <w:r>
        <w:t xml:space="preserve"> </w:t>
      </w:r>
      <w:r>
        <w:t xml:space="preserve">-</w:t>
      </w:r>
      <w:r>
        <w:t xml:space="preserve"> </w:t>
      </w:r>
      <w:r>
        <w:rPr>
          <w:b/>
        </w:rPr>
        <w:t xml:space="preserve">Crosscutting Concepts (CCCs):</w:t>
      </w:r>
      <w:r>
        <w:t xml:space="preserve"> </w:t>
      </w:r>
      <w:r>
        <w:t xml:space="preserve">Column 4 demonstrates cause-and-effect reasoning, patterns, and scale/proportion thinking</w:t>
      </w:r>
    </w:p>
    <w:p>
      <w:pPr>
        <w:pStyle w:val="BodyText"/>
      </w:pPr>
      <w:r>
        <w:rPr>
          <w:b/>
        </w:rPr>
        <w:t xml:space="preserve">3. Track Model-Based Reasoning:</w:t>
      </w:r>
      <w:r>
        <w:t xml:space="preserve"> </w:t>
      </w:r>
      <w:r>
        <w:t xml:space="preserve">-</w:t>
      </w:r>
      <w:r>
        <w:t xml:space="preserve"> </w:t>
      </w:r>
      <w:r>
        <w:rPr>
          <w:b/>
        </w:rPr>
        <w:t xml:space="preserve">Column 5 (Model Update):</w:t>
      </w:r>
      <w:r>
        <w:t xml:space="preserve"> </w:t>
      </w:r>
      <w:r>
        <w:t xml:space="preserve">Review student model revisions to assess:</w:t>
      </w:r>
      <w:r>
        <w:t xml:space="preserve"> </w:t>
      </w:r>
      <w:r>
        <w:t xml:space="preserve">- Increasing sophistication (from simple to detailed particle representations)</w:t>
      </w:r>
      <w:r>
        <w:t xml:space="preserve"> </w:t>
      </w:r>
      <w:r>
        <w:t xml:space="preserve">- Incorporation of new evidence</w:t>
      </w:r>
      <w:r>
        <w:t xml:space="preserve"> </w:t>
      </w:r>
      <w:r>
        <w:t xml:space="preserve">- Use of models as explanatory tools (not just drawings)</w:t>
      </w:r>
    </w:p>
    <w:p>
      <w:pPr>
        <w:pStyle w:val="BodyText"/>
      </w:pPr>
      <w:r>
        <w:rPr>
          <w:b/>
        </w:rPr>
        <w:t xml:space="preserve">4. Identify Students Needing Support:</w:t>
      </w:r>
      <w:r>
        <w:t xml:space="preserve"> </w:t>
      </w:r>
      <w:r>
        <w:t xml:space="preserve">-</w:t>
      </w:r>
      <w:r>
        <w:t xml:space="preserve"> </w:t>
      </w:r>
      <w:r>
        <w:rPr>
          <w:b/>
        </w:rPr>
        <w:t xml:space="preserve">Incomplete or vague entries:</w:t>
      </w:r>
      <w:r>
        <w:t xml:space="preserve"> </w:t>
      </w:r>
      <w:r>
        <w:t xml:space="preserve">May indicate absence, confusion, or language barriers</w:t>
      </w:r>
      <w:r>
        <w:t xml:space="preserve"> </w:t>
      </w:r>
      <w:r>
        <w:t xml:space="preserve">-</w:t>
      </w:r>
      <w:r>
        <w:t xml:space="preserve"> </w:t>
      </w:r>
      <w:r>
        <w:rPr>
          <w:b/>
        </w:rPr>
        <w:t xml:space="preserve">Persistent misconceptions:</w:t>
      </w:r>
      <w:r>
        <w:t xml:space="preserve"> </w:t>
      </w:r>
      <w:r>
        <w:t xml:space="preserve">Require targeted intervention or re-teaching</w:t>
      </w:r>
      <w:r>
        <w:t xml:space="preserve"> </w:t>
      </w:r>
      <w:r>
        <w:t xml:space="preserve">-</w:t>
      </w:r>
      <w:r>
        <w:t xml:space="preserve"> </w:t>
      </w:r>
      <w:r>
        <w:rPr>
          <w:b/>
        </w:rPr>
        <w:t xml:space="preserve">Lack of connection to phenomena (Column 4):</w:t>
      </w:r>
      <w:r>
        <w:t xml:space="preserve"> </w:t>
      </w:r>
      <w:r>
        <w:t xml:space="preserve">Student may be learning facts without sensemaking</w:t>
      </w:r>
    </w:p>
    <w:p>
      <w:pPr>
        <w:pStyle w:val="Heading3"/>
      </w:pPr>
      <w:bookmarkStart w:id="33" w:name="instructional-strategies"/>
      <w:r>
        <w:t xml:space="preserve">Instructional Strategies:</w:t>
      </w:r>
      <w:bookmarkEnd w:id="33"/>
    </w:p>
    <w:p>
      <w:pPr>
        <w:pStyle w:val="FirstParagraph"/>
      </w:pPr>
      <w:r>
        <w:rPr>
          <w:b/>
        </w:rPr>
        <w:t xml:space="preserve">During the Unit:</w:t>
      </w:r>
      <w:r>
        <w:t xml:space="preserve"> </w:t>
      </w:r>
      <w:r>
        <w:t xml:space="preserve">-</w:t>
      </w:r>
      <w:r>
        <w:t xml:space="preserve"> </w:t>
      </w:r>
      <w:r>
        <w:rPr>
          <w:b/>
        </w:rPr>
        <w:t xml:space="preserve">Lesson closure routine:</w:t>
      </w:r>
      <w:r>
        <w:t xml:space="preserve"> </w:t>
      </w:r>
      <w:r>
        <w:t xml:space="preserve">Reserve 8–10 minutes at the end of each lesson for students to complete the corresponding row</w:t>
      </w:r>
      <w:r>
        <w:t xml:space="preserve"> </w:t>
      </w:r>
      <w:r>
        <w:t xml:space="preserve">-</w:t>
      </w:r>
      <w:r>
        <w:t xml:space="preserve"> </w:t>
      </w:r>
      <w:r>
        <w:rPr>
          <w:b/>
        </w:rPr>
        <w:t xml:space="preserve">Peer review:</w:t>
      </w:r>
      <w:r>
        <w:t xml:space="preserve"> </w:t>
      </w:r>
      <w:r>
        <w:t xml:space="preserve">Have students exchange tables and provide feedback using a simple protocol (</w:t>
      </w:r>
      <w:r>
        <w:t xml:space="preserve">“</w:t>
      </w:r>
      <w:r>
        <w:t xml:space="preserve">One thing that’s clear + one question</w:t>
      </w:r>
      <w:r>
        <w:t xml:space="preserve">”</w:t>
      </w:r>
      <w:r>
        <w:t xml:space="preserve">)</w:t>
      </w:r>
      <w:r>
        <w:t xml:space="preserve"> </w:t>
      </w:r>
      <w:r>
        <w:t xml:space="preserve">-</w:t>
      </w:r>
      <w:r>
        <w:t xml:space="preserve"> </w:t>
      </w:r>
      <w:r>
        <w:rPr>
          <w:b/>
        </w:rPr>
        <w:t xml:space="preserve">Gallery walk:</w:t>
      </w:r>
      <w:r>
        <w:t xml:space="preserve"> </w:t>
      </w:r>
      <w:r>
        <w:t xml:space="preserve">Post selected student entries (with permission) to highlight strong explanations or interesting questions</w:t>
      </w:r>
      <w:r>
        <w:t xml:space="preserve"> </w:t>
      </w:r>
      <w:r>
        <w:t xml:space="preserve">-</w:t>
      </w:r>
      <w:r>
        <w:t xml:space="preserve"> </w:t>
      </w:r>
      <w:r>
        <w:rPr>
          <w:b/>
        </w:rPr>
        <w:t xml:space="preserve">Just-in-time support:</w:t>
      </w:r>
      <w:r>
        <w:t xml:space="preserve"> </w:t>
      </w:r>
      <w:r>
        <w:t xml:space="preserve">Circulate while students complete entries; provide scaffolding questions for struggling students</w:t>
      </w:r>
    </w:p>
    <w:p>
      <w:pPr>
        <w:pStyle w:val="BodyText"/>
      </w:pPr>
      <w:r>
        <w:rPr>
          <w:b/>
        </w:rPr>
        <w:t xml:space="preserve">Differentiation:</w:t>
      </w:r>
      <w:r>
        <w:t xml:space="preserve"> </w:t>
      </w:r>
      <w:r>
        <w:t xml:space="preserve">-</w:t>
      </w:r>
      <w:r>
        <w:t xml:space="preserve"> </w:t>
      </w:r>
      <w:r>
        <w:rPr>
          <w:b/>
        </w:rPr>
        <w:t xml:space="preserve">Emerging learners:</w:t>
      </w:r>
      <w:r>
        <w:t xml:space="preserve"> </w:t>
      </w:r>
      <w:r>
        <w:t xml:space="preserve">Provide sentence frames for Columns 3 and 4 (e.g.,</w:t>
      </w:r>
      <w:r>
        <w:t xml:space="preserve"> </w:t>
      </w:r>
      <w:r>
        <w:t xml:space="preserve">“</w:t>
      </w:r>
      <w:r>
        <w:t xml:space="preserve">When temperature increases, particles _____ because _____.</w:t>
      </w:r>
      <w:r>
        <w:t xml:space="preserve">”</w:t>
      </w:r>
      <w:r>
        <w:t xml:space="preserve">)</w:t>
      </w:r>
      <w:r>
        <w:t xml:space="preserve"> </w:t>
      </w:r>
      <w:r>
        <w:t xml:space="preserve">-</w:t>
      </w:r>
      <w:r>
        <w:t xml:space="preserve"> </w:t>
      </w:r>
      <w:r>
        <w:rPr>
          <w:b/>
        </w:rPr>
        <w:t xml:space="preserve">Advanced learners:</w:t>
      </w:r>
      <w:r>
        <w:t xml:space="preserve"> </w:t>
      </w:r>
      <w:r>
        <w:t xml:space="preserve">Challenge them to include quantitative reasoning (e.g., calculate expansion using α values) or compare multiple materials</w:t>
      </w:r>
      <w:r>
        <w:t xml:space="preserve"> </w:t>
      </w:r>
      <w:r>
        <w:t xml:space="preserve">-</w:t>
      </w:r>
      <w:r>
        <w:t xml:space="preserve"> </w:t>
      </w:r>
      <w:r>
        <w:rPr>
          <w:b/>
        </w:rPr>
        <w:t xml:space="preserve">Multilingual learners:</w:t>
      </w:r>
      <w:r>
        <w:t xml:space="preserve"> </w:t>
      </w:r>
      <w:r>
        <w:t xml:space="preserve">Allow use of home language alongside English; encourage labeled diagrams in Column 5</w:t>
      </w:r>
    </w:p>
    <w:p>
      <w:pPr>
        <w:pStyle w:val="BodyText"/>
      </w:pPr>
      <w:r>
        <w:rPr>
          <w:b/>
        </w:rPr>
        <w:t xml:space="preserve">End-of-Unit Use:</w:t>
      </w:r>
      <w:r>
        <w:t xml:space="preserve"> </w:t>
      </w:r>
      <w:r>
        <w:t xml:space="preserve">-</w:t>
      </w:r>
      <w:r>
        <w:t xml:space="preserve"> </w:t>
      </w:r>
      <w:r>
        <w:rPr>
          <w:b/>
        </w:rPr>
        <w:t xml:space="preserve">Self-assessment:</w:t>
      </w:r>
      <w:r>
        <w:t xml:space="preserve"> </w:t>
      </w:r>
      <w:r>
        <w:t xml:space="preserve">Students review their complete table and reflection questions before summative assessment</w:t>
      </w:r>
      <w:r>
        <w:t xml:space="preserve"> </w:t>
      </w:r>
      <w:r>
        <w:t xml:space="preserve">-</w:t>
      </w:r>
      <w:r>
        <w:t xml:space="preserve"> </w:t>
      </w:r>
      <w:r>
        <w:rPr>
          <w:b/>
        </w:rPr>
        <w:t xml:space="preserve">Grading evidence:</w:t>
      </w:r>
      <w:r>
        <w:t xml:space="preserve"> </w:t>
      </w:r>
      <w:r>
        <w:t xml:space="preserve">Use completed tables as part of formative grade or as evidence of learning progression (not as high-stakes assessment)</w:t>
      </w:r>
      <w:r>
        <w:t xml:space="preserve"> </w:t>
      </w:r>
      <w:r>
        <w:t xml:space="preserve">-</w:t>
      </w:r>
      <w:r>
        <w:t xml:space="preserve"> </w:t>
      </w:r>
      <w:r>
        <w:rPr>
          <w:b/>
        </w:rPr>
        <w:t xml:space="preserve">Parent communication:</w:t>
      </w:r>
      <w:r>
        <w:t xml:space="preserve"> </w:t>
      </w:r>
      <w:r>
        <w:t xml:space="preserve">Tables provide concrete evidence of student learning to share at conferences</w:t>
      </w:r>
    </w:p>
    <w:p>
      <w:pPr>
        <w:pStyle w:val="Heading3"/>
      </w:pPr>
      <w:bookmarkStart w:id="34" w:name="alignment-with-summative-assessment"/>
      <w:r>
        <w:t xml:space="preserve">Alignment with Summative Assessment:</w:t>
      </w:r>
      <w:bookmarkEnd w:id="34"/>
    </w:p>
    <w:p>
      <w:pPr>
        <w:pStyle w:val="FirstParagraph"/>
      </w:pPr>
      <w:r>
        <w:t xml:space="preserve">The completed Summary Table prepares students for summative tasks such as:</w:t>
      </w:r>
      <w:r>
        <w:t xml:space="preserve"> </w:t>
      </w:r>
      <w:r>
        <w:t xml:space="preserve">- Written explanations of novel thermal expansion phenomena</w:t>
      </w:r>
      <w:r>
        <w:t xml:space="preserve"> </w:t>
      </w:r>
      <w:r>
        <w:t xml:space="preserve">- Design challenges requiring application of thermal expansion principles</w:t>
      </w:r>
      <w:r>
        <w:t xml:space="preserve"> </w:t>
      </w:r>
      <w:r>
        <w:t xml:space="preserve">- Model-based reasoning tasks (e.g., predict and explain behavior of new materials)</w:t>
      </w:r>
      <w:r>
        <w:t xml:space="preserve"> </w:t>
      </w:r>
      <w:r>
        <w:t xml:space="preserve">- Transfer tasks (e.g., explain why thermometers work, why power lines sag in summer)</w:t>
      </w:r>
    </w:p>
    <w:p>
      <w:pPr>
        <w:pStyle w:val="Heading3"/>
      </w:pPr>
      <w:bookmarkStart w:id="35" w:name="time-management"/>
      <w:r>
        <w:t xml:space="preserve">Time Management:</w:t>
      </w:r>
      <w:bookmarkEnd w:id="35"/>
    </w:p>
    <w:p>
      <w:pPr>
        <w:numPr>
          <w:ilvl w:val="0"/>
          <w:numId w:val="1008"/>
        </w:numPr>
        <w:pStyle w:val="Compact"/>
      </w:pPr>
      <w:r>
        <w:rPr>
          <w:b/>
        </w:rPr>
        <w:t xml:space="preserve">In-class completion:</w:t>
      </w:r>
      <w:r>
        <w:t xml:space="preserve"> </w:t>
      </w:r>
      <w:r>
        <w:t xml:space="preserve">8–10 minutes per lesson (total ~60 minutes across unit)</w:t>
      </w:r>
    </w:p>
    <w:p>
      <w:pPr>
        <w:numPr>
          <w:ilvl w:val="0"/>
          <w:numId w:val="1008"/>
        </w:numPr>
        <w:pStyle w:val="Compact"/>
      </w:pPr>
      <w:r>
        <w:rPr>
          <w:b/>
        </w:rPr>
        <w:t xml:space="preserve">Reflection questions:</w:t>
      </w:r>
      <w:r>
        <w:t xml:space="preserve"> </w:t>
      </w:r>
      <w:r>
        <w:t xml:space="preserve">20–30 minutes (can be homework or extended class activity)</w:t>
      </w:r>
    </w:p>
    <w:p>
      <w:pPr>
        <w:numPr>
          <w:ilvl w:val="0"/>
          <w:numId w:val="1008"/>
        </w:numPr>
        <w:pStyle w:val="Compact"/>
      </w:pPr>
      <w:r>
        <w:rPr>
          <w:b/>
        </w:rPr>
        <w:t xml:space="preserve">Teacher review:</w:t>
      </w:r>
      <w:r>
        <w:t xml:space="preserve"> </w:t>
      </w:r>
      <w:r>
        <w:t xml:space="preserve">2–3 minutes per student per lesson (or sample 5–6 students per lesson on rotation)</w:t>
      </w:r>
    </w:p>
    <w:p>
      <w:r>
        <w:pict>
          <v:rect style="width:0;height:1.5pt" o:hralign="center" o:hrstd="t" o:hr="t"/>
        </w:pict>
      </w:r>
    </w:p>
    <w:p>
      <w:pPr>
        <w:pStyle w:val="FirstParagraph"/>
      </w:pPr>
      <w:r>
        <w:rPr>
          <w:b/>
        </w:rPr>
        <w:t xml:space="preserve">Document Version:</w:t>
      </w:r>
      <w:r>
        <w:t xml:space="preserve"> </w:t>
      </w:r>
      <w:r>
        <w:t xml:space="preserve">1.0</w:t>
      </w:r>
      <w:r>
        <w:br/>
      </w:r>
      <w:r>
        <w:rPr>
          <w:b/>
        </w:rPr>
        <w:t xml:space="preserve">Created:</w:t>
      </w:r>
      <w:r>
        <w:t xml:space="preserve"> </w:t>
      </w:r>
      <w:r>
        <w:t xml:space="preserve">April 2026</w:t>
      </w:r>
      <w:r>
        <w:br/>
      </w:r>
      <w:r>
        <w:rPr>
          <w:b/>
        </w:rPr>
        <w:t xml:space="preserve">Curriculum Alignment:</w:t>
      </w:r>
      <w:r>
        <w:t xml:space="preserve"> </w:t>
      </w:r>
      <w:r>
        <w:t xml:space="preserve">Grade 10 Physics, Sub-Strand 1.4 (Temperature and Thermal Expansion)</w:t>
      </w:r>
      <w:r>
        <w:br/>
      </w:r>
      <w:r>
        <w:rPr>
          <w:b/>
        </w:rPr>
        <w:t xml:space="preserve">Framework:</w:t>
      </w:r>
      <w:r>
        <w:t xml:space="preserve"> </w:t>
      </w:r>
      <w:r>
        <w:t xml:space="preserve">Phenomenon-based, three-dimensional learning with formative assessment integration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2026-04-14T14:14:21Z</dcterms:created>
  <dcterms:modified xsi:type="dcterms:W3CDTF">2026-04-14T14:14:21Z</dcterms:modified>
</cp:coreProperties>
</file>

<file path=docProps/custom.xml><?xml version="1.0" encoding="utf-8"?>
<Properties xmlns="http://schemas.openxmlformats.org/officeDocument/2006/custom-properties" xmlns:vt="http://schemas.openxmlformats.org/officeDocument/2006/docPropsVTypes"/>
</file>