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(Journal_Biology.docx),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spacing w:after="80" w:before="0"/>
      </w:pPr>
      <w:r>
        <w:rPr>
          <w:rFonts w:ascii="Arial" w:cs="Arial" w:eastAsia="Arial" w:hAnsi="Arial"/>
          <w:color w:val="555555"/>
          <w:sz w:val="18"/>
          <w:szCs w:val="18"/>
        </w:rPr>
        <w:t xml:space="preserve">13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 </w:t>
            </w:r>
          </w:p>
          <w:p>
            <w:pPr>
              <w:spacing w:after="6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each carried out by a different cell type or cell fragment: platelets (small cell fragments with no nucleus) aggregate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bio_1_1-040</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G13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 </w:t>
            </w:r>
          </w:p>
          <w:p>
            <w:pPr>
              <w:spacing w:after="60" w:before="0"/>
            </w:pPr>
            <w:r>
              <w:rPr>
                <w:rFonts w:ascii="Arial" w:cs="Arial" w:eastAsia="Arial" w:hAnsi="Arial"/>
                <w:sz w:val="17"/>
                <w:szCs w:val="17"/>
              </w:rPr>
              <w:t xml:space="preserve">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bio_1_1-081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bio_1_1-091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 </w:t>
            </w:r>
          </w:p>
          <w:p>
            <w:pPr>
              <w:spacing w:after="6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G25 (+11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 </w:t>
            </w:r>
          </w:p>
          <w:p>
            <w:pPr>
              <w:spacing w:after="6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G26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 </w:t>
            </w:r>
          </w:p>
          <w:p>
            <w:pPr>
              <w:spacing w:after="6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teacher cold-calls two learners — selecting students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G34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 </w:t>
            </w:r>
          </w:p>
          <w:p>
            <w:pPr>
              <w:spacing w:after="6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BEFORE THE LESSON (or while learners write in the Explain phase), sort the DQB cards into 8 to 10 groups of similar questions. WORK THROUGH THE GROUPS systematically — spend no more than 90 seconds per group:</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bio_1_1-162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bio_1_1-174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bio_1_1-175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bio_1_1-176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 </w:t>
            </w:r>
          </w:p>
          <w:p>
            <w:pPr>
              <w:spacing w:after="6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(double lesson: 2 x 40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 G7 (+7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 </w:t>
            </w:r>
          </w:p>
          <w:p>
            <w:pPr>
              <w:spacing w:after="6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(tube A: green, yellow or orange, a positive result; tube B: blue or no change). The colour depends on the strength of the saliva and the time, so run the practical once before the lesson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 G13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 </w:t>
            </w:r>
          </w:p>
          <w:p>
            <w:pPr>
              <w:spacing w:after="6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bio_1_2-085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bio_1_2-086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bio_1_2-087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 G1 (+13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 </w:t>
            </w:r>
          </w:p>
          <w:p>
            <w:pPr>
              <w:spacing w:after="6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 strand, the learner should be able to: a) differentiate between light and electron microscope as used in the study of cell structure, b) prepare temporary slides for observation and estimation of cell size using a light microscope, c) describe the structure and functions of plant and animal cells as observed in an electron microscope, d) relate the structures of specialised cells in plants and animals to their functions in living things, e) appreciate the cell as the basic…</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 G3 (+13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 </w:t>
            </w:r>
          </w:p>
          <w:p>
            <w:pPr>
              <w:spacing w:after="6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 G26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 </w:t>
            </w:r>
          </w:p>
          <w:p>
            <w:pPr>
              <w:spacing w:after="6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bio_1_3-014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bio_1_3-093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bio_1_3-142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GK (+10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 </w:t>
            </w:r>
          </w:p>
          <w:p>
            <w:pPr>
              <w:spacing w:after="6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 strand, the learner should be able to: a) describe types of nutrition in plants, b) relate the structure of the chloroplast to its function in plant cells, c) illustrate the light and dark stages of photosynthesis in plants, d) appreciate the significance of photosynthesis in nature. Further outcomes taught in this sequence (added by the teachers, beyond the KICD list): e) relate the structure of the leaf to its role in photosynthesis and water loss, f) investigate and exp…</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bio_2_1-021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raising questions about the role of light energy in chemical reactions inside leaves. (Optional extension: this DCPIP observation is not carried out in the ten lessons; use it only if the school has the dye and chloroplast extract.)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G1 (+13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 </w:t>
            </w:r>
          </w:p>
          <w:p>
            <w:pPr>
              <w:spacing w:after="6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GG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 </w:t>
            </w:r>
          </w:p>
          <w:p>
            <w:pPr>
              <w:spacing w:after="6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G9R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 </w:t>
            </w:r>
          </w:p>
          <w:p>
            <w:pPr>
              <w:spacing w:after="6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(1) a printed A3 Mineral Data Table (compiled by the teacher from KALRO or other extension leaflets, or a standard Biology textbook) showing eight minerals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GKS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 </w:t>
            </w:r>
          </w:p>
          <w:p>
            <w:pPr>
              <w:spacing w:after="6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bio_2_1-123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bio_2_1-124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G2c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 </w:t>
            </w:r>
          </w:p>
          <w:p>
            <w:pPr>
              <w:spacing w:after="6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objectively analyses results of the bark ringing/girdling experiment to demonstrate evidence of translocation. (In this unit: the girdling evidence card in Lesson 8, and the data analysis in Lessons 4 and 7.) • Imagination and Creativity: The learner seeks clarification from others while carrying out the experiment to demonstrate the mechanisms of water and mineral salt uptake. (In this unit: the root, stem and potometer practicals in Lessons…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S6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 </w:t>
            </w:r>
          </w:p>
          <w:p>
            <w:pPr>
              <w:spacing w:after="6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(for example a bean, tomato or coleus shoot, or a Ficus or hibiscus twig, whichever the school has; avoid thorny bougainvillea and succulents)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G8D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 </w:t>
            </w:r>
          </w:p>
          <w:p>
            <w:pPr>
              <w:spacing w:after="6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T8 (+18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 </w:t>
            </w:r>
          </w:p>
          <w:p>
            <w:pPr>
              <w:spacing w:after="6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Activity A — Girdling Evidence Analysis (10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G10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 </w:t>
            </w:r>
          </w:p>
          <w:p>
            <w:pPr>
              <w:spacing w:after="6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Students examine photographs of eucalyptus trees in a plantation near Kericho whose bark has been ring-stripped; the roots below the ring starve and the trees eventually die.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GL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 </w:t>
            </w:r>
          </w:p>
          <w:p>
            <w:pPr>
              <w:spacing w:after="60" w:before="0"/>
            </w:pPr>
            <w:r>
              <w:rPr>
                <w:rFonts w:ascii="Arial" w:cs="Arial" w:eastAsia="Arial" w:hAnsi="Arial"/>
                <w:sz w:val="17"/>
                <w:szCs w:val="17"/>
              </w:rPr>
              <w:t xml:space="preserve">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bio_2_2-117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bio_2_2-122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bio_2_2-123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 G2 (+37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w:t>
            </w:r>
          </w:p>
          <w:p>
            <w:pPr>
              <w:spacing w:after="6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 G7 (+19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slo.purpose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w:t>
            </w:r>
          </w:p>
          <w:p>
            <w:pPr>
              <w:spacing w:after="6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investigations they planned in Lesson 9 on anaerobic respiration (yeast fermentation, biogas simulation or food fermentation) using locally available materials,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 G8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 </w:t>
            </w:r>
          </w:p>
          <w:p>
            <w:pPr>
              <w:spacing w:after="6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including researchers who study Kenya's mangroves and crops today,</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bio_2_3-139</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bio_2_3-143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G1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 </w:t>
            </w:r>
          </w:p>
          <w:p>
            <w:pPr>
              <w:spacing w:after="6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sub-strand, the learner should be able to: a) relate the structure of mouthparts of insects to their functions, b) illustrate mouthparts in different insects, c) relate the structure of beaks of birds to their functions, d) appreciate diversity in feeding modes of insects and birds. Additional outcomes taught in this unit (extension beyond the KICD Grade 10 outcomes for this sub-strand): e) explain the types of nutrition in animals and their significance in everyday life, f) 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G26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 </w:t>
            </w:r>
          </w:p>
          <w:p>
            <w:pPr>
              <w:spacing w:after="6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G18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 </w:t>
            </w:r>
          </w:p>
          <w:p>
            <w:pPr>
              <w:spacing w:after="6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G20 (+7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 </w:t>
            </w:r>
          </w:p>
          <w:p>
            <w:pPr>
              <w:spacing w:after="6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bio_3_1-010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bio_3_1-011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bio_3_1-012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bio_3_1-049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spacing w:after="80" w:before="0"/>
      </w:pPr>
      <w:r>
        <w:rPr>
          <w:rFonts w:ascii="Arial" w:cs="Arial" w:eastAsia="Arial" w:hAnsi="Arial"/>
          <w:color w:val="555555"/>
          <w:sz w:val="18"/>
          <w:szCs w:val="18"/>
        </w:rPr>
        <w:t xml:space="preserve">11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G1 (+19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 </w:t>
            </w:r>
          </w:p>
          <w:p>
            <w:pPr>
              <w:spacing w:after="6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G3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 </w:t>
            </w:r>
          </w:p>
          <w:p>
            <w:pPr>
              <w:spacing w:after="6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G12 (+10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 </w:t>
            </w:r>
          </w:p>
          <w:p>
            <w:pPr>
              <w:spacing w:after="6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G-KISW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 </w:t>
            </w:r>
          </w:p>
          <w:p>
            <w:pPr>
              <w:spacing w:after="6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G-KICD-CC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 </w:t>
            </w:r>
          </w:p>
          <w:p>
            <w:pPr>
              <w:spacing w:after="6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analyses the compatibility of blood donor and recipient for safe transfusion of blood. • Self-efficacy: The learner exhibits confidence and self-esteem during dissection of a small mammal to examine the transport system. • Communication and Collaboration: Learners work in groups to investigate and present findings on the diversity of animal transport systems, debating similarities and differences across species such as the tilapia (fish) foun…</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bio_3_2-150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bio_3_2-151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G2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 </w:t>
            </w:r>
          </w:p>
          <w:p>
            <w:pPr>
              <w:spacing w:after="6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 • Learning to learn: The learner develops relationships wh…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G5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 </w:t>
            </w:r>
          </w:p>
          <w:p>
            <w:pPr>
              <w:spacing w:after="6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closes with a short take-home observation task; the ARES reading on circulatory system functions is kept for Lesson 5, where learners use it as evidence.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G7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 </w:t>
            </w:r>
          </w:p>
          <w:p>
            <w:pPr>
              <w:spacing w:after="6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bio_3_3-135</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G18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 </w:t>
            </w:r>
          </w:p>
          <w:p>
            <w:pPr>
              <w:spacing w:after="6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bio_3_3-147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bio_3_3-148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bio_3_3-149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bio_3_3-150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2026-10-17T17:34:23.336Z</dcterms:created>
  <dcterms:modified xsi:type="dcterms:W3CDTF">2026-10-17T17:34:23.336Z</dcterms:modified>
</cp:coreProperties>
</file>

<file path=docProps/custom.xml><?xml version="1.0" encoding="utf-8"?>
<Properties xmlns="http://schemas.openxmlformats.org/officeDocument/2006/custom-properties" xmlns:vt="http://schemas.openxmlformats.org/officeDocument/2006/docPropsVTypes"/>
</file>