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General Science: flagged items</w:t>
      </w:r>
    </w:p>
    <w:p>
      <w:pPr>
        <w:spacing w:after="140" w:before="0"/>
      </w:pPr>
      <w:r>
        <w:rPr>
          <w:rFonts w:ascii="Arial" w:cs="Arial" w:eastAsia="Arial" w:hAnsi="Arial"/>
          <w:sz w:val="20"/>
          <w:szCs w:val="20"/>
        </w:rPr>
        <w:t xml:space="preserve">Summary of ONLY the items that need a teacher's attention. Prepared by Claude (AI), proposed for teacher review.</w:t>
      </w:r>
    </w:p>
    <w:p>
      <w:pPr>
        <w:spacing w:after="60" w:before="0"/>
      </w:pPr>
      <w:r>
        <w:rPr>
          <w:rFonts w:ascii="Arial" w:cs="Arial" w:eastAsia="Arial" w:hAnsi="Arial"/>
          <w:b/>
          <w:bCs/>
          <w:color w:val="C00000"/>
          <w:sz w:val="17"/>
          <w:szCs w:val="17"/>
        </w:rPr>
        <w:t xml:space="preserve">[FLAG] (orange): </w:t>
      </w:r>
      <w:r>
        <w:rPr>
          <w:rFonts w:ascii="Arial" w:cs="Arial" w:eastAsia="Arial" w:hAnsi="Arial"/>
          <w:sz w:val="17"/>
          <w:szCs w:val="17"/>
        </w:rPr>
        <w:t xml:space="preserve">a problem or question where no text was changed; you decide what should happen. </w:t>
      </w:r>
    </w:p>
    <w:p>
      <w:pPr>
        <w:spacing w:after="60" w:before="0"/>
      </w:pPr>
      <w:r>
        <w:rPr>
          <w:rFonts w:ascii="Arial" w:cs="Arial" w:eastAsia="Arial" w:hAnsi="Arial"/>
          <w:b/>
          <w:bCs/>
          <w:color w:val="C55A11"/>
          <w:sz w:val="17"/>
          <w:szCs w:val="17"/>
        </w:rPr>
        <w:t xml:space="preserve">[DECISION] (yellow): </w:t>
      </w:r>
      <w:r>
        <w:rPr>
          <w:rFonts w:ascii="Arial" w:cs="Arial" w:eastAsia="Arial" w:hAnsi="Arial"/>
          <w:sz w:val="17"/>
          <w:szCs w:val="17"/>
        </w:rPr>
        <w:t xml:space="preserve">Claude proposed a change that rests on a judgement call (for example local knowledge, a timetable choice, or unverified Kiswahili terms); please confirm it or ask for a different version.</w:t>
      </w:r>
    </w:p>
    <w:p>
      <w:pPr>
        <w:spacing w:after="120" w:before="0"/>
      </w:pPr>
      <w:r>
        <w:rPr>
          <w:rFonts w:ascii="Arial" w:cs="Arial" w:eastAsia="Arial" w:hAnsi="Arial"/>
          <w:b/>
          <w:bCs/>
          <w:sz w:val="17"/>
          <w:szCs w:val="17"/>
        </w:rPr>
        <w:t xml:space="preserve">How to answer: </w:t>
      </w:r>
      <w:r>
        <w:rPr>
          <w:rFonts w:ascii="Arial" w:cs="Arial" w:eastAsia="Arial" w:hAnsi="Arial"/>
          <w:sz w:val="17"/>
          <w:szCs w:val="17"/>
        </w:rPr>
        <w:t xml:space="preserve">open the journal (Journal_General_Science.docx), find the item by the same item number, and tick ACCEPT or EDIT there (type your requested change in the box). Please do not answer in this summary.</w:t>
      </w:r>
    </w:p>
    <w:p>
      <w:pPr>
        <w:pStyle w:val="Heading2"/>
        <w:keepNext/>
        <w:spacing w:after="80" w:before="260"/>
      </w:pPr>
      <w:r>
        <w:rPr>
          <w:rFonts w:ascii="Arial" w:cs="Arial" w:eastAsia="Arial" w:hAnsi="Arial"/>
          <w:b/>
          <w:bCs/>
          <w:color w:val="2E75B6"/>
          <w:sz w:val="24"/>
          <w:szCs w:val="24"/>
        </w:rPr>
        <w:t xml:space="preserve">Summary</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6000"/>
        <w:gridCol w:w="2400"/>
        <w:gridCol w:w="2400"/>
        <w:gridCol w:w="2880"/>
      </w:tblGrid>
      <w:tr>
        <w:trPr>
          <w:cantSplit/>
          <w:tblHeader/>
        </w:trPr>
        <w:tc>
          <w:tcPr>
            <w:tcW w:type="dxa" w:w="60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Sub-strand</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Items needing attention</w:t>
            </w:r>
          </w:p>
        </w:tc>
        <w:tc>
          <w:tcPr>
            <w:tcW w:type="dxa" w:w="24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[FLAG]</w:t>
            </w:r>
          </w:p>
        </w:tc>
        <w:tc>
          <w:tcPr>
            <w:tcW w:type="dxa" w:w="28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[DECISION]</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3.1 Turning Effect of Force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r>
        <w:trPr>
          <w:cantSplit w:val="false"/>
        </w:trPr>
        <w:tc>
          <w:tcPr>
            <w:tcW w:type="dxa" w:w="6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Total</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2</w:t>
            </w:r>
          </w:p>
        </w:tc>
        <w:tc>
          <w:tcPr>
            <w:tcW w:type="dxa" w:w="288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60" w:before="0"/>
            </w:pPr>
            <w:r>
              <w:rPr>
                <w:rFonts w:ascii="Arial" w:cs="Arial" w:eastAsia="Arial" w:hAnsi="Arial"/>
                <w:sz w:val="17"/>
                <w:szCs w:val="17"/>
              </w:rPr>
              <w:t xml:space="preserve">5</w:t>
            </w:r>
          </w:p>
        </w:tc>
      </w:tr>
    </w:tbl>
    <w:p>
      <w:pPr>
        <w:sectPr>
          <w:footerReference w:type="default" r:id="rId7"/>
          <w:pgSz w:w="15840" w:h="12240" w:orient="landscape"/>
          <w:pgMar w:top="1100" w:right="1080" w:bottom="900" w:left="1080" w:header="708" w:footer="708" w:gutter="0"/>
          <w:pgNumType/>
          <w:docGrid w:linePitch="360"/>
        </w:sectPr>
      </w:pPr>
    </w:p>
    <w:p>
      <w:pPr>
        <w:pStyle w:val="Heading2"/>
        <w:keepNext/>
        <w:spacing w:after="80" w:before="260"/>
      </w:pPr>
      <w:r>
        <w:rPr>
          <w:rFonts w:ascii="Arial" w:cs="Arial" w:eastAsia="Arial" w:hAnsi="Arial"/>
          <w:b/>
          <w:bCs/>
          <w:color w:val="2E75B6"/>
          <w:sz w:val="24"/>
          <w:szCs w:val="24"/>
        </w:rPr>
        <w:t xml:space="preserve">3.1 Turning Effect of Force   (gensci_3_1)</w:t>
      </w:r>
    </w:p>
    <w:p>
      <w:pPr>
        <w:spacing w:after="80" w:before="0"/>
      </w:pPr>
      <w:r>
        <w:rPr>
          <w:rFonts w:ascii="Arial" w:cs="Arial" w:eastAsia="Arial" w:hAnsi="Arial"/>
          <w:color w:val="555555"/>
          <w:sz w:val="18"/>
          <w:szCs w:val="18"/>
        </w:rPr>
        <w:t xml:space="preserve">7 items. Journal item numbers are shown in the first column.</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100"/>
        <w:gridCol w:w="4780"/>
        <w:gridCol w:w="3800"/>
      </w:tblGrid>
      <w:tr>
        <w:trPr>
          <w:cantSplit/>
          <w:tblHeader/>
        </w:trPr>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Journal item</w:t>
            </w:r>
          </w:p>
        </w:tc>
        <w:tc>
          <w:tcPr>
            <w:tcW w:type="dxa" w:w="15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Type</w:t>
            </w:r>
          </w:p>
        </w:tc>
        <w:tc>
          <w:tcPr>
            <w:tcW w:type="dxa" w:w="21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Where</w:t>
            </w:r>
          </w:p>
        </w:tc>
        <w:tc>
          <w:tcPr>
            <w:tcW w:type="dxa" w:w="478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Issue / what you are asked to decide</w:t>
            </w:r>
          </w:p>
        </w:tc>
        <w:tc>
          <w:tcPr>
            <w:tcW w:type="dxa" w:w="3800"/>
            <w:tcBorders>
              <w:top w:val="single" w:color="999999" w:sz="4"/>
              <w:left w:val="single" w:color="999999" w:sz="4"/>
              <w:bottom w:val="single" w:color="999999" w:sz="4"/>
              <w:right w:val="single" w:color="999999" w:sz="4"/>
            </w:tcBorders>
            <w:shd w:fill="D5E8F0"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Claude's proposal</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gensci_3_1-013</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2,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Slotted masses are not in every partner school. The lesson only listed slotted masses; a low-cost substitute is now given. The teacher must decide which substitute their school actually has (bottles of water, packets of sugar or flour, stones weighed on a balance).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Distribute apparatus efficiently (pre-packed in labelled trays — one tray per group). If slotted masses are not available, use small plastic bottles of equal empty mass filled with measured water to a total of 100 g, 200 g and 500 g (check on a kitchen or shop balance), and a pencil, round pen or wedge as the pivot.</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gensci_3_1-021</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3, Explain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No Kiswahili or English-learner support appeared anywhere in the sequence. A short, optional support was added where the key words are first written down. The teacher must decide the Kiswahili terms: they are everyday words, but KICD or the school's Kiswahili teacher may prefer other physics terms.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Cold-call 2 learners to read their 'My Meaning' column aloud. Language support: let English learners write the 'My Meaning' column in Kiswahili first, and write these words beside the English terms (please check with your Kiswahili teacher): nguvu = force, umbali = distance, uzito = weight, kiegemeo = pivot; the turning effect can be explained as 'nguvu ya kuzungusha' (turning power of a force).</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gensci_3_1 G-L4 (+18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slo.purpose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Lesson 4 said the two-handed jembe grip is a couple that explains handle length, mixing up 'distance between the forces' with 'distance from the pivot'; the jembe stays a single-force moment about the blade and the couple is taught on a steering wheel, tap and wrench </w:t>
            </w:r>
          </w:p>
          <w:p>
            <w:pPr>
              <w:spacing w:after="60" w:before="0"/>
            </w:pPr>
            <w:r>
              <w:rPr>
                <w:rFonts w:ascii="Arial" w:cs="Arial" w:eastAsia="Arial" w:hAnsi="Arial"/>
                <w:sz w:val="17"/>
                <w:szCs w:val="17"/>
              </w:rPr>
              <w:t xml:space="preserve">Audit item confirmed. The lesson said the two-handed jembe grip is a couple and that widening the grip explains the handle-length puzzle. That mixes up two different distances: for the jembe, d is the distance from the blade pivot to the single effort force (M = F x d, Lessons 2-3); for a couple, d is the distance BETWEEN the two forces. The distance between the farmer's hands does not change the jembe's moment about the blade (a grip 0.9 m from the blade gives M = F x 0.9 however far apart the hands are). The jembe therefore stays a single-force moment, and the couple is now taught on objects that really turn about their own centre. Lesson 5 and the Final Explanation now say the same. Teacher to confirm this reading of the storyline.</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 extending the turning-effect model from one force about a pivot (the jembe) to two equal, opposite forces that turn an object about its own centre (steering wheel, tap, pipe wrench).</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gensci_3_1-035</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4, Observe Phase, teacherMoves</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Clamp stands and two spring balances per group are not available in every partner school. The teacher must decide whether this qualitative substitute suits the school's equipment.</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Read the instructions on your sheet first — all 4 steps — before touching any equipment. I will time 1 minute of reading.' Low-cost substitute if clamp stands or spring balances are missing: fix a ruler to a flat desk with a nail or pencil through a hole at its centre, and have two learners push with one finger each on opposite sides, in opposite directions, then one learner push alone; learners judge the turning effect by how easily the ruler spins, so this version is qualitative only.</w:t>
            </w:r>
          </w:p>
        </w:tc>
      </w:tr>
      <w:tr>
        <w:trPr>
          <w:cantSplit/>
        </w:trPr>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gensci_3_1 G-L8TP (+1 related edits)</w:t>
            </w:r>
          </w:p>
        </w:tc>
        <w:tc>
          <w:tcPr>
            <w:tcW w:type="dxa" w:w="15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color w:val="C55A11"/>
                <w:sz w:val="17"/>
                <w:szCs w:val="17"/>
              </w:rPr>
              <w:t xml:space="preserve">[DECISION]</w:t>
            </w:r>
          </w:p>
        </w:tc>
        <w:tc>
          <w:tcPr>
            <w:tcW w:type="dxa" w:w="21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Lesson 8, Explain Phase, learnerExperience</w:t>
            </w:r>
          </w:p>
        </w:tc>
        <w:tc>
          <w:tcPr>
            <w:tcW w:type="dxa" w:w="478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Assessing every learner one by one on the metre rule in 15 minutes was impossible for 40 learners (under 40 seconds each); now groups of four or five at stations, each member answering one question </w:t>
            </w:r>
          </w:p>
          <w:p>
            <w:pPr>
              <w:spacing w:after="60" w:before="0"/>
            </w:pPr>
            <w:r>
              <w:rPr>
                <w:rFonts w:ascii="Arial" w:cs="Arial" w:eastAsia="Arial" w:hAnsi="Arial"/>
                <w:sz w:val="17"/>
                <w:szCs w:val="17"/>
              </w:rPr>
              <w:t xml:space="preserve">As written, the teacher called learners one at a time to ONE bench for 15 minutes; with 40 learners that is under 40 seconds each for three questions with 10-second waits, and the teacher notes themselves contradicted it (8 stations prepared, 'two simultaneous stations' for 40 learners). Groups of 4-5 at 8 stations with 2 minutes per group fits 15 minutes (8 x 2 = 16, about 15 with rounding) and still gives every learner an individual question. The teacher must decide whether to assess in groups like this or to assess the practical over several lessons.</w:t>
            </w:r>
          </w:p>
        </w:tc>
        <w:tc>
          <w:tcPr>
            <w:tcW w:type="dxa" w:w="3800"/>
            <w:tcBorders>
              <w:top w:val="single" w:color="999999" w:sz="4"/>
              <w:left w:val="single" w:color="999999" w:sz="4"/>
              <w:bottom w:val="single" w:color="999999" w:sz="4"/>
              <w:right w:val="single" w:color="999999" w:sz="4"/>
            </w:tcBorders>
            <w:shd w:fill="FFF2CC" w:color="auto" w:val="clear"/>
            <w:tcMar>
              <w:top w:type="dxa" w:w="50"/>
              <w:left w:type="dxa" w:w="80"/>
              <w:bottom w:type="dxa" w:w="50"/>
              <w:right w:type="dxa" w:w="80"/>
            </w:tcMar>
          </w:tcPr>
          <w:p>
            <w:pPr>
              <w:spacing w:after="60" w:before="0"/>
            </w:pPr>
            <w:r>
              <w:rPr>
                <w:rFonts w:ascii="Arial" w:cs="Arial" w:eastAsia="Arial" w:hAnsi="Arial"/>
                <w:sz w:val="17"/>
                <w:szCs w:val="17"/>
              </w:rPr>
              <w:t xml:space="preserve">PART A — PRACTICAL ASSESSMENT (15 minutes, by group): Learners work in groups of four or five at practical stations while the teacher visits each station in turn (about 2 minutes per group). Each station has a metre rule balanced on a pencil pivot at the 50 cm mark, two known masses (e.g., a 100 g stone tied with string at a known position), and a third unknown mass. The group must: (i) hang the two known masses at specified positions, (ii) find the position to hang the third mass to achieve ba…</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gensci_3_1-003</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Unit overview, learningOutcomes</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KICD wording check: the Grade 10 KICD PDFs available in data/raw/curriculum_pdfs/ cover Biology, Chemistry, Mathematics and Physics only. General Science Strand 3.0, Sub-Strand 3.1 'Turning Effect of Force' is not in them (the closest text, Physics 1.5 'Moments and equilibrium', is a different sub-strand with different outcomes), so the learning outcomes (a-d), key inquiry question, core competencies, values and PCIs could not be compared word for word and were left unchanged. Please check them against the KICD General Science Grade 10 curriculum design. Coverage check done: outcome a (moments of a force at a point) is taught in Lessons 2-3 and assessed in Final Explanation Parts 1-3; outcome b (moments of anti-parallel forces) is taught in Lessons 4-5 and assessed in Part 3 and Part 4 (a calculation was added); outcome c (real-life applications) is taught in Lessons 6-7 and assessed in Part 5; outcome d (appreciate) is observed in the Lesson 8 reflection journal.</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r>
        <w:trPr>
          <w:cantSplit/>
        </w:trPr>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sz w:val="17"/>
                <w:szCs w:val="17"/>
              </w:rPr>
              <w:t xml:space="preserve">gensci_3_1-088</w:t>
            </w:r>
          </w:p>
        </w:tc>
        <w:tc>
          <w:tcPr>
            <w:tcW w:type="dxa" w:w="15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b/>
                <w:bCs/>
                <w:color w:val="C00000"/>
                <w:sz w:val="17"/>
                <w:szCs w:val="17"/>
              </w:rPr>
              <w:t xml:space="preserve">[FLAG]</w:t>
            </w:r>
          </w:p>
        </w:tc>
        <w:tc>
          <w:tcPr>
            <w:tcW w:type="dxa" w:w="21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Final Explanation, rubric</w:t>
            </w:r>
          </w:p>
        </w:tc>
        <w:tc>
          <w:tcPr>
            <w:tcW w:type="dxa" w:w="478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The contract allows only three level fields (excellent, proficient, developing) and the printed headings are fixed by the template, so the fourth CBE level, Below Expectations, cannot be represented. Suggestion for teachers: add a 'Below Expectations' column by hand when marking, for a learner who cannot calculate any moment or link force, distance and turning effect. The template or contract needs a decision from the project owner.</w:t>
            </w:r>
          </w:p>
        </w:tc>
        <w:tc>
          <w:tcPr>
            <w:tcW w:type="dxa" w:w="3800"/>
            <w:tcBorders>
              <w:top w:val="single" w:color="999999" w:sz="4"/>
              <w:left w:val="single" w:color="999999" w:sz="4"/>
              <w:bottom w:val="single" w:color="999999" w:sz="4"/>
              <w:right w:val="single" w:color="999999" w:sz="4"/>
            </w:tcBorders>
            <w:shd w:fill="F8CBAD" w:color="auto" w:val="clear"/>
            <w:tcMar>
              <w:top w:type="dxa" w:w="50"/>
              <w:left w:type="dxa" w:w="80"/>
              <w:bottom w:type="dxa" w:w="50"/>
              <w:right w:type="dxa" w:w="80"/>
            </w:tcMar>
          </w:tcPr>
          <w:p>
            <w:pPr>
              <w:spacing w:after="60" w:before="0"/>
            </w:pPr>
            <w:r>
              <w:rPr>
                <w:rFonts w:ascii="Arial" w:cs="Arial" w:eastAsia="Arial" w:hAnsi="Arial"/>
                <w:sz w:val="17"/>
                <w:szCs w:val="17"/>
              </w:rPr>
              <w:t xml:space="preserve">No text changed. See the suggestion in the issue text.</w:t>
            </w:r>
          </w:p>
        </w:tc>
      </w:tr>
    </w:tbl>
    <w:sectPr>
      <w:headerReference w:type="default" r:id="rId8"/>
      <w:footerReference w:type="default" r:id="rId9"/>
      <w:pgSz w:w="15840" w:h="12240" w:orient="landscape"/>
      <w:pgMar w:top="11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General Science: flagged items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SUB-STRAND 3.1 Turning Effect of Force (gensci_3_1)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D5E8F0" w:color="auto" w:val="clear"/>
    </w:pPr>
    <w:r>
      <w:rPr>
        <w:rFonts w:ascii="Arial" w:cs="Arial" w:eastAsia="Arial" w:hAnsi="Arial"/>
        <w:b/>
        <w:bCs/>
        <w:color w:val="1F3864"/>
        <w:sz w:val="20"/>
        <w:szCs w:val="20"/>
      </w:rPr>
      <w:t xml:space="preserve">SUB-STRAND 3.1 Turning Effect of Force (gensci_3_1)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2026-10-17T17:34:24.279Z</dcterms:created>
  <dcterms:modified xsi:type="dcterms:W3CDTF">2026-10-17T17:34:24.279Z</dcterms:modified>
</cp:coreProperties>
</file>

<file path=docProps/custom.xml><?xml version="1.0" encoding="utf-8"?>
<Properties xmlns="http://schemas.openxmlformats.org/officeDocument/2006/custom-properties" xmlns:vt="http://schemas.openxmlformats.org/officeDocument/2006/docPropsVTypes"/>
</file>