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10</w:t>
      </w:r>
    </w:p>
    <w:p>
      <w:pPr>
        <w:spacing w:after="60" w:before="0"/>
        <w:jc w:val="center"/>
      </w:pPr>
      <w:r>
        <w:rPr>
          <w:rFonts w:ascii="Arial" w:cs="Arial" w:eastAsia="Arial" w:hAnsi="Arial"/>
          <w:b w:val="false"/>
          <w:bCs w:val="false"/>
          <w:i/>
          <w:iCs/>
          <w:color w:val="1F6B75"/>
          <w:sz w:val="22"/>
          <w:szCs w:val="22"/>
        </w:rPr>
        <w:t xml:space="preserve">Sub-Strand 1.4: Chemicals of Life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1.4: Chemicals of Life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two children in Nairobi who both eat until they are full every day still grow, look, and perform so differently?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Why Do Two Children Eating Until Full Look So Different? Anchoring the Phenomenon &amp; Introducing Biomolecules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photographs and case profiles of two Kenyan children with contrasting diets — one eating mainly ugali and the other eating a varied diet of githeri, eggs, and sukuma wiki — and observed visible differences in growth, energy, and health despite both reporting feeling full.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Food contains four major categories of chemical substances called biomolecules — carbohydrates, proteins, lipids, and nucleic acids — and different Kenyan foods supply these in very different proportions. Feeling 'full' does not mean the body has received all the biomolecules it needs for growth and function.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visible differences between the two children cannot be explained by quantity of food alone; the chemical composition of each diet determines what raw materials are available for body processes. This lesson anchored the driving question and established biomolecules as the unit of analysis for all subsequent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Carbohydrates: Composition, Properties, and Functions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performed iodine and Benedict's reagent tests on common Kenyan foods — ugali (maize flour), ripe banana, sukuma wiki juice, and sugar cane extract — and recorded colour changes to distinguish starch (polysaccharide) from simple sugars (monosaccharides and disaccharides).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Carbohydrates are composed of carbon, hydrogen, and oxygen (CH₂O ratio) and exist as monosaccharides (e.g., glucose, fructose), disaccharides (e.g., sucrose, maltose), and polysaccharides (e.g., starch, glycogen, cellulose). Their primary roles are energy provision and, in the case of cellulose, structural support in plant cell walls.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diet dominated by ugali and other starchy staples supplies mainly polysaccharide carbohydrates for energy but may lack adequate protein and lipids. This helps begin to explain why the child eating mainly ugali may have energy but still shows differences in muscle development and immune function compared to the child on a varied diet.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Proteins and Lipids: Composition, Properties, and Functions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carried out the biuret test on egg white, bean extract, and maize flour solutions to detect proteins, and the ethanol emulsion test on nyama choma drippings, avocado pulp, and dry maize flour to detect lipids. Results were recorded and compared across food samples.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Proteins are polymers of amino acids containing C, H, O, N, and sometimes S; their amino acid sequence determines their specific function as structural proteins, enzymes, transport molecules, or antibodies. Lipids (fats and oils) are composed of C, H, and O, are non-polar, and serve as concentrated energy stores, membrane components, and hormone precursors. Both macromolecules are essential for growth and regulation.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child eating eggs, beans (protein-rich), and avocado (lipid-rich) receives the amino acid building blocks for muscle, antibody, and enzyme synthesis, as well as lipids for cell membrane construction and hormone production. The child eating mainly ugali lacks sufficient dietary protein and healthy lipids, which accounts for observable differences in growth, immunity, and overall development.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Nucleic Acids: DNA and RNA — The Molecules That Carry Life's Instructions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a simplified DNA extraction demonstration using ripe banana or onion, detergent, salt solution, and cold ethanol, observing white thread-like precipitate as evidence of nucleic acids present in all living cells. They also studied diagrams comparing DNA and RNA structures.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Nucleic acids (DNA and RNA) are polymers of nucleotides, each composed of a pentose sugar, a phosphate group, and a nitrogenous base. DNA carries hereditary information in the sequence of its bases and is found in the nucleus; RNA carries instructions from DNA to ribosomes for protein synthesis. Nucleic acids are present in every cell and are essential for growth, reproduction, and inheritance.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genetic differences between the two children — determining their potential height, muscle fibre composition, and metabolic efficiency — are encoded in DNA. However, DNA can only direct growth and body maintenance if the correct biomolecule building blocks (amino acids from protein, energy from carbohydrates and lipids) are supplied by the diet, further connecting food composition to observed differences.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Enzymes: Nature, Properties, and Factors Affecting Activity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investigated the effect of temperature and pH on the activity of salivary amylase breaking down starch (from ugali paste), testing samples at cold (Nairobi cold tap water ~16 °C), body temperature (~37 °C), and hot water (~70 °C) conditions, and using iodine solution at intervals to track starch disappearance.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Enzymes are specific globular protein catalysts that lower activation energy by binding substrates at a complementary active site (lock-and-key model). Enzyme activity is affected by temperature (optimum ~37 °C in humans; denaturation above ~50 °C), pH (each enzyme has an optimal pH), substrate concentration, and enzyme concentration. Denaturation permanently alters enzyme shape and destroys function.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child with adequate dietary protein can synthesise all necessary enzymes for digestion and metabolism at correct concentrations. A protein-deficient diet impairs enzyme synthesis, slowing digestion and metabolic reactions. This explains why nutrient deficiency affects not only body structure but also the efficiency of every chemical reaction in the body, compounding the differences seen between the two children.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Water, Mineral Salts, Energy Requirements, and Final Explanation of the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analysed nutritional data tables for common Kenyan meals and calculated approximate energy values (kJ) from macronutrient content. They also reviewed case study data showing the effects of iron deficiency (anaemia in Rift Valley farming communities), calcium deficiency (rickets), and iodine deficiency (goitre near Lake Victoria) to observe real-world consequences of mineral salt deficiency.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Water is the universal solvent and transport medium for all metabolic reactions; it participates directly in hydrolysis reactions and temperature regulation. Mineral salts serve precise molecular roles: iron is a component of haemoglobin for oxygen transport, calcium is required for bone mineralisation and muscle contraction, iodine is needed for thyroid hormone synthesis, and phosphorus is a component of ATP, DNA, and cell membranes. Energy requirements vary by age, sex, and activity level, and must be met by an appropriate balance of carbohydrates, lipids, and proteins.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full explanation of the driving question integrates all six lessons: the two children differ in the quality and chemical composition of their diets, not just the quantity. Differences in carbohydrate type, protein sufficiency, lipid availability, nucleic acid precursors, enzyme synthesis capacity, hydration, and mineral salt intake collectively determine growth, immunity, metabolic efficiency, and physical appearance — demonstrating that the chemicals of life, not just calories, determine biological outcomes.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2026-05-31T00:16:58.141Z</dcterms:created>
  <dcterms:modified xsi:type="dcterms:W3CDTF">2026-05-31T00:16:58.141Z</dcterms:modified>
</cp:coreProperties>
</file>

<file path=docProps/custom.xml><?xml version="1.0" encoding="utf-8"?>
<Properties xmlns="http://schemas.openxmlformats.org/officeDocument/2006/custom-properties" xmlns:vt="http://schemas.openxmlformats.org/officeDocument/2006/docPropsVTypes"/>
</file>