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spacing w:before="20" w:after="20"/>
              <w:jc w:val="left"/>
            </w:pPr>
            <w:r>
              <w:rPr>
                <w:rFonts w:ascii="Arial" w:hAnsi="Arial"/>
                <w:b w:val="0"/>
                <w:i w:val="0"/>
                <w:color w:val="000000"/>
                <w:sz w:val="18"/>
              </w:rPr>
              <w:t>For Teachers:</w:t>
              <w:br/>
              <w:t>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CHEMISTRY GRADE 10 -- CHEMICAL BONDING</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Chemical Bonding</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and use evidence from investigations. Track your Driving Question Board (DQB) — note new questions and when questions get answered. Update your models progressively as new evidence changes your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explain the diamond/graphite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Phenomenon Launch and Atomic Stability</w:t>
            </w:r>
          </w:p>
        </w:tc>
        <w:tc>
          <w:tcPr>
            <w:tcW w:type="dxa" w:w="3120"/>
            <w:shd w:val="clear" w:color="auto" w:fill="FFFFFF"/>
            <w:vAlign w:val="top"/>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c>
          <w:tcPr>
            <w:tcW w:type="dxa" w:w="3120"/>
            <w:shd w:val="clear" w:color="auto" w:fill="FFFFFF"/>
            <w:vAlign w:val="top"/>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c>
          <w:tcPr>
            <w:tcW w:type="dxa" w:w="3120"/>
            <w:shd w:val="clear" w:color="auto" w:fill="FFFFFF"/>
            <w:vAlign w:val="top"/>
          </w:tcPr>
          <w:p>
            <w:pPr>
              <w:spacing w:before="20" w:after="20"/>
              <w:jc w:val="left"/>
            </w:pPr>
            <w:r>
              <w:rPr>
                <w:rFonts w:ascii="Arial" w:hAnsi="Arial"/>
                <w:b w:val="0"/>
                <w:i w:val="0"/>
                <w:color w:val="000000"/>
                <w:sz w:val="18"/>
              </w:rPr>
              <w:t>Both are carbon, so the difference must come from how atoms are bonded/arranged, not from different atoms.</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Why are diamond and graphite so different? How do atoms stick together?</w:t>
            </w:r>
          </w:p>
          <w:p>
            <w:pPr>
              <w:spacing w:before="20" w:after="20"/>
              <w:jc w:val="left"/>
            </w:pPr>
            <w:r>
              <w:rPr>
                <w:rFonts w:ascii="Arial" w:hAnsi="Arial"/>
                <w:b/>
                <w:i w:val="0"/>
                <w:color w:val="000000"/>
                <w:sz w:val="18"/>
              </w:rPr>
              <w:t>Initial Model:</w:t>
            </w:r>
          </w:p>
          <w:p>
            <w:pPr>
              <w:spacing w:before="20" w:after="20"/>
              <w:jc w:val="left"/>
            </w:pPr>
            <w:r>
              <w:rPr>
                <w:rFonts w:ascii="Arial" w:hAnsi="Arial"/>
                <w:b w:val="0"/>
                <w:i w:val="0"/>
                <w:color w:val="000000"/>
                <w:sz w:val="18"/>
              </w:rPr>
              <w:t>Carbon atoms connecting — unclear how or why differently.</w:t>
            </w:r>
          </w:p>
        </w:tc>
      </w:tr>
      <w:tr>
        <w:tc>
          <w:tcPr>
            <w:tcW w:type="dxa" w:w="1199"/>
            <w:shd w:val="clear" w:color="auto" w:fill="D5E8F0"/>
            <w:vAlign w:val="top"/>
          </w:tcPr>
          <w:p>
            <w:pPr>
              <w:spacing w:before="40" w:after="40"/>
              <w:jc w:val="left"/>
            </w:pPr>
            <w:r>
              <w:rPr>
                <w:rFonts w:ascii="Arial" w:hAnsi="Arial"/>
                <w:b/>
                <w:i w:val="0"/>
                <w:color w:val="000000"/>
                <w:sz w:val="18"/>
              </w:rPr>
              <w:t>Lesson 2: Ionic Bonding — Electron Transfer</w:t>
            </w:r>
          </w:p>
        </w:tc>
        <w:tc>
          <w:tcPr>
            <w:tcW w:type="dxa" w:w="3120"/>
            <w:shd w:val="clear" w:color="auto" w:fill="F2F2F2"/>
            <w:vAlign w:val="top"/>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c>
          <w:tcPr>
            <w:tcW w:type="dxa" w:w="3120"/>
            <w:shd w:val="clear" w:color="auto" w:fill="F2F2F2"/>
            <w:vAlign w:val="top"/>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c>
          <w:tcPr>
            <w:tcW w:type="dxa" w:w="3120"/>
            <w:shd w:val="clear" w:color="auto" w:fill="F2F2F2"/>
            <w:vAlign w:val="top"/>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'What is an ionic bond?' Added question: Can carbon form ionic bonds?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bonding ruled out for carbon. Carbon must share electrons (covalent).</w:t>
            </w:r>
          </w:p>
        </w:tc>
      </w:tr>
      <w:tr>
        <w:tc>
          <w:tcPr>
            <w:tcW w:type="dxa" w:w="1199"/>
            <w:shd w:val="clear" w:color="auto" w:fill="D5E8F0"/>
            <w:vAlign w:val="top"/>
          </w:tcPr>
          <w:p>
            <w:pPr>
              <w:spacing w:before="40" w:after="40"/>
              <w:jc w:val="left"/>
            </w:pPr>
            <w:r>
              <w:rPr>
                <w:rFonts w:ascii="Arial" w:hAnsi="Arial"/>
                <w:b/>
                <w:i w:val="0"/>
                <w:color w:val="000000"/>
                <w:sz w:val="18"/>
              </w:rPr>
              <w:t>Lesson 3: Ionic Compounds — Properties and Structure</w:t>
            </w:r>
          </w:p>
        </w:tc>
        <w:tc>
          <w:tcPr>
            <w:tcW w:type="dxa" w:w="3120"/>
            <w:shd w:val="clear" w:color="auto" w:fill="FFFFFF"/>
            <w:vAlign w:val="top"/>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c>
          <w:tcPr>
            <w:tcW w:type="dxa" w:w="3120"/>
            <w:shd w:val="clear" w:color="auto" w:fill="FFFFFF"/>
            <w:vAlign w:val="top"/>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c>
          <w:tcPr>
            <w:tcW w:type="dxa" w:w="3120"/>
            <w:shd w:val="clear" w:color="auto" w:fill="FFFFFF"/>
            <w:vAlign w:val="top"/>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structure explain properties?'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lattice structure shown. Carbon model still unclear — needs covalent investigation.</w:t>
            </w:r>
          </w:p>
        </w:tc>
      </w:tr>
      <w:tr>
        <w:tc>
          <w:tcPr>
            <w:tcW w:type="dxa" w:w="1199"/>
            <w:shd w:val="clear" w:color="auto" w:fill="D5E8F0"/>
            <w:vAlign w:val="top"/>
          </w:tcPr>
          <w:p>
            <w:pPr>
              <w:spacing w:before="40" w:after="40"/>
              <w:jc w:val="left"/>
            </w:pPr>
            <w:r>
              <w:rPr>
                <w:rFonts w:ascii="Arial" w:hAnsi="Arial"/>
                <w:b/>
                <w:i w:val="0"/>
                <w:color w:val="000000"/>
                <w:sz w:val="18"/>
              </w:rPr>
              <w:t>Lesson 4: Covalent Bonding — Electron Sharing</w:t>
            </w:r>
          </w:p>
        </w:tc>
        <w:tc>
          <w:tcPr>
            <w:tcW w:type="dxa" w:w="3120"/>
            <w:shd w:val="clear" w:color="auto" w:fill="F2F2F2"/>
            <w:vAlign w:val="top"/>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c>
          <w:tcPr>
            <w:tcW w:type="dxa" w:w="3120"/>
            <w:shd w:val="clear" w:color="auto" w:fill="F2F2F2"/>
            <w:vAlign w:val="top"/>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c>
          <w:tcPr>
            <w:tcW w:type="dxa" w:w="3120"/>
            <w:shd w:val="clear" w:color="auto" w:fill="F2F2F2"/>
            <w:vAlign w:val="top"/>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carbon bond to itself?'</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Carbon atom with 4 bond sites shown. Starting to see how diamond network forms.</w:t>
            </w:r>
          </w:p>
        </w:tc>
      </w:tr>
      <w:tr>
        <w:tc>
          <w:tcPr>
            <w:tcW w:type="dxa" w:w="1199"/>
            <w:shd w:val="clear" w:color="auto" w:fill="D5E8F0"/>
            <w:vAlign w:val="top"/>
          </w:tcPr>
          <w:p>
            <w:pPr>
              <w:spacing w:before="40" w:after="40"/>
              <w:jc w:val="left"/>
            </w:pPr>
            <w:r>
              <w:rPr>
                <w:rFonts w:ascii="Arial" w:hAnsi="Arial"/>
                <w:b/>
                <w:i w:val="0"/>
                <w:color w:val="000000"/>
                <w:sz w:val="18"/>
              </w:rPr>
              <w:t>Lesson 5: Simple Molecular vs Giant Covalent Structures</w:t>
            </w:r>
          </w:p>
        </w:tc>
        <w:tc>
          <w:tcPr>
            <w:tcW w:type="dxa" w:w="3120"/>
            <w:shd w:val="clear" w:color="auto" w:fill="FFFFFF"/>
            <w:vAlign w:val="top"/>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c>
          <w:tcPr>
            <w:tcW w:type="dxa" w:w="3120"/>
            <w:shd w:val="clear" w:color="auto" w:fill="FFFFFF"/>
            <w:vAlign w:val="top"/>
          </w:tcPr>
          <w:p>
            <w:pPr>
              <w:spacing w:before="20" w:after="20"/>
              <w:jc w:val="left"/>
            </w:pPr>
            <w:r>
              <w:rPr>
                <w:rFonts w:ascii="Arial" w:hAnsi="Arial"/>
                <w:b/>
                <w:i w:val="0"/>
                <w:color w:val="000000"/>
                <w:sz w:val="18"/>
              </w:rPr>
              <w:t>Simple molecular:</w:t>
            </w:r>
          </w:p>
          <w:p>
            <w:pPr>
              <w:spacing w:before="20" w:after="20"/>
              <w:jc w:val="left"/>
            </w:pPr>
            <w:r>
              <w:rPr>
                <w:rFonts w:ascii="Arial" w:hAnsi="Arial"/>
                <w:b w:val="0"/>
                <w:i w:val="0"/>
                <w:color w:val="000000"/>
                <w:sz w:val="18"/>
              </w:rPr>
              <w:t>small molecules with strong intramolecular bonds but weak intermolecular forces → low melting points. Giant covalent: atoms bonded in a continuous network → all bonds must break to melt → very high melting points.</w:t>
            </w:r>
          </w:p>
        </w:tc>
        <w:tc>
          <w:tcPr>
            <w:tcW w:type="dxa" w:w="3120"/>
            <w:shd w:val="clear" w:color="auto" w:fill="FFFFFF"/>
            <w:vAlign w:val="top"/>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'Why does diamond have such a high melting point?'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Diamond shown as giant covalent 3D network. Graphite structure still to investigate.</w:t>
            </w:r>
          </w:p>
        </w:tc>
      </w:tr>
      <w:tr>
        <w:tc>
          <w:tcPr>
            <w:tcW w:type="dxa" w:w="1199"/>
            <w:shd w:val="clear" w:color="auto" w:fill="D5E8F0"/>
            <w:vAlign w:val="top"/>
          </w:tcPr>
          <w:p>
            <w:pPr>
              <w:spacing w:before="40" w:after="40"/>
              <w:jc w:val="left"/>
            </w:pPr>
            <w:r>
              <w:rPr>
                <w:rFonts w:ascii="Arial" w:hAnsi="Arial"/>
                <w:b/>
                <w:i w:val="0"/>
                <w:color w:val="000000"/>
                <w:sz w:val="18"/>
              </w:rPr>
              <w:t>Lesson 6: Diamond and Graphite — Structure Explains Properties</w:t>
            </w:r>
          </w:p>
        </w:tc>
        <w:tc>
          <w:tcPr>
            <w:tcW w:type="dxa" w:w="3120"/>
            <w:shd w:val="clear" w:color="auto" w:fill="F2F2F2"/>
            <w:vAlign w:val="top"/>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c>
          <w:tcPr>
            <w:tcW w:type="dxa" w:w="3120"/>
            <w:shd w:val="clear" w:color="auto" w:fill="F2F2F2"/>
            <w:vAlign w:val="top"/>
          </w:tcPr>
          <w:p>
            <w:pPr>
              <w:spacing w:before="20" w:after="20"/>
              <w:jc w:val="left"/>
            </w:pPr>
            <w:r>
              <w:rPr>
                <w:rFonts w:ascii="Arial" w:hAnsi="Arial"/>
                <w:b/>
                <w:i w:val="0"/>
                <w:color w:val="000000"/>
                <w:sz w:val="18"/>
              </w:rPr>
              <w:t>Diamond:</w:t>
            </w:r>
          </w:p>
          <w:p>
            <w:pPr>
              <w:spacing w:before="20" w:after="20"/>
              <w:jc w:val="left"/>
            </w:pPr>
            <w:r>
              <w:rPr>
                <w:rFonts w:ascii="Arial" w:hAnsi="Arial"/>
                <w:b w:val="0"/>
                <w:i w:val="0"/>
                <w:color w:val="000000"/>
                <w:sz w:val="18"/>
              </w:rPr>
              <w:t>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c>
          <w:tcPr>
            <w:tcW w:type="dxa" w:w="3120"/>
            <w:shd w:val="clear" w:color="auto" w:fill="F2F2F2"/>
            <w:vAlign w:val="top"/>
          </w:tcPr>
          <w:p>
            <w:pPr>
              <w:spacing w:before="20" w:after="20"/>
              <w:jc w:val="left"/>
            </w:pPr>
            <w:r>
              <w:rPr>
                <w:rFonts w:ascii="Arial" w:hAnsi="Arial"/>
                <w:b/>
                <w:i w:val="0"/>
                <w:color w:val="000000"/>
                <w:sz w:val="18"/>
              </w:rPr>
              <w:t>The mystery is SOLVED:</w:t>
            </w:r>
          </w:p>
          <w:p>
            <w:pPr>
              <w:spacing w:before="20" w:after="20"/>
              <w:jc w:val="left"/>
            </w:pPr>
            <w:r>
              <w:rPr>
                <w:rFonts w:ascii="Arial" w:hAnsi="Arial"/>
                <w:b w:val="0"/>
                <w:i w:val="0"/>
                <w:color w:val="000000"/>
                <w:sz w:val="18"/>
              </w:rPr>
              <w:t>same element (carbon) but different bonding arrangements → completely different properties. Diamond's 3D bonding makes it the hardest substance. Graphite's layered structure with free electrons makes it soft and conductive.</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central driving question for carbon! Diamond = 3D covalent, Graphite = layered covalent.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Both structures drawn accurately showing bond arrangements and explaining properties.</w:t>
            </w:r>
          </w:p>
        </w:tc>
      </w:tr>
      <w:tr>
        <w:tc>
          <w:tcPr>
            <w:tcW w:type="dxa" w:w="1199"/>
            <w:shd w:val="clear" w:color="auto" w:fill="D5E8F0"/>
            <w:vAlign w:val="top"/>
          </w:tcPr>
          <w:p>
            <w:pPr>
              <w:spacing w:before="40" w:after="40"/>
              <w:jc w:val="left"/>
            </w:pPr>
            <w:r>
              <w:rPr>
                <w:rFonts w:ascii="Arial" w:hAnsi="Arial"/>
                <w:b/>
                <w:i w:val="0"/>
                <w:color w:val="000000"/>
                <w:sz w:val="18"/>
              </w:rPr>
              <w:t>Lesson 7: Dative Covalent Bonding</w:t>
            </w:r>
          </w:p>
        </w:tc>
        <w:tc>
          <w:tcPr>
            <w:tcW w:type="dxa" w:w="3120"/>
            <w:shd w:val="clear" w:color="auto" w:fill="FFFFFF"/>
            <w:vAlign w:val="top"/>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c>
          <w:tcPr>
            <w:tcW w:type="dxa" w:w="3120"/>
            <w:shd w:val="clear" w:color="auto" w:fill="FFFFFF"/>
            <w:vAlign w:val="top"/>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c>
          <w:tcPr>
            <w:tcW w:type="dxa" w:w="3120"/>
            <w:shd w:val="clear" w:color="auto" w:fill="FFFFFF"/>
            <w:vAlign w:val="top"/>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'Are there other types of covalent bonds?' Answered with dative bonding.</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dative bond notation to model toolkit.</w:t>
            </w:r>
          </w:p>
        </w:tc>
      </w:tr>
      <w:tr>
        <w:tc>
          <w:tcPr>
            <w:tcW w:type="dxa" w:w="1199"/>
            <w:shd w:val="clear" w:color="auto" w:fill="D5E8F0"/>
            <w:vAlign w:val="top"/>
          </w:tcPr>
          <w:p>
            <w:pPr>
              <w:spacing w:before="40" w:after="40"/>
              <w:jc w:val="left"/>
            </w:pPr>
            <w:r>
              <w:rPr>
                <w:rFonts w:ascii="Arial" w:hAnsi="Arial"/>
                <w:b/>
                <w:i w:val="0"/>
                <w:color w:val="000000"/>
                <w:sz w:val="18"/>
              </w:rPr>
              <w:t>Lesson 8: Metallic Bonding</w:t>
            </w:r>
          </w:p>
        </w:tc>
        <w:tc>
          <w:tcPr>
            <w:tcW w:type="dxa" w:w="3120"/>
            <w:shd w:val="clear" w:color="auto" w:fill="F2F2F2"/>
            <w:vAlign w:val="top"/>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c>
          <w:tcPr>
            <w:tcW w:type="dxa" w:w="3120"/>
            <w:shd w:val="clear" w:color="auto" w:fill="F2F2F2"/>
            <w:vAlign w:val="top"/>
          </w:tcPr>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valence electrons into a 'sea' of delocalised electrons. Positive ions are held by electrostatic attraction to the electron sea. This explains conductivity (free electrons), malleability (ions slide without breaking bonds), and high melting points.</w:t>
            </w:r>
          </w:p>
        </w:tc>
        <w:tc>
          <w:tcPr>
            <w:tcW w:type="dxa" w:w="3120"/>
            <w:shd w:val="clear" w:color="auto" w:fill="F2F2F2"/>
            <w:vAlign w:val="top"/>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metals conduct electricity?' Answered via electron sea model.</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Metallic bonding diagram added alongside ionic and covalent models.</w:t>
            </w:r>
          </w:p>
        </w:tc>
      </w:tr>
      <w:tr>
        <w:tc>
          <w:tcPr>
            <w:tcW w:type="dxa" w:w="1199"/>
            <w:shd w:val="clear" w:color="auto" w:fill="D5E8F0"/>
            <w:vAlign w:val="top"/>
          </w:tcPr>
          <w:p>
            <w:pPr>
              <w:spacing w:before="40" w:after="40"/>
              <w:jc w:val="left"/>
            </w:pPr>
            <w:r>
              <w:rPr>
                <w:rFonts w:ascii="Arial" w:hAnsi="Arial"/>
                <w:b/>
                <w:i w:val="0"/>
                <w:color w:val="000000"/>
                <w:sz w:val="18"/>
              </w:rPr>
              <w:t>Lesson 9: Hydrogen Bonds and Van der Waals Forces</w:t>
            </w:r>
          </w:p>
        </w:tc>
        <w:tc>
          <w:tcPr>
            <w:tcW w:type="dxa" w:w="3120"/>
            <w:shd w:val="clear" w:color="auto" w:fill="FFFFFF"/>
            <w:vAlign w:val="top"/>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c>
          <w:tcPr>
            <w:tcW w:type="dxa" w:w="3120"/>
            <w:shd w:val="clear" w:color="auto" w:fill="FFFFFF"/>
            <w:vAlign w:val="top"/>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c>
          <w:tcPr>
            <w:tcW w:type="dxa" w:w="3120"/>
            <w:shd w:val="clear" w:color="auto" w:fill="FFFFFF"/>
            <w:vAlign w:val="top"/>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'What forces exist between molecules?' Answered with hydrogen bonds + Van der Waals.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intermolecular forces layer to model — both intramolecular and intermolecular bonds matter.</w:t>
            </w:r>
          </w:p>
        </w:tc>
      </w:tr>
      <w:tr>
        <w:tc>
          <w:tcPr>
            <w:tcW w:type="dxa" w:w="1199"/>
            <w:shd w:val="clear" w:color="auto" w:fill="D5E8F0"/>
            <w:vAlign w:val="top"/>
          </w:tcPr>
          <w:p>
            <w:pPr>
              <w:spacing w:before="40" w:after="40"/>
              <w:jc w:val="left"/>
            </w:pPr>
            <w:r>
              <w:rPr>
                <w:rFonts w:ascii="Arial" w:hAnsi="Arial"/>
                <w:b/>
                <w:i w:val="0"/>
                <w:color w:val="000000"/>
                <w:sz w:val="18"/>
              </w:rPr>
              <w:t>Lesson 10: Comparing Bond Types and Properties</w:t>
            </w:r>
          </w:p>
        </w:tc>
        <w:tc>
          <w:tcPr>
            <w:tcW w:type="dxa" w:w="3120"/>
            <w:shd w:val="clear" w:color="auto" w:fill="F2F2F2"/>
            <w:vAlign w:val="top"/>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c>
          <w:tcPr>
            <w:tcW w:type="dxa" w:w="3120"/>
            <w:shd w:val="clear" w:color="auto" w:fill="F2F2F2"/>
            <w:vAlign w:val="top"/>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c>
          <w:tcPr>
            <w:tcW w:type="dxa" w:w="3120"/>
            <w:shd w:val="clear" w:color="auto" w:fill="F2F2F2"/>
            <w:vAlign w:val="top"/>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Created comprehensive bond-type → property map.</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Final comparison model with all four bond types shown side by side.</w:t>
            </w:r>
          </w:p>
        </w:tc>
      </w:tr>
      <w:tr>
        <w:tc>
          <w:tcPr>
            <w:tcW w:type="dxa" w:w="1199"/>
            <w:shd w:val="clear" w:color="auto" w:fill="D5E8F0"/>
            <w:vAlign w:val="top"/>
          </w:tcPr>
          <w:p>
            <w:pPr>
              <w:spacing w:before="40" w:after="40"/>
              <w:jc w:val="left"/>
            </w:pPr>
            <w:r>
              <w:rPr>
                <w:rFonts w:ascii="Arial" w:hAnsi="Arial"/>
                <w:b/>
                <w:i w:val="0"/>
                <w:color w:val="000000"/>
                <w:sz w:val="18"/>
              </w:rPr>
              <w:t>Lesson 11: Real-Life Applications of Chemical Bonding</w:t>
            </w:r>
          </w:p>
        </w:tc>
        <w:tc>
          <w:tcPr>
            <w:tcW w:type="dxa" w:w="3120"/>
            <w:shd w:val="clear" w:color="auto" w:fill="FFFFFF"/>
            <w:vAlign w:val="top"/>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c>
          <w:tcPr>
            <w:tcW w:type="dxa" w:w="3120"/>
            <w:shd w:val="clear" w:color="auto" w:fill="FFFFFF"/>
            <w:vAlign w:val="top"/>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c>
          <w:tcPr>
            <w:tcW w:type="dxa" w:w="3120"/>
            <w:shd w:val="clear" w:color="auto" w:fill="FFFFFF"/>
            <w:vAlign w:val="top"/>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'How does this help in real life?' with specific Kenya examples.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Real-world applications connected to bond type in final model.</w:t>
            </w:r>
          </w:p>
        </w:tc>
      </w:tr>
      <w:tr>
        <w:tc>
          <w:tcPr>
            <w:tcW w:type="dxa" w:w="1199"/>
            <w:shd w:val="clear" w:color="auto" w:fill="D5E8F0"/>
            <w:vAlign w:val="top"/>
          </w:tcPr>
          <w:p>
            <w:pPr>
              <w:spacing w:before="40" w:after="40"/>
              <w:jc w:val="left"/>
            </w:pPr>
            <w:r>
              <w:rPr>
                <w:rFonts w:ascii="Arial" w:hAnsi="Arial"/>
                <w:b/>
                <w:i w:val="0"/>
                <w:color w:val="000000"/>
                <w:sz w:val="18"/>
              </w:rPr>
              <w:t>Lesson 12: Review and Consolidation</w:t>
            </w:r>
          </w:p>
        </w:tc>
        <w:tc>
          <w:tcPr>
            <w:tcW w:type="dxa" w:w="3120"/>
            <w:shd w:val="clear" w:color="auto" w:fill="F2F2F2"/>
            <w:vAlign w:val="top"/>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c>
          <w:tcPr>
            <w:tcW w:type="dxa" w:w="3120"/>
            <w:shd w:val="clear" w:color="auto" w:fill="F2F2F2"/>
            <w:vAlign w:val="top"/>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c>
          <w:tcPr>
            <w:tcW w:type="dxa" w:w="3120"/>
            <w:shd w:val="clear" w:color="auto" w:fill="F2F2F2"/>
            <w:vAlign w:val="top"/>
          </w:tcPr>
          <w:p>
            <w:pPr>
              <w:spacing w:before="20" w:after="20"/>
              <w:jc w:val="left"/>
            </w:pPr>
            <w:r>
              <w:rPr>
                <w:rFonts w:ascii="Arial" w:hAnsi="Arial"/>
                <w:b/>
                <w:i w:val="0"/>
                <w:color w:val="000000"/>
                <w:sz w:val="18"/>
              </w:rPr>
              <w:t>Full answer to driving question:</w:t>
            </w:r>
          </w:p>
          <w:p>
            <w:pPr>
              <w:spacing w:before="20" w:after="20"/>
              <w:jc w:val="left"/>
            </w:pPr>
            <w:r>
              <w:rPr>
                <w:rFonts w:ascii="Arial" w:hAnsi="Arial"/>
                <w:b w:val="0"/>
                <w:i w:val="0"/>
                <w:color w:val="000000"/>
                <w:sz w:val="18"/>
              </w:rPr>
              <w:t>Carbon's 4 valence electrons allow it to bond 4 ways — in diamond, these form a 3D tetrahedral network (hardest substance); in graphite, they form flat hexagonal layers (soft, lubricating, conductive).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All questions answered. DQB Complete.</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Complete and accurate model showing all bond types with property explanations.</w:t>
            </w:r>
          </w:p>
        </w:tc>
      </w:tr>
      <w:tr>
        <w:tc>
          <w:tcPr>
            <w:tcW w:type="dxa" w:w="1199"/>
            <w:shd w:val="clear" w:color="auto" w:fill="D5E8F0"/>
            <w:vAlign w:val="top"/>
          </w:tcPr>
          <w:p>
            <w:pPr>
              <w:spacing w:before="40" w:after="40"/>
              <w:jc w:val="left"/>
            </w:pPr>
            <w:r>
              <w:rPr>
                <w:rFonts w:ascii="Arial" w:hAnsi="Arial"/>
                <w:b/>
                <w:i w:val="0"/>
                <w:color w:val="000000"/>
                <w:sz w:val="18"/>
              </w:rPr>
              <w:t>Lesson 13: Final Explanation and Model</w:t>
            </w:r>
          </w:p>
        </w:tc>
        <w:tc>
          <w:tcPr>
            <w:tcW w:type="dxa" w:w="3120"/>
            <w:shd w:val="clear" w:color="auto" w:fill="FFFFFF"/>
            <w:vAlign w:val="top"/>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c>
          <w:tcPr>
            <w:tcW w:type="dxa" w:w="3120"/>
            <w:shd w:val="clear" w:color="auto" w:fill="FFFFFF"/>
            <w:vAlign w:val="top"/>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c>
          <w:tcPr>
            <w:tcW w:type="dxa" w:w="3120"/>
            <w:shd w:val="clear" w:color="auto" w:fill="FFFFFF"/>
            <w:vAlign w:val="top"/>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evidence from all lessons.</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Comprehensive model showing how atomic bonding determines substance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all 13 lessons, respond to these questions to synthesize your learning:</w:t>
            </w:r>
          </w:p>
          <w:p>
            <w:pPr>
              <w:spacing w:before="20" w:after="20"/>
              <w:jc w:val="left"/>
            </w:pPr>
            <w:r>
              <w:rPr>
                <w:rFonts w:ascii="Arial" w:hAnsi="Arial"/>
                <w:b/>
                <w:i w:val="0"/>
                <w:color w:val="000000"/>
                <w:sz w:val="18"/>
              </w:rPr>
              <w:t>1. How has your understanding of chemical bonding changed from Lesson 1 to Lesson 13?</w:t>
            </w:r>
          </w:p>
          <w:p>
            <w:pPr>
              <w:spacing w:before="20" w:after="20"/>
              <w:jc w:val="left"/>
            </w:pPr>
            <w:r>
              <w:rPr>
                <w:rFonts w:ascii="Arial" w:hAnsi="Arial"/>
                <w:b w:val="0"/>
                <w:i w:val="0"/>
                <w:color w:val="000000"/>
                <w:sz w:val="18"/>
              </w:rPr>
              <w:t>Reflect on your initial ideas versus your final understanding. What were the biggest shifts in your thinking?</w:t>
            </w:r>
          </w:p>
          <w:p>
            <w:pPr>
              <w:spacing w:before="20" w:after="20"/>
              <w:jc w:val="left"/>
            </w:pPr>
            <w:r>
              <w:rPr>
                <w:rFonts w:ascii="Arial" w:hAnsi="Arial"/>
                <w:b/>
                <w:i w:val="0"/>
                <w:color w:val="000000"/>
                <w:sz w:val="18"/>
              </w:rPr>
              <w:t>2. What evidence was most important in helping you explain the diamond/graphite phenomenon?</w:t>
            </w:r>
          </w:p>
          <w:p>
            <w:pPr>
              <w:spacing w:before="20" w:after="20"/>
              <w:jc w:val="left"/>
            </w:pPr>
            <w:r>
              <w:rPr>
                <w:rFonts w:ascii="Arial" w:hAnsi="Arial"/>
                <w:b w:val="0"/>
                <w:i w:val="0"/>
                <w:color w:val="000000"/>
                <w:sz w:val="18"/>
              </w:rPr>
              <w:t>Identify 2-3 key investigations or pieces of data that were crucial to your understanding.</w:t>
            </w:r>
          </w:p>
          <w:p>
            <w:pPr>
              <w:spacing w:before="20" w:after="20"/>
              <w:jc w:val="left"/>
            </w:pPr>
            <w:r>
              <w:rPr>
                <w:rFonts w:ascii="Arial" w:hAnsi="Arial"/>
                <w:b/>
                <w:i w:val="0"/>
                <w:color w:val="000000"/>
                <w:sz w:val="18"/>
              </w:rPr>
              <w:t>3. How do the bonds between atoms determine the properties and uses of substances?</w:t>
            </w:r>
          </w:p>
          <w:p>
            <w:pPr>
              <w:spacing w:before="20" w:after="20"/>
              <w:jc w:val="left"/>
            </w:pPr>
            <w:r>
              <w:rPr>
                <w:rFonts w:ascii="Arial" w:hAnsi="Arial"/>
                <w:b w:val="0"/>
                <w:i w:val="0"/>
                <w:color w:val="000000"/>
                <w:sz w:val="18"/>
              </w:rPr>
              <w:t>Provide a comprehensive answer to the driving question, using specific examples from the unit.</w:t>
            </w:r>
          </w:p>
          <w:p>
            <w:pPr>
              <w:spacing w:before="20" w:after="20"/>
              <w:jc w:val="left"/>
            </w:pPr>
            <w:r>
              <w:rPr>
                <w:rFonts w:ascii="Arial" w:hAnsi="Arial"/>
                <w:b/>
                <w:i w:val="0"/>
                <w:color w:val="000000"/>
                <w:sz w:val="18"/>
              </w:rPr>
              <w:t>4. What patterns did you notice about how different types of bonding (ionic, covalent, metallic) relate to substance properties?</w:t>
            </w:r>
          </w:p>
          <w:p>
            <w:pPr>
              <w:spacing w:before="20" w:after="20"/>
              <w:jc w:val="left"/>
            </w:pPr>
            <w:r>
              <w:rPr>
                <w:rFonts w:ascii="Arial" w:hAnsi="Arial"/>
                <w:b w:val="0"/>
                <w:i w:val="0"/>
                <w:color w:val="000000"/>
                <w:sz w:val="18"/>
              </w:rPr>
              <w:t>Describe the relationships you discovered between bond type, structure, and observable properties.</w:t>
            </w:r>
          </w:p>
          <w:p>
            <w:pPr>
              <w:spacing w:before="20" w:after="20"/>
              <w:jc w:val="left"/>
            </w:pPr>
            <w:r>
              <w:rPr>
                <w:rFonts w:ascii="Arial" w:hAnsi="Arial"/>
                <w:b/>
                <w:i w:val="0"/>
                <w:color w:val="000000"/>
                <w:sz w:val="18"/>
              </w:rPr>
              <w:t>5. If you had to explain chemical bonding to a Grade 8 student, what would be the three most important ideas you would share?</w:t>
            </w:r>
          </w:p>
          <w:p>
            <w:pPr>
              <w:spacing w:before="20" w:after="20"/>
              <w:jc w:val="left"/>
            </w:pPr>
            <w:r>
              <w:rPr>
                <w:rFonts w:ascii="Arial" w:hAnsi="Arial"/>
                <w:b w:val="0"/>
                <w:i w:val="0"/>
                <w:color w:val="000000"/>
                <w:sz w:val="18"/>
              </w:rPr>
              <w:t>Distill your learning into the core concepts that matter most.</w:t>
            </w:r>
          </w:p>
          <w:p>
            <w:pPr>
              <w:spacing w:before="20" w:after="20"/>
              <w:jc w:val="left"/>
            </w:pPr>
            <w:r>
              <w:rPr>
                <w:rFonts w:ascii="Arial" w:hAnsi="Arial"/>
                <w:b/>
                <w:i w:val="0"/>
                <w:color w:val="000000"/>
                <w:sz w:val="18"/>
              </w:rPr>
              <w:t>6. What new questions do you have about chemical bonding or materials science?</w:t>
            </w:r>
          </w:p>
          <w:p>
            <w:pPr>
              <w:spacing w:before="20" w:after="20"/>
              <w:jc w:val="left"/>
            </w:pPr>
            <w:r>
              <w:rPr>
                <w:rFonts w:ascii="Arial" w:hAnsi="Arial"/>
                <w:b w:val="0"/>
                <w:i w:val="0"/>
                <w:color w:val="000000"/>
                <w:sz w:val="18"/>
              </w:rPr>
              <w:t>What do you want to learn next? What puzzles remain?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Rationale</w:t>
            </w:r>
          </w:p>
          <w:p>
            <w:pPr>
              <w:spacing w:before="20" w:after="20"/>
              <w:jc w:val="left"/>
            </w:pPr>
            <w:r>
              <w:rPr>
                <w:rFonts w:ascii="Arial" w:hAnsi="Arial"/>
                <w:b w:val="0"/>
                <w:i w:val="0"/>
                <w:color w:val="000000"/>
                <w:sz w:val="18"/>
              </w:rPr>
              <w:t>This Summary Table serves as a metacognitive scaffold and formative assessment tool 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spacing w:before="20" w:after="20"/>
              <w:jc w:val="left"/>
            </w:pPr>
            <w:r>
              <w:rPr>
                <w:rFonts w:ascii="Arial" w:hAnsi="Arial"/>
                <w:b/>
                <w:i w:val="0"/>
                <w:color w:val="000000"/>
                <w:sz w:val="18"/>
              </w:rPr>
              <w:t>Formative Assessment Strategies</w:t>
            </w:r>
          </w:p>
          <w:p>
            <w:pPr>
              <w:spacing w:before="20" w:after="20"/>
              <w:jc w:val="left"/>
            </w:pPr>
            <w:r>
              <w:rPr>
                <w:rFonts w:ascii="Arial" w:hAnsi="Arial"/>
                <w:b w:val="0"/>
                <w:i w:val="0"/>
                <w:color w:val="000000"/>
                <w:sz w:val="18"/>
              </w:rPr>
              <w:t>1. Regular Check-ins (Every 2-3 Lessons) - Collect or review tables to identify: - Students who are making connections vs. those providing surface-level responses - Common misconceptions about bonding, electron behavior, or structure-property relationships - Questions on the DQB that signal productive confusion vs. fundamental misunderstandings</w:t>
            </w:r>
          </w:p>
          <w:p>
            <w:pPr>
              <w:spacing w:before="20" w:after="20"/>
              <w:jc w:val="left"/>
            </w:pPr>
            <w:r>
              <w:rPr>
                <w:rFonts w:ascii="Arial" w:hAnsi="Arial"/>
                <w:b w:val="0"/>
                <w:i w:val="0"/>
                <w:color w:val="000000"/>
                <w:sz w:val="18"/>
              </w:rPr>
              <w:t>2. Look-Fors in Student Responses</w:t>
            </w:r>
          </w:p>
          <w:p>
            <w:pPr>
              <w:spacing w:before="20" w:after="20"/>
              <w:jc w:val="left"/>
            </w:pPr>
            <w:r>
              <w:rPr>
                <w:rFonts w:ascii="Arial" w:hAnsi="Arial"/>
                <w:b w:val="0"/>
                <w:i w:val="0"/>
                <w:color w:val="000000"/>
                <w:sz w:val="18"/>
              </w:rPr>
              <w:t>3. Differentiation Opportunities - Struggling learners: Provide sentence frames, word banks, or partially completed rows - Advanced learners: Challenge them to identify limitations in their models or propose alternative explanations - ELL support: Allow drawings, diagrams, or native language notes alongside English text</w:t>
            </w:r>
          </w:p>
          <w:p>
            <w:pPr>
              <w:spacing w:before="20" w:after="20"/>
              <w:jc w:val="left"/>
            </w:pPr>
            <w:r>
              <w:rPr>
                <w:rFonts w:ascii="Arial" w:hAnsi="Arial"/>
                <w:b w:val="0"/>
                <w:i w:val="0"/>
                <w:color w:val="000000"/>
                <w:sz w:val="18"/>
              </w:rPr>
              <w:t>4. Instructional Adjustments Use table data to: - Re-teach concepts if multiple students show the same misconception - Adjust pacing if students aren’t making connections across lessons - Highlight exemplar responses (anonymously) to model strong scientific reasoning - Create small groups based on similar questions or model development needs</w:t>
            </w:r>
          </w:p>
          <w:p>
            <w:pPr>
              <w:spacing w:before="20" w:after="20"/>
              <w:jc w:val="left"/>
            </w:pPr>
            <w:r>
              <w:rPr>
                <w:rFonts w:ascii="Arial" w:hAnsi="Arial"/>
                <w:b w:val="0"/>
                <w:i w:val="0"/>
                <w:color w:val="000000"/>
                <w:sz w:val="18"/>
              </w:rPr>
              <w:t>5. Summative Preparation By Lesson 13, students should have: - A complete evidence trail supporting their final explanation - A documented progression from initial to final model - Answered their own driving questions using unit evidence</w:t>
            </w:r>
          </w:p>
          <w:p>
            <w:pPr>
              <w:spacing w:before="20" w:after="20"/>
              <w:jc w:val="left"/>
            </w:pPr>
            <w:r>
              <w:rPr>
                <w:rFonts w:ascii="Arial" w:hAnsi="Arial"/>
                <w:b w:val="0"/>
                <w:i w:val="0"/>
                <w:color w:val="000000"/>
                <w:sz w:val="18"/>
              </w:rPr>
              <w:t>This table becomes the foundation for final performance tasks, presentations, or written explanations.</w:t>
            </w:r>
          </w:p>
          <w:p>
            <w:pPr>
              <w:spacing w:before="20" w:after="20"/>
              <w:jc w:val="left"/>
            </w:pPr>
            <w:r>
              <w:rPr>
                <w:rFonts w:ascii="Arial" w:hAnsi="Arial"/>
                <w:b/>
                <w:i w:val="0"/>
                <w:color w:val="000000"/>
                <w:sz w:val="18"/>
              </w:rPr>
              <w:t>Grading Considerations</w:t>
            </w:r>
          </w:p>
          <w:p>
            <w:pPr>
              <w:spacing w:before="20" w:after="20"/>
              <w:jc w:val="left"/>
            </w:pPr>
            <w:r>
              <w:rPr>
                <w:rFonts w:ascii="Arial" w:hAnsi="Arial"/>
                <w:b w:val="0"/>
                <w:i w:val="0"/>
                <w:color w:val="000000"/>
                <w:sz w:val="18"/>
              </w:rPr>
              <w:t>This is primarily a formative tool. If grading: - Focus on completion and effort rather than correctness in early lessons - Assess growth and sophistication from Lesson 1 to Lesson 13 - Use reflection questions for deeper evaluation of conceptual understanding - Consider this as part of a portfolio or process grade, not a standalone assessment</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Allow 5-10 minutes at the end of each lesson for table completion</w:t>
            </w:r>
          </w:p>
          <w:p>
            <w:pPr>
              <w:spacing w:before="20" w:after="20"/>
              <w:ind w:left="240"/>
              <w:jc w:val="left"/>
            </w:pPr>
            <w:r>
              <w:rPr>
                <w:rFonts w:ascii="Arial" w:hAnsi="Arial"/>
                <w:b w:val="0"/>
                <w:i w:val="0"/>
                <w:color w:val="000000"/>
                <w:sz w:val="18"/>
              </w:rPr>
              <w:t>• Schedule mid-unit reflection (after Lesson 6-7) for students to review and identify patterns</w:t>
            </w:r>
          </w:p>
          <w:p>
            <w:pPr>
              <w:spacing w:before="20" w:after="20"/>
              <w:ind w:left="240"/>
              <w:jc w:val="left"/>
            </w:pPr>
            <w:r>
              <w:rPr>
                <w:rFonts w:ascii="Arial" w:hAnsi="Arial"/>
                <w:b w:val="0"/>
                <w:i w:val="0"/>
                <w:color w:val="000000"/>
                <w:sz w:val="18"/>
              </w:rPr>
              <w:t>• Dedicate full lesson time (Lesson 13) for final synthesis and reflection questions</w:t>
            </w:r>
          </w:p>
          <w:p>
            <w:pPr>
              <w:spacing w:before="20" w:after="20"/>
              <w:jc w:val="left"/>
            </w:pPr>
            <w:r>
              <w:rPr>
                <w:rFonts w:ascii="Arial" w:hAnsi="Arial"/>
                <w:b w:val="0"/>
                <w:i w:val="0"/>
                <w:color w:val="000000"/>
                <w:sz w:val="18"/>
              </w:rPr>
              <w:t>Document Version: 1.0</w:t>
              <w:br/>
              <w:t>Created: 2026-04-14</w:t>
              <w:br/>
              <w:t>Curriculum Alignment: Grade 10 Chemistry, Sub-Strand 1.4 — Chemical Bonding</w:t>
              <w:br/>
              <w:t>Standards Alignment: NGSS HS-PS1-1, HS-PS1-3, HS-PS2-6</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