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val="0"/>
                <w:i w:val="0"/>
                <w:color w:val="000000"/>
                <w:sz w:val="18"/>
              </w:rPr>
              <w:t>For Students:</w:t>
              <w:br/>
              <w:t>This Summary Table is your learning companion throughout Sub-Strand 1.3. Use it to track your journey as you explore quadratic expressions and equations. After each lesson, reflect on what you investigated, what you learned, and how it connects to solving real problems in your community. By the end of the unit, you’ll see how all the pieces fit together to help you model and solve authentic challenges.</w:t>
            </w:r>
          </w:p>
          <w:p>
            <w:pPr>
              <w:spacing w:before="20" w:after="20"/>
              <w:jc w:val="left"/>
            </w:pPr>
            <w:r>
              <w:rPr>
                <w:rFonts w:ascii="Arial" w:hAnsi="Arial"/>
                <w:b w:val="0"/>
                <w:i w:val="0"/>
                <w:color w:val="000000"/>
                <w:sz w:val="18"/>
              </w:rPr>
              <w:t>For Teachers:</w:t>
              <w:br/>
              <w:t>This tool supports formative assessment and metacognitive development. It helps students make explicit connections between mathematical concepts and the anchoring phenomenon, while providing you with insight into their evolving understanding. Use student entries to identify misconceptions, guide discussions, and differentiate instruction.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MATHEMATICS GRADE 10 -- QUADRATIC EXPRESSIONS AND EQUATIONS</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1.3: Quadratic Expressions and Equations</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How can we use quadratic equations to model, solve, and make sense of real-life problems in our communities?</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harambee group plans to raise Ksh 12,000. Members share the cost equally, but 3 members fail to show up — so the remaining members each pay Ksh 200 more. How many people were originally in the group?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20" w:after="20"/>
              <w:jc w:val="left"/>
            </w:pPr>
            <w:r>
              <w:rPr>
                <w:rFonts w:ascii="Arial" w:hAnsi="Arial"/>
                <w:b w:val="0"/>
                <w:i w:val="0"/>
                <w:color w:val="000000"/>
                <w:sz w:val="18"/>
              </w:rPr>
              <w:t>Complete one row after each lesson. Be specific in your reflections. Column 2: describe the main activity or concept explored. Column 3: summarize key mathematical ideas in your own words. Column 4: explain how this lesson helps understand or solve the harambee problem. Column 5: note progress on your Driving Question Board or mathematical model.</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investigate or work on?</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help solve the harambee problem?</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Introduction to Quadratic Expressions</w:t>
            </w:r>
          </w:p>
        </w:tc>
        <w:tc>
          <w:tcPr>
            <w:tcW w:type="dxa" w:w="3120"/>
            <w:shd w:val="clear" w:color="auto" w:fill="FFFFFF"/>
            <w:vAlign w:val="top"/>
          </w:tcPr>
          <w:p>
            <w:pPr>
              <w:spacing w:before="20" w:after="20"/>
              <w:jc w:val="left"/>
            </w:pPr>
            <w:r>
              <w:rPr>
                <w:rFonts w:ascii="Arial" w:hAnsi="Arial"/>
                <w:b w:val="0"/>
                <w:i w:val="0"/>
                <w:color w:val="000000"/>
                <w:sz w:val="18"/>
              </w:rPr>
              <w:t>Exploring patterns in area models; recognizing expressions with squared terms; sorting algebraic expressions.</w:t>
            </w:r>
          </w:p>
        </w:tc>
        <w:tc>
          <w:tcPr>
            <w:tcW w:type="dxa" w:w="3120"/>
            <w:shd w:val="clear" w:color="auto" w:fill="FFFFFF"/>
            <w:vAlign w:val="top"/>
          </w:tcPr>
          <w:p>
            <w:pPr>
              <w:spacing w:before="20" w:after="20"/>
              <w:jc w:val="left"/>
            </w:pPr>
            <w:r>
              <w:rPr>
                <w:rFonts w:ascii="Arial" w:hAnsi="Arial"/>
                <w:b w:val="0"/>
                <w:i w:val="0"/>
                <w:color w:val="000000"/>
                <w:sz w:val="18"/>
              </w:rPr>
              <w:t>A quadratic expression contains a term with a variable squared (x²) written as ax² + bx + c. Quadratics model situations involving area, growth, and non-linear relationships.</w:t>
            </w:r>
          </w:p>
        </w:tc>
        <w:tc>
          <w:tcPr>
            <w:tcW w:type="dxa" w:w="3120"/>
            <w:shd w:val="clear" w:color="auto" w:fill="FFFFFF"/>
            <w:vAlign w:val="top"/>
          </w:tcPr>
          <w:p>
            <w:pPr>
              <w:spacing w:before="20" w:after="20"/>
              <w:jc w:val="left"/>
            </w:pPr>
            <w:r>
              <w:rPr>
                <w:rFonts w:ascii="Arial" w:hAnsi="Arial"/>
                <w:b w:val="0"/>
                <w:i w:val="0"/>
                <w:color w:val="000000"/>
                <w:sz w:val="18"/>
              </w:rPr>
              <w:t>The harambee problem involves a relationship between contributions and total amount. Recognizing this as a quadratic situation is the first step.</w:t>
            </w:r>
          </w:p>
        </w:tc>
        <w:tc>
          <w:tcPr>
            <w:tcW w:type="dxa" w:w="3120"/>
            <w:shd w:val="clear" w:color="auto" w:fill="EAD1F5"/>
            <w:vAlign w:val="top"/>
          </w:tcPr>
          <w:p>
            <w:pPr>
              <w:spacing w:before="20" w:after="20"/>
              <w:jc w:val="left"/>
            </w:pPr>
            <w:r>
              <w:rPr>
                <w:rFonts w:ascii="Arial" w:hAnsi="Arial"/>
                <w:b/>
                <w:i w:val="0"/>
                <w:color w:val="000000"/>
                <w:sz w:val="18"/>
              </w:rPr>
              <w:t>DQB Started:</w:t>
            </w:r>
          </w:p>
          <w:p>
            <w:pPr>
              <w:spacing w:before="20" w:after="20"/>
              <w:jc w:val="left"/>
            </w:pPr>
            <w:r>
              <w:rPr>
                <w:rFonts w:ascii="Arial" w:hAnsi="Arial"/>
                <w:b w:val="0"/>
                <w:i w:val="0"/>
                <w:color w:val="000000"/>
                <w:sz w:val="18"/>
              </w:rPr>
              <w:t>Posted harambee problem and initial questions.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Identified variables — let x = original number of members.</w:t>
            </w:r>
          </w:p>
        </w:tc>
      </w:tr>
      <w:tr>
        <w:tc>
          <w:tcPr>
            <w:tcW w:type="dxa" w:w="1199"/>
            <w:shd w:val="clear" w:color="auto" w:fill="D5E8F0"/>
            <w:vAlign w:val="top"/>
          </w:tcPr>
          <w:p>
            <w:pPr>
              <w:spacing w:before="40" w:after="40"/>
              <w:jc w:val="left"/>
            </w:pPr>
            <w:r>
              <w:rPr>
                <w:rFonts w:ascii="Arial" w:hAnsi="Arial"/>
                <w:b/>
                <w:i w:val="0"/>
                <w:color w:val="000000"/>
                <w:sz w:val="18"/>
              </w:rPr>
              <w:t>Lesson 2: Expanding Quadratic Expressions</w:t>
            </w:r>
          </w:p>
        </w:tc>
        <w:tc>
          <w:tcPr>
            <w:tcW w:type="dxa" w:w="3120"/>
            <w:shd w:val="clear" w:color="auto" w:fill="F2F2F2"/>
            <w:vAlign w:val="top"/>
          </w:tcPr>
          <w:p>
            <w:pPr>
              <w:spacing w:before="20" w:after="20"/>
              <w:jc w:val="left"/>
            </w:pPr>
            <w:r>
              <w:rPr>
                <w:rFonts w:ascii="Arial" w:hAnsi="Arial"/>
                <w:b w:val="0"/>
                <w:i w:val="0"/>
                <w:color w:val="000000"/>
                <w:sz w:val="18"/>
              </w:rPr>
              <w:t>Practicing the distributive property; expanding products like (x + 3)(x + 5) using area models.</w:t>
            </w:r>
          </w:p>
        </w:tc>
        <w:tc>
          <w:tcPr>
            <w:tcW w:type="dxa" w:w="3120"/>
            <w:shd w:val="clear" w:color="auto" w:fill="F2F2F2"/>
            <w:vAlign w:val="top"/>
          </w:tcPr>
          <w:p>
            <w:pPr>
              <w:spacing w:before="20" w:after="20"/>
              <w:jc w:val="left"/>
            </w:pPr>
            <w:r>
              <w:rPr>
                <w:rFonts w:ascii="Arial" w:hAnsi="Arial"/>
                <w:b w:val="0"/>
                <w:i w:val="0"/>
                <w:color w:val="000000"/>
                <w:sz w:val="18"/>
              </w:rPr>
              <w:t>Expanding means multiplying out brackets to write a quadratic in standard form. Used FOIL and area diagrams.</w:t>
            </w:r>
          </w:p>
        </w:tc>
        <w:tc>
          <w:tcPr>
            <w:tcW w:type="dxa" w:w="3120"/>
            <w:shd w:val="clear" w:color="auto" w:fill="F2F2F2"/>
            <w:vAlign w:val="top"/>
          </w:tcPr>
          <w:p>
            <w:pPr>
              <w:spacing w:before="20" w:after="20"/>
              <w:jc w:val="left"/>
            </w:pPr>
            <w:r>
              <w:rPr>
                <w:rFonts w:ascii="Arial" w:hAnsi="Arial"/>
                <w:b w:val="0"/>
                <w:i w:val="0"/>
                <w:color w:val="000000"/>
                <w:sz w:val="18"/>
              </w:rPr>
              <w:t>If I set up an equation for the harambee problem, I may need to expand brackets to simplify it.</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expand quadratic expressions?'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Practiced expanding expressions to prepare for equation setup.</w:t>
            </w:r>
          </w:p>
        </w:tc>
      </w:tr>
      <w:tr>
        <w:tc>
          <w:tcPr>
            <w:tcW w:type="dxa" w:w="1199"/>
            <w:shd w:val="clear" w:color="auto" w:fill="D5E8F0"/>
            <w:vAlign w:val="top"/>
          </w:tcPr>
          <w:p>
            <w:pPr>
              <w:spacing w:before="40" w:after="40"/>
              <w:jc w:val="left"/>
            </w:pPr>
            <w:r>
              <w:rPr>
                <w:rFonts w:ascii="Arial" w:hAnsi="Arial"/>
                <w:b/>
                <w:i w:val="0"/>
                <w:color w:val="000000"/>
                <w:sz w:val="18"/>
              </w:rPr>
              <w:t>Lesson 3: Factorising Quadratic Expressions</w:t>
            </w:r>
          </w:p>
        </w:tc>
        <w:tc>
          <w:tcPr>
            <w:tcW w:type="dxa" w:w="3120"/>
            <w:shd w:val="clear" w:color="auto" w:fill="FFFFFF"/>
            <w:vAlign w:val="top"/>
          </w:tcPr>
          <w:p>
            <w:pPr>
              <w:spacing w:before="20" w:after="20"/>
              <w:jc w:val="left"/>
            </w:pPr>
            <w:r>
              <w:rPr>
                <w:rFonts w:ascii="Arial" w:hAnsi="Arial"/>
                <w:b w:val="0"/>
                <w:i w:val="0"/>
                <w:color w:val="000000"/>
                <w:sz w:val="18"/>
              </w:rPr>
              <w:t>Breaking down quadratic expressions into products of binomials; finding factor pairs; using the ac method.</w:t>
            </w:r>
          </w:p>
        </w:tc>
        <w:tc>
          <w:tcPr>
            <w:tcW w:type="dxa" w:w="3120"/>
            <w:shd w:val="clear" w:color="auto" w:fill="FFFFFF"/>
            <w:vAlign w:val="top"/>
          </w:tcPr>
          <w:p>
            <w:pPr>
              <w:spacing w:before="20" w:after="20"/>
              <w:jc w:val="left"/>
            </w:pPr>
            <w:r>
              <w:rPr>
                <w:rFonts w:ascii="Arial" w:hAnsi="Arial"/>
                <w:b w:val="0"/>
                <w:i w:val="0"/>
                <w:color w:val="000000"/>
                <w:sz w:val="18"/>
              </w:rPr>
              <w:t>Factorising is the reverse of expanding. Find two numbers that multiply to give ac and add to give b, then rewrite and group. Factorising helps solve equations.</w:t>
            </w:r>
          </w:p>
        </w:tc>
        <w:tc>
          <w:tcPr>
            <w:tcW w:type="dxa" w:w="3120"/>
            <w:shd w:val="clear" w:color="auto" w:fill="FFFFFF"/>
            <w:vAlign w:val="top"/>
          </w:tcPr>
          <w:p>
            <w:pPr>
              <w:spacing w:before="20" w:after="20"/>
              <w:jc w:val="left"/>
            </w:pPr>
            <w:r>
              <w:rPr>
                <w:rFonts w:ascii="Arial" w:hAnsi="Arial"/>
                <w:b w:val="0"/>
                <w:i w:val="0"/>
                <w:color w:val="000000"/>
                <w:sz w:val="18"/>
              </w:rPr>
              <w:t>Once I form a quadratic equation from the harambee problem, factorising will allow me to find the possible values.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factorise quadratics?'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Explored factorising sample equations.</w:t>
            </w:r>
          </w:p>
        </w:tc>
      </w:tr>
      <w:tr>
        <w:tc>
          <w:tcPr>
            <w:tcW w:type="dxa" w:w="1199"/>
            <w:shd w:val="clear" w:color="auto" w:fill="D5E8F0"/>
            <w:vAlign w:val="top"/>
          </w:tcPr>
          <w:p>
            <w:pPr>
              <w:spacing w:before="40" w:after="40"/>
              <w:jc w:val="left"/>
            </w:pPr>
            <w:r>
              <w:rPr>
                <w:rFonts w:ascii="Arial" w:hAnsi="Arial"/>
                <w:b/>
                <w:i w:val="0"/>
                <w:color w:val="000000"/>
                <w:sz w:val="18"/>
              </w:rPr>
              <w:t>Lesson 4: Solving Quadratic Equations by Factorising</w:t>
            </w:r>
          </w:p>
        </w:tc>
        <w:tc>
          <w:tcPr>
            <w:tcW w:type="dxa" w:w="3120"/>
            <w:shd w:val="clear" w:color="auto" w:fill="F2F2F2"/>
            <w:vAlign w:val="top"/>
          </w:tcPr>
          <w:p>
            <w:pPr>
              <w:spacing w:before="20" w:after="20"/>
              <w:jc w:val="left"/>
            </w:pPr>
            <w:r>
              <w:rPr>
                <w:rFonts w:ascii="Arial" w:hAnsi="Arial"/>
                <w:b w:val="0"/>
                <w:i w:val="0"/>
                <w:color w:val="000000"/>
                <w:sz w:val="18"/>
              </w:rPr>
              <w:t>Setting equations equal to zero; factorising; applying the zero-product property.</w:t>
            </w:r>
          </w:p>
        </w:tc>
        <w:tc>
          <w:tcPr>
            <w:tcW w:type="dxa" w:w="3120"/>
            <w:shd w:val="clear" w:color="auto" w:fill="F2F2F2"/>
            <w:vAlign w:val="top"/>
          </w:tcPr>
          <w:p>
            <w:pPr>
              <w:spacing w:before="20" w:after="20"/>
              <w:jc w:val="left"/>
            </w:pPr>
            <w:r>
              <w:rPr>
                <w:rFonts w:ascii="Arial" w:hAnsi="Arial"/>
                <w:b/>
                <w:i w:val="0"/>
                <w:color w:val="000000"/>
                <w:sz w:val="18"/>
              </w:rPr>
              <w:t>To solve:</w:t>
            </w:r>
          </w:p>
          <w:p>
            <w:pPr>
              <w:spacing w:before="20" w:after="20"/>
              <w:jc w:val="left"/>
            </w:pPr>
            <w:r>
              <w:rPr>
                <w:rFonts w:ascii="Arial" w:hAnsi="Arial"/>
                <w:b w:val="0"/>
                <w:i w:val="0"/>
                <w:color w:val="000000"/>
                <w:sz w:val="18"/>
              </w:rPr>
              <w:t>(1) rearrange to standard form, (2) factorise, (3) set each factor to zero, (4) solve for the variable. Must check solutions in context.</w:t>
            </w:r>
          </w:p>
        </w:tc>
        <w:tc>
          <w:tcPr>
            <w:tcW w:type="dxa" w:w="3120"/>
            <w:shd w:val="clear" w:color="auto" w:fill="F2F2F2"/>
            <w:vAlign w:val="top"/>
          </w:tcPr>
          <w:p>
            <w:pPr>
              <w:spacing w:before="20" w:after="20"/>
              <w:jc w:val="left"/>
            </w:pPr>
            <w:r>
              <w:rPr>
                <w:rFonts w:ascii="Arial" w:hAnsi="Arial"/>
                <w:b w:val="0"/>
                <w:i w:val="0"/>
                <w:color w:val="000000"/>
                <w:sz w:val="18"/>
              </w:rPr>
              <w:t>This is the key method I'll use to solve the harambee equation.</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solve quadratic equations?'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Practiced solving and checking for extraneous solutions.</w:t>
            </w:r>
          </w:p>
        </w:tc>
      </w:tr>
      <w:tr>
        <w:tc>
          <w:tcPr>
            <w:tcW w:type="dxa" w:w="1199"/>
            <w:shd w:val="clear" w:color="auto" w:fill="D5E8F0"/>
            <w:vAlign w:val="top"/>
          </w:tcPr>
          <w:p>
            <w:pPr>
              <w:spacing w:before="40" w:after="40"/>
              <w:jc w:val="left"/>
            </w:pPr>
            <w:r>
              <w:rPr>
                <w:rFonts w:ascii="Arial" w:hAnsi="Arial"/>
                <w:b/>
                <w:i w:val="0"/>
                <w:color w:val="000000"/>
                <w:sz w:val="18"/>
              </w:rPr>
              <w:t>Lesson 5: Formation of Quadratic Equations from Real-World Contexts</w:t>
            </w:r>
          </w:p>
        </w:tc>
        <w:tc>
          <w:tcPr>
            <w:tcW w:type="dxa" w:w="3120"/>
            <w:shd w:val="clear" w:color="auto" w:fill="FFFFFF"/>
            <w:vAlign w:val="top"/>
          </w:tcPr>
          <w:p>
            <w:pPr>
              <w:spacing w:before="20" w:after="20"/>
              <w:jc w:val="left"/>
            </w:pPr>
            <w:r>
              <w:rPr>
                <w:rFonts w:ascii="Arial" w:hAnsi="Arial"/>
                <w:b w:val="0"/>
                <w:i w:val="0"/>
                <w:color w:val="000000"/>
                <w:sz w:val="18"/>
              </w:rPr>
              <w:t>Translating word problems into algebraic equations; defining variables; writing equations from context.</w:t>
            </w:r>
          </w:p>
        </w:tc>
        <w:tc>
          <w:tcPr>
            <w:tcW w:type="dxa" w:w="3120"/>
            <w:shd w:val="clear" w:color="auto" w:fill="FFFFFF"/>
            <w:vAlign w:val="top"/>
          </w:tcPr>
          <w:p>
            <w:pPr>
              <w:spacing w:before="20" w:after="20"/>
              <w:jc w:val="left"/>
            </w:pPr>
            <w:r>
              <w:rPr>
                <w:rFonts w:ascii="Arial" w:hAnsi="Arial"/>
                <w:b/>
                <w:i w:val="0"/>
                <w:color w:val="000000"/>
                <w:sz w:val="18"/>
              </w:rPr>
              <w:t>Forming equations requires:</w:t>
            </w:r>
          </w:p>
          <w:p>
            <w:pPr>
              <w:spacing w:before="20" w:after="20"/>
              <w:jc w:val="left"/>
            </w:pPr>
            <w:r>
              <w:rPr>
                <w:rFonts w:ascii="Arial" w:hAnsi="Arial"/>
                <w:b w:val="0"/>
                <w:i w:val="0"/>
                <w:color w:val="000000"/>
                <w:sz w:val="18"/>
              </w:rPr>
              <w:t>(1) define a variable, (2) express other quantities in terms of it, (3) use relationships to write an equation, (4) simplify to standard form.</w:t>
            </w:r>
          </w:p>
        </w:tc>
        <w:tc>
          <w:tcPr>
            <w:tcW w:type="dxa" w:w="3120"/>
            <w:shd w:val="clear" w:color="auto" w:fill="FFFFFF"/>
            <w:vAlign w:val="top"/>
          </w:tcPr>
          <w:p>
            <w:pPr>
              <w:spacing w:before="20" w:after="20"/>
              <w:jc w:val="left"/>
            </w:pPr>
            <w:r>
              <w:rPr>
                <w:rFonts w:ascii="Arial" w:hAnsi="Arial"/>
                <w:b w:val="0"/>
                <w:i w:val="0"/>
                <w:color w:val="000000"/>
                <w:sz w:val="18"/>
              </w:rPr>
              <w:t>This lesson directly addresses the harambee problem. Equation: 12000/(x−3) − 12000/x = 200.</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translate real-world problems into equations?'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Let x = original members. Set up the harambee equation.</w:t>
            </w:r>
          </w:p>
        </w:tc>
      </w:tr>
      <w:tr>
        <w:tc>
          <w:tcPr>
            <w:tcW w:type="dxa" w:w="1199"/>
            <w:shd w:val="clear" w:color="auto" w:fill="D5E8F0"/>
            <w:vAlign w:val="top"/>
          </w:tcPr>
          <w:p>
            <w:pPr>
              <w:spacing w:before="40" w:after="40"/>
              <w:jc w:val="left"/>
            </w:pPr>
            <w:r>
              <w:rPr>
                <w:rFonts w:ascii="Arial" w:hAnsi="Arial"/>
                <w:b/>
                <w:i w:val="0"/>
                <w:color w:val="000000"/>
                <w:sz w:val="18"/>
              </w:rPr>
              <w:t>Lesson 6: Solving and Interpreting Quadratic Equations in Context</w:t>
            </w:r>
          </w:p>
        </w:tc>
        <w:tc>
          <w:tcPr>
            <w:tcW w:type="dxa" w:w="3120"/>
            <w:shd w:val="clear" w:color="auto" w:fill="F2F2F2"/>
            <w:vAlign w:val="top"/>
          </w:tcPr>
          <w:p>
            <w:pPr>
              <w:spacing w:before="20" w:after="20"/>
              <w:jc w:val="left"/>
            </w:pPr>
            <w:r>
              <w:rPr>
                <w:rFonts w:ascii="Arial" w:hAnsi="Arial"/>
                <w:b w:val="0"/>
                <w:i w:val="0"/>
                <w:color w:val="000000"/>
                <w:sz w:val="18"/>
              </w:rPr>
              <w:t>Solving equations formed in Lesson 5; interpreting solutions; rejecting non-viable answers.</w:t>
            </w:r>
          </w:p>
        </w:tc>
        <w:tc>
          <w:tcPr>
            <w:tcW w:type="dxa" w:w="3120"/>
            <w:shd w:val="clear" w:color="auto" w:fill="F2F2F2"/>
            <w:vAlign w:val="top"/>
          </w:tcPr>
          <w:p>
            <w:pPr>
              <w:spacing w:before="20" w:after="20"/>
              <w:jc w:val="left"/>
            </w:pPr>
            <w:r>
              <w:rPr>
                <w:rFonts w:ascii="Arial" w:hAnsi="Arial"/>
                <w:b w:val="0"/>
                <w:i w:val="0"/>
                <w:color w:val="000000"/>
                <w:sz w:val="18"/>
              </w:rPr>
              <w:t>Not all mathematical solutions make sense in real life. Must check against context and reject impossible values (negative people, fractional members).</w:t>
            </w:r>
          </w:p>
        </w:tc>
        <w:tc>
          <w:tcPr>
            <w:tcW w:type="dxa" w:w="3120"/>
            <w:shd w:val="clear" w:color="auto" w:fill="F2F2F2"/>
            <w:vAlign w:val="top"/>
          </w:tcPr>
          <w:p>
            <w:pPr>
              <w:spacing w:before="20" w:after="20"/>
              <w:jc w:val="left"/>
            </w:pPr>
            <w:r>
              <w:rPr>
                <w:rFonts w:ascii="Arial" w:hAnsi="Arial"/>
                <w:b w:val="0"/>
                <w:i w:val="0"/>
                <w:color w:val="000000"/>
                <w:sz w:val="18"/>
              </w:rPr>
              <w:t>After solving the harambee equation, found x = 15 or x = −12. Rejected x = −12.</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interpret and validate solutions?'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Solved harambee equation — original number = 15 members.</w:t>
            </w:r>
          </w:p>
        </w:tc>
      </w:tr>
      <w:tr>
        <w:tc>
          <w:tcPr>
            <w:tcW w:type="dxa" w:w="1199"/>
            <w:shd w:val="clear" w:color="auto" w:fill="D5E8F0"/>
            <w:vAlign w:val="top"/>
          </w:tcPr>
          <w:p>
            <w:pPr>
              <w:spacing w:before="40" w:after="40"/>
              <w:jc w:val="left"/>
            </w:pPr>
            <w:r>
              <w:rPr>
                <w:rFonts w:ascii="Arial" w:hAnsi="Arial"/>
                <w:b/>
                <w:i w:val="0"/>
                <w:color w:val="000000"/>
                <w:sz w:val="18"/>
              </w:rPr>
              <w:t>Lesson 7: Reflection and Application</w:t>
            </w:r>
          </w:p>
        </w:tc>
        <w:tc>
          <w:tcPr>
            <w:tcW w:type="dxa" w:w="3120"/>
            <w:shd w:val="clear" w:color="auto" w:fill="FFFFFF"/>
            <w:vAlign w:val="top"/>
          </w:tcPr>
          <w:p>
            <w:pPr>
              <w:spacing w:before="20" w:after="20"/>
              <w:jc w:val="left"/>
            </w:pPr>
            <w:r>
              <w:rPr>
                <w:rFonts w:ascii="Arial" w:hAnsi="Arial"/>
                <w:b w:val="0"/>
                <w:i w:val="0"/>
                <w:color w:val="000000"/>
                <w:sz w:val="18"/>
              </w:rPr>
              <w:t>Reviewing entire process from problem to solution; presenting the harambee solution; exploring extensions and new applications.</w:t>
            </w:r>
          </w:p>
        </w:tc>
        <w:tc>
          <w:tcPr>
            <w:tcW w:type="dxa" w:w="3120"/>
            <w:shd w:val="clear" w:color="auto" w:fill="FFFFFF"/>
            <w:vAlign w:val="top"/>
          </w:tcPr>
          <w:p>
            <w:pPr>
              <w:spacing w:before="20" w:after="20"/>
              <w:jc w:val="left"/>
            </w:pPr>
            <w:r>
              <w:rPr>
                <w:rFonts w:ascii="Arial" w:hAnsi="Arial"/>
                <w:b w:val="0"/>
                <w:i w:val="0"/>
                <w:color w:val="000000"/>
                <w:sz w:val="18"/>
              </w:rPr>
              <w:t>Quadratic equations are powerful tools for modelling real-world situations. The process — define, model, solve, interpret — applies across many contexts.</w:t>
            </w:r>
          </w:p>
        </w:tc>
        <w:tc>
          <w:tcPr>
            <w:tcW w:type="dxa" w:w="3120"/>
            <w:shd w:val="clear" w:color="auto" w:fill="FFFFFF"/>
            <w:vAlign w:val="top"/>
          </w:tcPr>
          <w:p>
            <w:pPr>
              <w:spacing w:before="20" w:after="20"/>
              <w:jc w:val="left"/>
            </w:pPr>
            <w:r>
              <w:rPr>
                <w:rFonts w:ascii="Arial" w:hAnsi="Arial"/>
                <w:b/>
                <w:i w:val="0"/>
                <w:color w:val="000000"/>
                <w:sz w:val="18"/>
              </w:rPr>
              <w:t>Solved the harambee problem:</w:t>
            </w:r>
          </w:p>
          <w:p>
            <w:pPr>
              <w:spacing w:before="20" w:after="20"/>
              <w:jc w:val="left"/>
            </w:pPr>
            <w:r>
              <w:rPr>
                <w:rFonts w:ascii="Arial" w:hAnsi="Arial"/>
                <w:b w:val="0"/>
                <w:i w:val="0"/>
                <w:color w:val="000000"/>
                <w:sz w:val="18"/>
              </w:rPr>
              <w:t>15 original members, each paying Ksh 800. After 3 left, 12 members each paid Ksh 1,000. Difference = 200. ✓</w:t>
            </w:r>
          </w:p>
        </w:tc>
        <w:tc>
          <w:tcPr>
            <w:tcW w:type="dxa" w:w="3120"/>
            <w:shd w:val="clear" w:color="auto" w:fill="EAD1F5"/>
            <w:vAlign w:val="top"/>
          </w:tcPr>
          <w:p>
            <w:pPr>
              <w:spacing w:before="20" w:after="20"/>
              <w:jc w:val="left"/>
            </w:pPr>
            <w:r>
              <w:rPr>
                <w:rFonts w:ascii="Arial" w:hAnsi="Arial"/>
                <w:b/>
                <w:i w:val="0"/>
                <w:color w:val="000000"/>
                <w:sz w:val="18"/>
              </w:rPr>
              <w:t>DQB Completed:</w:t>
            </w:r>
          </w:p>
          <w:p>
            <w:pPr>
              <w:spacing w:before="20" w:after="20"/>
              <w:jc w:val="left"/>
            </w:pPr>
            <w:r>
              <w:rPr>
                <w:rFonts w:ascii="Arial" w:hAnsi="Arial"/>
                <w:b w:val="0"/>
                <w:i w:val="0"/>
                <w:color w:val="000000"/>
                <w:sz w:val="18"/>
              </w:rPr>
              <w:t>Answered driving question with full solution.</w:t>
            </w:r>
          </w:p>
          <w:p>
            <w:pPr>
              <w:spacing w:before="20" w:after="20"/>
              <w:jc w:val="left"/>
            </w:pPr>
            <w:r>
              <w:rPr>
                <w:rFonts w:ascii="Arial" w:hAnsi="Arial"/>
                <w:b/>
                <w:i w:val="0"/>
                <w:color w:val="000000"/>
                <w:sz w:val="18"/>
              </w:rPr>
              <w:t>Final Model:</w:t>
            </w:r>
          </w:p>
          <w:p>
            <w:pPr>
              <w:spacing w:before="20" w:after="20"/>
              <w:jc w:val="left"/>
            </w:pPr>
            <w:r>
              <w:rPr>
                <w:rFonts w:ascii="Arial" w:hAnsi="Arial"/>
                <w:b w:val="0"/>
                <w:i w:val="0"/>
                <w:color w:val="000000"/>
                <w:sz w:val="18"/>
              </w:rPr>
              <w:t>Verified 12,000/15 = 800, 12,000/12 = 1,000, difference = 200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At the end of Sub-Strand 1.3, reflect on your learning journey by answering these questions:</w:t>
            </w:r>
          </w:p>
          <w:p>
            <w:pPr>
              <w:spacing w:before="20" w:after="20"/>
              <w:jc w:val="left"/>
            </w:pPr>
            <w:r>
              <w:rPr>
                <w:rFonts w:ascii="Arial" w:hAnsi="Arial"/>
                <w:b w:val="0"/>
                <w:i w:val="0"/>
                <w:color w:val="000000"/>
                <w:sz w:val="18"/>
              </w:rPr>
              <w:t>Conceptual Understanding:</w:t>
              <w:br/>
              <w:t>How has your understanding of quadratic expressions and equations evolved from Lesson 1 to Lesson 7? What was the most challenging concept, and how did you overcome that challenge?</w:t>
            </w:r>
          </w:p>
          <w:p>
            <w:pPr>
              <w:spacing w:before="20" w:after="20"/>
              <w:jc w:val="left"/>
            </w:pPr>
            <w:r>
              <w:rPr>
                <w:rFonts w:ascii="Arial" w:hAnsi="Arial"/>
                <w:b w:val="0"/>
                <w:i w:val="0"/>
                <w:color w:val="000000"/>
                <w:sz w:val="18"/>
              </w:rPr>
              <w:t>Problem-Solving Process:</w:t>
              <w:br/>
              <w:t>Describe the steps you followed to solve the harambee problem. Which step was most difficult, and why?</w:t>
            </w:r>
          </w:p>
          <w:p>
            <w:pPr>
              <w:spacing w:before="20" w:after="20"/>
              <w:jc w:val="left"/>
            </w:pPr>
            <w:r>
              <w:rPr>
                <w:rFonts w:ascii="Arial" w:hAnsi="Arial"/>
                <w:b w:val="0"/>
                <w:i w:val="0"/>
                <w:color w:val="000000"/>
                <w:sz w:val="18"/>
              </w:rPr>
              <w:t>Real-World Connections:</w:t>
              <w:br/>
              <w:t>Why are quadratic equations useful for modeling real-life situations? Can you think of another problem in your community or daily life that might involve a quadratic equation?</w:t>
            </w:r>
          </w:p>
          <w:p>
            <w:pPr>
              <w:spacing w:before="20" w:after="20"/>
              <w:jc w:val="left"/>
            </w:pPr>
            <w:r>
              <w:rPr>
                <w:rFonts w:ascii="Arial" w:hAnsi="Arial"/>
                <w:b w:val="0"/>
                <w:i w:val="0"/>
                <w:color w:val="000000"/>
                <w:sz w:val="18"/>
              </w:rPr>
              <w:t>Mathematical Practices:</w:t>
              <w:br/>
              <w:t>How did using the Summary Table help you connect ideas across lessons? Did it change the way you think about learning mathematics?</w:t>
            </w:r>
          </w:p>
          <w:p>
            <w:pPr>
              <w:spacing w:before="20" w:after="20"/>
              <w:jc w:val="left"/>
            </w:pPr>
            <w:r>
              <w:rPr>
                <w:rFonts w:ascii="Arial" w:hAnsi="Arial"/>
                <w:b w:val="0"/>
                <w:i w:val="0"/>
                <w:color w:val="000000"/>
                <w:sz w:val="18"/>
              </w:rPr>
              <w:t>Collaboration and Communication:</w:t>
              <w:br/>
              <w:t>How did discussing your thinking with classmates help you understand quadratics better? What did you learn from others’ approaches?</w:t>
            </w:r>
          </w:p>
          <w:p>
            <w:pPr>
              <w:spacing w:before="20" w:after="20"/>
              <w:jc w:val="left"/>
            </w:pPr>
            <w:r>
              <w:rPr>
                <w:rFonts w:ascii="Arial" w:hAnsi="Arial"/>
                <w:b w:val="0"/>
                <w:i w:val="0"/>
                <w:color w:val="000000"/>
                <w:sz w:val="18"/>
              </w:rPr>
              <w:t>Looking Ahead:</w:t>
              <w:br/>
              <w:t>What questions do you still have about quadratic equations? How might you use what you’ve learned in future mathematics topics or other subjects?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Summary Table serves as a formative assessment tool that makes student thinking visible and supports metacognition. It helps students build coherence across lessons and see mathematics as a sense-making activity anchored in authentic contexts.</w:t>
            </w:r>
          </w:p>
          <w:p>
            <w:pPr>
              <w:spacing w:before="20" w:after="20"/>
              <w:jc w:val="left"/>
            </w:pPr>
            <w:r>
              <w:rPr>
                <w:rFonts w:ascii="Arial" w:hAnsi="Arial"/>
                <w:b/>
                <w:i w:val="0"/>
                <w:color w:val="000000"/>
                <w:sz w:val="18"/>
              </w:rPr>
              <w:t>Formative Assessment Strategies</w:t>
            </w:r>
          </w:p>
          <w:p>
            <w:pPr>
              <w:spacing w:before="20" w:after="20"/>
              <w:ind w:left="240"/>
              <w:jc w:val="left"/>
            </w:pPr>
            <w:r>
              <w:rPr>
                <w:rFonts w:ascii="Arial" w:hAnsi="Arial"/>
                <w:b w:val="0"/>
                <w:i w:val="0"/>
                <w:color w:val="000000"/>
                <w:sz w:val="18"/>
              </w:rPr>
              <w:t>• Regular Review:</w:t>
              <w:br/>
              <w:t>Collect or review Summary Tables every 2–3 lessons. Look for:</w:t>
            </w:r>
          </w:p>
          <w:p>
            <w:pPr>
              <w:spacing w:before="20" w:after="20"/>
              <w:ind w:left="240"/>
              <w:jc w:val="left"/>
            </w:pPr>
            <w:r>
              <w:rPr>
                <w:rFonts w:ascii="Arial" w:hAnsi="Arial"/>
                <w:b w:val="0"/>
                <w:i w:val="0"/>
                <w:color w:val="000000"/>
                <w:sz w:val="18"/>
              </w:rPr>
              <w:t>• Depth and specificity of reflections</w:t>
            </w:r>
          </w:p>
          <w:p>
            <w:pPr>
              <w:spacing w:before="20" w:after="20"/>
              <w:ind w:left="240"/>
              <w:jc w:val="left"/>
            </w:pPr>
            <w:r>
              <w:rPr>
                <w:rFonts w:ascii="Arial" w:hAnsi="Arial"/>
                <w:b w:val="0"/>
                <w:i w:val="0"/>
                <w:color w:val="000000"/>
                <w:sz w:val="18"/>
              </w:rPr>
              <w:t>• Accurate use of mathematical vocabulary</w:t>
            </w:r>
          </w:p>
          <w:p>
            <w:pPr>
              <w:spacing w:before="20" w:after="20"/>
              <w:ind w:left="240"/>
              <w:jc w:val="left"/>
            </w:pPr>
            <w:r>
              <w:rPr>
                <w:rFonts w:ascii="Arial" w:hAnsi="Arial"/>
                <w:b w:val="0"/>
                <w:i w:val="0"/>
                <w:color w:val="000000"/>
                <w:sz w:val="18"/>
              </w:rPr>
              <w:t>• Evidence of connections between lessons and the anchoring phenomenon</w:t>
            </w:r>
          </w:p>
          <w:p>
            <w:pPr>
              <w:spacing w:before="20" w:after="20"/>
              <w:ind w:left="240"/>
              <w:jc w:val="left"/>
            </w:pPr>
            <w:r>
              <w:rPr>
                <w:rFonts w:ascii="Arial" w:hAnsi="Arial"/>
                <w:b w:val="0"/>
                <w:i w:val="0"/>
                <w:color w:val="000000"/>
                <w:sz w:val="18"/>
              </w:rPr>
              <w:t>• Misconceptions or gaps in understanding</w:t>
            </w:r>
          </w:p>
          <w:p>
            <w:pPr>
              <w:spacing w:before="20" w:after="20"/>
              <w:ind w:left="240"/>
              <w:jc w:val="left"/>
            </w:pPr>
            <w:r>
              <w:rPr>
                <w:rFonts w:ascii="Arial" w:hAnsi="Arial"/>
                <w:b w:val="0"/>
                <w:i w:val="0"/>
                <w:color w:val="000000"/>
                <w:sz w:val="18"/>
              </w:rPr>
              <w:t>• Feedback:</w:t>
              <w:br/>
              <w:t>Provide targeted, growth-oriented feedback:</w:t>
            </w:r>
          </w:p>
          <w:p>
            <w:pPr>
              <w:spacing w:before="20" w:after="20"/>
              <w:ind w:left="240"/>
              <w:jc w:val="left"/>
            </w:pPr>
            <w:r>
              <w:rPr>
                <w:rFonts w:ascii="Arial" w:hAnsi="Arial"/>
                <w:b w:val="0"/>
                <w:i w:val="0"/>
                <w:color w:val="000000"/>
                <w:sz w:val="18"/>
              </w:rPr>
              <w:t>• Highlight strong connections and clear explanations</w:t>
            </w:r>
          </w:p>
          <w:p>
            <w:pPr>
              <w:spacing w:before="20" w:after="20"/>
              <w:ind w:left="240"/>
              <w:jc w:val="left"/>
            </w:pPr>
            <w:r>
              <w:rPr>
                <w:rFonts w:ascii="Arial" w:hAnsi="Arial"/>
                <w:b w:val="0"/>
                <w:i w:val="0"/>
                <w:color w:val="000000"/>
                <w:sz w:val="18"/>
              </w:rPr>
              <w:t>• Ask probing questions to deepen thinking (e.g., “Can you explain why factorizing helps solve the equation?”)</w:t>
            </w:r>
          </w:p>
          <w:p>
            <w:pPr>
              <w:spacing w:before="20" w:after="20"/>
              <w:ind w:left="240"/>
              <w:jc w:val="left"/>
            </w:pPr>
            <w:r>
              <w:rPr>
                <w:rFonts w:ascii="Arial" w:hAnsi="Arial"/>
                <w:b w:val="0"/>
                <w:i w:val="0"/>
                <w:color w:val="000000"/>
                <w:sz w:val="18"/>
              </w:rPr>
              <w:t>• Suggest revisions for unclear or incomplete entries</w:t>
            </w:r>
          </w:p>
          <w:p>
            <w:pPr>
              <w:spacing w:before="20" w:after="20"/>
              <w:ind w:left="240"/>
              <w:jc w:val="left"/>
            </w:pPr>
            <w:r>
              <w:rPr>
                <w:rFonts w:ascii="Arial" w:hAnsi="Arial"/>
                <w:b w:val="0"/>
                <w:i w:val="0"/>
                <w:color w:val="000000"/>
                <w:sz w:val="18"/>
              </w:rPr>
              <w:t>• Differentiation:</w:t>
              <w:br/>
              <w:t>Use Summary Table entries to differentiate instruction:</w:t>
            </w:r>
          </w:p>
          <w:p>
            <w:pPr>
              <w:spacing w:before="20" w:after="20"/>
              <w:ind w:left="240"/>
              <w:jc w:val="left"/>
            </w:pPr>
            <w:r>
              <w:rPr>
                <w:rFonts w:ascii="Arial" w:hAnsi="Arial"/>
                <w:b w:val="0"/>
                <w:i w:val="0"/>
                <w:color w:val="000000"/>
                <w:sz w:val="18"/>
              </w:rPr>
              <w:t>• Struggling students: Provide sentence stems, worked examples, or peer buddies</w:t>
            </w:r>
          </w:p>
          <w:p>
            <w:pPr>
              <w:spacing w:before="20" w:after="20"/>
              <w:ind w:left="240"/>
              <w:jc w:val="left"/>
            </w:pPr>
            <w:r>
              <w:rPr>
                <w:rFonts w:ascii="Arial" w:hAnsi="Arial"/>
                <w:b w:val="0"/>
                <w:i w:val="0"/>
                <w:color w:val="000000"/>
                <w:sz w:val="18"/>
              </w:rPr>
              <w:t>• Advanced students: Challenge them to explore extensions (e.g., solving by completing the square, graphing solutions)</w:t>
            </w:r>
          </w:p>
          <w:p>
            <w:pPr>
              <w:spacing w:before="20" w:after="20"/>
              <w:ind w:left="240"/>
              <w:jc w:val="left"/>
            </w:pPr>
            <w:r>
              <w:rPr>
                <w:rFonts w:ascii="Arial" w:hAnsi="Arial"/>
                <w:b w:val="0"/>
                <w:i w:val="0"/>
                <w:color w:val="000000"/>
                <w:sz w:val="18"/>
              </w:rPr>
              <w:t>• Class Discussion:</w:t>
              <w:br/>
              <w:t>Use anonymized or volunteer student entries to spark whole-class discussions:</w:t>
            </w:r>
          </w:p>
          <w:p>
            <w:pPr>
              <w:spacing w:before="20" w:after="20"/>
              <w:ind w:left="240"/>
              <w:jc w:val="left"/>
            </w:pPr>
            <w:r>
              <w:rPr>
                <w:rFonts w:ascii="Arial" w:hAnsi="Arial"/>
                <w:b w:val="0"/>
                <w:i w:val="0"/>
                <w:color w:val="000000"/>
                <w:sz w:val="18"/>
              </w:rPr>
              <w:t>• Compare different ways students connected a lesson to the harambee problem</w:t>
            </w:r>
          </w:p>
          <w:p>
            <w:pPr>
              <w:spacing w:before="20" w:after="20"/>
              <w:ind w:left="240"/>
              <w:jc w:val="left"/>
            </w:pPr>
            <w:r>
              <w:rPr>
                <w:rFonts w:ascii="Arial" w:hAnsi="Arial"/>
                <w:b w:val="0"/>
                <w:i w:val="0"/>
                <w:color w:val="000000"/>
                <w:sz w:val="18"/>
              </w:rPr>
              <w:t>• Address common misconceptions revealed in the tables</w:t>
            </w:r>
          </w:p>
          <w:p>
            <w:pPr>
              <w:spacing w:before="20" w:after="20"/>
              <w:ind w:left="240"/>
              <w:jc w:val="left"/>
            </w:pPr>
            <w:r>
              <w:rPr>
                <w:rFonts w:ascii="Arial" w:hAnsi="Arial"/>
                <w:b w:val="0"/>
                <w:i w:val="0"/>
                <w:color w:val="000000"/>
                <w:sz w:val="18"/>
              </w:rPr>
              <w:t>• Celebrate growth and insightful reflections</w:t>
            </w:r>
          </w:p>
          <w:p>
            <w:pPr>
              <w:spacing w:before="20" w:after="20"/>
              <w:ind w:left="240"/>
              <w:jc w:val="left"/>
            </w:pPr>
            <w:r>
              <w:rPr>
                <w:rFonts w:ascii="Arial" w:hAnsi="Arial"/>
                <w:b w:val="0"/>
                <w:i w:val="0"/>
                <w:color w:val="000000"/>
                <w:sz w:val="18"/>
              </w:rPr>
              <w:t>• Self-Assessment:</w:t>
              <w:br/>
              <w:t>Periodically ask students to review their own tables and identify:</w:t>
            </w:r>
          </w:p>
          <w:p>
            <w:pPr>
              <w:spacing w:before="20" w:after="20"/>
              <w:ind w:left="240"/>
              <w:jc w:val="left"/>
            </w:pPr>
            <w:r>
              <w:rPr>
                <w:rFonts w:ascii="Arial" w:hAnsi="Arial"/>
                <w:b w:val="0"/>
                <w:i w:val="0"/>
                <w:color w:val="000000"/>
                <w:sz w:val="18"/>
              </w:rPr>
              <w:t>• Their strongest entry and why</w:t>
            </w:r>
          </w:p>
          <w:p>
            <w:pPr>
              <w:spacing w:before="20" w:after="20"/>
              <w:ind w:left="240"/>
              <w:jc w:val="left"/>
            </w:pPr>
            <w:r>
              <w:rPr>
                <w:rFonts w:ascii="Arial" w:hAnsi="Arial"/>
                <w:b w:val="0"/>
                <w:i w:val="0"/>
                <w:color w:val="000000"/>
                <w:sz w:val="18"/>
              </w:rPr>
              <w:t>• An entry they’d like to revise or expand</w:t>
            </w:r>
          </w:p>
          <w:p>
            <w:pPr>
              <w:spacing w:before="20" w:after="20"/>
              <w:ind w:left="240"/>
              <w:jc w:val="left"/>
            </w:pPr>
            <w:r>
              <w:rPr>
                <w:rFonts w:ascii="Arial" w:hAnsi="Arial"/>
                <w:b w:val="0"/>
                <w:i w:val="0"/>
                <w:color w:val="000000"/>
                <w:sz w:val="18"/>
              </w:rPr>
              <w:t>• Patterns in their learning (e.g., “I understand procedures but struggle with context”)</w:t>
            </w:r>
          </w:p>
          <w:p>
            <w:pPr>
              <w:spacing w:before="20" w:after="20"/>
              <w:ind w:left="240"/>
              <w:jc w:val="left"/>
            </w:pPr>
            <w:r>
              <w:rPr>
                <w:rFonts w:ascii="Arial" w:hAnsi="Arial"/>
                <w:b w:val="0"/>
                <w:i w:val="0"/>
                <w:color w:val="000000"/>
                <w:sz w:val="18"/>
              </w:rPr>
              <w:t>• Summative Preparation:</w:t>
              <w:br/>
              <w:t>Encourage students to use their completed Summary Tables as study guides for end-of-unit assessments. The table provides a personalized record of key concepts, skills, and problem-solving strategies.</w:t>
            </w:r>
          </w:p>
          <w:p>
            <w:pPr>
              <w:spacing w:before="20" w:after="20"/>
              <w:jc w:val="left"/>
            </w:pPr>
            <w:r>
              <w:rPr>
                <w:rFonts w:ascii="Arial" w:hAnsi="Arial"/>
                <w:b/>
                <w:i w:val="0"/>
                <w:color w:val="000000"/>
                <w:sz w:val="18"/>
              </w:rPr>
              <w:t>Alignment with Competency-Based Curriculum (CBC)</w:t>
            </w:r>
          </w:p>
          <w:p>
            <w:pPr>
              <w:spacing w:before="20" w:after="20"/>
              <w:jc w:val="left"/>
            </w:pPr>
            <w:r>
              <w:rPr>
                <w:rFonts w:ascii="Arial" w:hAnsi="Arial"/>
                <w:b w:val="0"/>
                <w:i w:val="0"/>
                <w:color w:val="000000"/>
                <w:sz w:val="18"/>
              </w:rPr>
              <w:t>This tool supports CBC goals by: - Emphasizing learning as a process rather than isolated skills - Promoting critical thinking and problem-solving through reflection - Connecting mathematics to real-world contexts and community issues - Developing communication skills through written explanation - Fostering self-directed learning and metacognitive awareness</w:t>
            </w:r>
          </w:p>
          <w:p>
            <w:pPr>
              <w:spacing w:before="20" w:after="20"/>
              <w:jc w:val="left"/>
            </w:pPr>
            <w:r>
              <w:rPr>
                <w:rFonts w:ascii="Arial" w:hAnsi="Arial"/>
                <w:b w:val="0"/>
                <w:i w:val="0"/>
                <w:color w:val="000000"/>
                <w:sz w:val="18"/>
              </w:rPr>
              <w:t>End of Summary Table Document</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