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i w:val="0"/>
          <w:color w:val="1F3864"/>
          <w:sz w:val="28"/>
        </w:rPr>
        <w:t>Physics | Grade 10 | Sub-Strand 1.4: Temperature and Thermal Expansion</w:t>
      </w:r>
    </w:p>
    <w:p>
      <w:pPr>
        <w:spacing w:before="0" w:after="120"/>
        <w:jc w:val="left"/>
      </w:pPr>
      <w:r>
        <w:rPr>
          <w:rFonts w:ascii="Arial" w:hAnsi="Arial"/>
          <w:b w:val="0"/>
          <w:i w:val="0"/>
          <w:color w:val="1F6B75"/>
          <w:sz w:val="22"/>
        </w:rPr>
        <w:t>Summary Table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3864"/>
          </w:tcPr>
          <w:p>
            <w:pPr>
              <w:spacing w:before="40" w:after="40"/>
              <w:jc w:val="left"/>
            </w:pPr>
            <w:r>
              <w:rPr>
                <w:rFonts w:ascii="Arial" w:hAnsi="Arial"/>
                <w:b/>
                <w:i w:val="0"/>
                <w:color w:val="FFFFFF"/>
                <w:sz w:val="22"/>
              </w:rPr>
              <w:t>PURPOSE STATEMENT</w:t>
            </w:r>
          </w:p>
        </w:tc>
      </w:tr>
      <w:tr>
        <w:tc>
          <w:tcPr>
            <w:tcW w:type="dxa" w:w="13680"/>
            <w:shd w:val="clear" w:color="auto" w:fill="FFFFFF"/>
          </w:tcPr>
          <w:p>
            <w:pPr>
              <w:spacing w:before="20" w:after="20"/>
              <w:jc w:val="left"/>
            </w:pPr>
            <w:r>
              <w:rPr>
                <w:rFonts w:ascii="Arial" w:hAnsi="Arial"/>
                <w:b w:val="0"/>
                <w:i w:val="0"/>
                <w:color w:val="000000"/>
                <w:sz w:val="18"/>
              </w:rPr>
              <w:t>For Students:</w:t>
              <w:br/>
              <w:t>This Summary Table is your learning companion throughout Sub-Strand 1.4. Use it to track your observations, connect new ideas to what you already know, and build a complete explanation for everyday thermal phenomena. By the end of this unit, you’ll be able to explain why materials change size with temperature and how engineers design safe structures and devices using this knowledge.</w:t>
            </w:r>
          </w:p>
          <w:p>
            <w:pPr>
              <w:spacing w:before="20" w:after="20"/>
              <w:jc w:val="left"/>
            </w:pPr>
            <w:r>
              <w:rPr>
                <w:rFonts w:ascii="Arial" w:hAnsi="Arial"/>
                <w:b w:val="0"/>
                <w:i w:val="0"/>
                <w:color w:val="000000"/>
                <w:sz w:val="18"/>
              </w:rPr>
              <w:t>For Teachers:</w:t>
              <w:br/>
              <w:t>This tool supports formative assessment by making student thinking visible across the learning progression. Use it to identify misconceptions early, monitor conceptual development, and guide instructional decisions. The completed table provides evidence of three-dimensional learning (SEPs, DCIs, and CCCs) and readiness for summative assessment.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SUMMARY TABLE: PHYSICS GRADE 10 -- TEMPERATURE AND THERMAL EXPANSION</w:t>
            </w:r>
          </w:p>
        </w:tc>
      </w:tr>
      <w:tr>
        <w:tc>
          <w:tcPr>
            <w:tcW w:type="dxa" w:w="13679"/>
            <w:gridSpan w:val="2"/>
            <w:shd w:val="clear" w:color="auto" w:fill="1F6B75"/>
          </w:tcPr>
          <w:p>
            <w:pPr>
              <w:spacing w:before="40" w:after="40"/>
              <w:jc w:val="left"/>
            </w:pPr>
            <w:r>
              <w:rPr>
                <w:rFonts w:ascii="Arial" w:hAnsi="Arial"/>
                <w:b/>
                <w:i w:val="0"/>
                <w:color w:val="FFFFFF"/>
                <w:sz w:val="22"/>
              </w:rPr>
              <w:t>SUMMARY TABLE</w:t>
            </w:r>
          </w:p>
        </w:tc>
      </w:tr>
      <w:tr>
        <w:tc>
          <w:tcPr>
            <w:tcW w:type="dxa" w:w="2999"/>
            <w:shd w:val="clear" w:color="auto" w:fill="D5E8F0"/>
          </w:tcPr>
          <w:p>
            <w:pPr>
              <w:spacing w:before="40" w:after="40"/>
              <w:jc w:val="left"/>
            </w:pPr>
            <w:r>
              <w:rPr>
                <w:rFonts w:ascii="Arial" w:hAnsi="Arial"/>
                <w:b/>
                <w:i w:val="0"/>
                <w:color w:val="000000"/>
                <w:sz w:val="18"/>
              </w:rPr>
              <w:t>Sub-Strand</w:t>
            </w:r>
          </w:p>
        </w:tc>
        <w:tc>
          <w:tcPr>
            <w:tcW w:type="dxa" w:w="10680"/>
            <w:shd w:val="clear" w:color="auto" w:fill="FFFFFF"/>
          </w:tcPr>
          <w:p>
            <w:pPr>
              <w:spacing w:before="40" w:after="40"/>
              <w:jc w:val="left"/>
            </w:pPr>
            <w:r>
              <w:rPr>
                <w:rFonts w:ascii="Arial" w:hAnsi="Arial"/>
                <w:b w:val="0"/>
                <w:i w:val="0"/>
                <w:color w:val="000000"/>
                <w:sz w:val="18"/>
              </w:rPr>
              <w:t>Sub-Strand 1.4: Temperature and Thermal Expansion</w:t>
            </w:r>
          </w:p>
        </w:tc>
      </w:tr>
      <w:tr>
        <w:tc>
          <w:tcPr>
            <w:tcW w:type="dxa" w:w="2999"/>
            <w:shd w:val="clear" w:color="auto" w:fill="D5E8F0"/>
          </w:tcPr>
          <w:p>
            <w:pPr>
              <w:spacing w:before="40" w:after="40"/>
              <w:jc w:val="left"/>
            </w:pPr>
            <w:r>
              <w:rPr>
                <w:rFonts w:ascii="Arial" w:hAnsi="Arial"/>
                <w:b/>
                <w:i w:val="0"/>
                <w:color w:val="000000"/>
                <w:sz w:val="18"/>
              </w:rPr>
              <w:t>Driving Question</w:t>
            </w:r>
          </w:p>
        </w:tc>
        <w:tc>
          <w:tcPr>
            <w:tcW w:type="dxa" w:w="10680"/>
            <w:shd w:val="clear" w:color="auto" w:fill="FFFFFF"/>
          </w:tcPr>
          <w:p>
            <w:pPr>
              <w:spacing w:before="40" w:after="40"/>
              <w:jc w:val="left"/>
            </w:pPr>
            <w:r>
              <w:rPr>
                <w:rFonts w:ascii="Arial" w:hAnsi="Arial"/>
                <w:b w:val="0"/>
                <w:i w:val="0"/>
                <w:color w:val="000000"/>
                <w:sz w:val="18"/>
              </w:rPr>
              <w:t>Why do materials change size when temperature changes — and how do engineers use this to keep us safe?</w:t>
            </w:r>
          </w:p>
        </w:tc>
      </w:tr>
      <w:tr>
        <w:tc>
          <w:tcPr>
            <w:tcW w:type="dxa" w:w="2999"/>
            <w:shd w:val="clear" w:color="auto" w:fill="FCE4D6"/>
          </w:tcPr>
          <w:p>
            <w:pPr>
              <w:spacing w:before="40" w:after="40"/>
              <w:jc w:val="left"/>
            </w:pPr>
            <w:r>
              <w:rPr>
                <w:rFonts w:ascii="Arial" w:hAnsi="Arial"/>
                <w:b/>
                <w:i w:val="0"/>
                <w:color w:val="000000"/>
                <w:sz w:val="18"/>
              </w:rPr>
              <w:t>Anchoring Phenomenon</w:t>
            </w:r>
          </w:p>
        </w:tc>
        <w:tc>
          <w:tcPr>
            <w:tcW w:type="dxa" w:w="10680"/>
            <w:shd w:val="clear" w:color="auto" w:fill="FFFFFF"/>
          </w:tcPr>
          <w:p>
            <w:pPr>
              <w:spacing w:before="40" w:after="40"/>
              <w:jc w:val="left"/>
            </w:pPr>
            <w:r>
              <w:rPr>
                <w:rFonts w:ascii="Arial" w:hAnsi="Arial"/>
                <w:b w:val="0"/>
                <w:i w:val="0"/>
                <w:color w:val="000000"/>
                <w:sz w:val="18"/>
              </w:rPr>
              <w:t>A tightly sealed metal sufuria lid won't budge — but after running hot water over it for 10 seconds, it opens easily. Also: a glass bottle full of water placed in a freezer cracks overnight.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HOW TO USE THIS TABLE</w:t>
            </w:r>
          </w:p>
        </w:tc>
      </w:tr>
      <w:tr>
        <w:tc>
          <w:tcPr>
            <w:tcW w:type="dxa" w:w="13680"/>
            <w:shd w:val="clear" w:color="auto" w:fill="FFFFFF"/>
          </w:tcPr>
          <w:p>
            <w:pPr>
              <w:spacing w:before="20" w:after="20"/>
              <w:ind w:left="240"/>
              <w:jc w:val="left"/>
            </w:pPr>
            <w:r>
              <w:rPr>
                <w:rFonts w:ascii="Arial" w:hAnsi="Arial"/>
                <w:b w:val="0"/>
                <w:i w:val="0"/>
                <w:color w:val="000000"/>
                <w:sz w:val="18"/>
              </w:rPr>
              <w:t>• 1. Complete one row after each lesson (or as directed by your teacher).</w:t>
            </w:r>
          </w:p>
          <w:p>
            <w:pPr>
              <w:spacing w:before="20" w:after="20"/>
              <w:ind w:left="240"/>
              <w:jc w:val="left"/>
            </w:pPr>
            <w:r>
              <w:rPr>
                <w:rFonts w:ascii="Arial" w:hAnsi="Arial"/>
                <w:b w:val="0"/>
                <w:i w:val="0"/>
                <w:color w:val="000000"/>
                <w:sz w:val="18"/>
              </w:rPr>
              <w:t>• 2. Column 1: Record the lesson number and title.</w:t>
            </w:r>
          </w:p>
          <w:p>
            <w:pPr>
              <w:spacing w:before="20" w:after="20"/>
              <w:ind w:left="240"/>
              <w:jc w:val="left"/>
            </w:pPr>
            <w:r>
              <w:rPr>
                <w:rFonts w:ascii="Arial" w:hAnsi="Arial"/>
                <w:b w:val="0"/>
                <w:i w:val="0"/>
                <w:color w:val="000000"/>
                <w:sz w:val="18"/>
              </w:rPr>
              <w:t>• 3. Column 2: Describe what you observed, measured, or investigated (activities, demonstrations, simulations, or data).</w:t>
            </w:r>
          </w:p>
          <w:p>
            <w:pPr>
              <w:spacing w:before="20" w:after="20"/>
              <w:ind w:left="240"/>
              <w:jc w:val="left"/>
            </w:pPr>
            <w:r>
              <w:rPr>
                <w:rFonts w:ascii="Arial" w:hAnsi="Arial"/>
                <w:b w:val="0"/>
                <w:i w:val="0"/>
                <w:color w:val="000000"/>
                <w:sz w:val="18"/>
              </w:rPr>
              <w:t>• 4. Column 3: Summarize the key scientific concepts you learned. Use precise vocabulary (e.g. thermal expansion, kinetic energy, linear expansivity, coefficient of expansion).</w:t>
            </w:r>
          </w:p>
          <w:p>
            <w:pPr>
              <w:spacing w:before="20" w:after="20"/>
              <w:ind w:left="240"/>
              <w:jc w:val="left"/>
            </w:pPr>
            <w:r>
              <w:rPr>
                <w:rFonts w:ascii="Arial" w:hAnsi="Arial"/>
                <w:b w:val="0"/>
                <w:i w:val="0"/>
                <w:color w:val="000000"/>
                <w:sz w:val="18"/>
              </w:rPr>
              <w:t>• 5. Column 4: Connect your learning to the anchoring phenomena — explain how this lesson helps you understand the sufuria lid or frozen bottle (or both).</w:t>
            </w:r>
          </w:p>
          <w:p>
            <w:pPr>
              <w:spacing w:before="20" w:after="20"/>
              <w:ind w:left="240"/>
              <w:jc w:val="left"/>
            </w:pPr>
            <w:r>
              <w:rPr>
                <w:rFonts w:ascii="Arial" w:hAnsi="Arial"/>
                <w:b w:val="0"/>
                <w:i w:val="0"/>
                <w:color w:val="000000"/>
                <w:sz w:val="18"/>
              </w:rPr>
              <w:t>• 6. Column 5: Update your Driving Question Board (note new questions raised or questions answered) and update your scientific model sketch.</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99"/>
        <w:gridCol w:w="3120"/>
        <w:gridCol w:w="3120"/>
        <w:gridCol w:w="3120"/>
        <w:gridCol w:w="3120"/>
      </w:tblGrid>
      <w:tr>
        <w:tc>
          <w:tcPr>
            <w:tcW w:type="dxa" w:w="1199"/>
            <w:shd w:val="clear" w:color="auto" w:fill="1F3864"/>
            <w:vAlign w:val="center"/>
          </w:tcPr>
          <w:p>
            <w:pPr>
              <w:spacing w:before="40" w:after="40"/>
              <w:jc w:val="center"/>
            </w:pPr>
            <w:r>
              <w:rPr>
                <w:rFonts w:ascii="Arial" w:hAnsi="Arial"/>
                <w:b/>
                <w:i w:val="0"/>
                <w:color w:val="FFFFFF"/>
                <w:sz w:val="18"/>
              </w:rPr>
              <w:t>Lesson # and Title</w:t>
            </w:r>
          </w:p>
        </w:tc>
        <w:tc>
          <w:tcPr>
            <w:tcW w:type="dxa" w:w="3120"/>
            <w:shd w:val="clear" w:color="auto" w:fill="2E75B6"/>
            <w:vAlign w:val="center"/>
          </w:tcPr>
          <w:p>
            <w:pPr>
              <w:spacing w:before="40" w:after="40"/>
              <w:jc w:val="center"/>
            </w:pPr>
            <w:r>
              <w:rPr>
                <w:rFonts w:ascii="Arial" w:hAnsi="Arial"/>
                <w:b/>
                <w:i w:val="0"/>
                <w:color w:val="FFFFFF"/>
                <w:sz w:val="18"/>
              </w:rPr>
              <w:t>What did I observe or investigate?</w:t>
            </w:r>
          </w:p>
        </w:tc>
        <w:tc>
          <w:tcPr>
            <w:tcW w:type="dxa" w:w="3120"/>
            <w:shd w:val="clear" w:color="auto" w:fill="1F6B75"/>
            <w:vAlign w:val="center"/>
          </w:tcPr>
          <w:p>
            <w:pPr>
              <w:spacing w:before="40" w:after="40"/>
              <w:jc w:val="center"/>
            </w:pPr>
            <w:r>
              <w:rPr>
                <w:rFonts w:ascii="Arial" w:hAnsi="Arial"/>
                <w:b/>
                <w:i w:val="0"/>
                <w:color w:val="FFFFFF"/>
                <w:sz w:val="18"/>
              </w:rPr>
              <w:t>What did I learn?</w:t>
            </w:r>
          </w:p>
        </w:tc>
        <w:tc>
          <w:tcPr>
            <w:tcW w:type="dxa" w:w="3120"/>
            <w:shd w:val="clear" w:color="auto" w:fill="2E75B6"/>
            <w:vAlign w:val="center"/>
          </w:tcPr>
          <w:p>
            <w:pPr>
              <w:spacing w:before="40" w:after="40"/>
              <w:jc w:val="center"/>
            </w:pPr>
            <w:r>
              <w:rPr>
                <w:rFonts w:ascii="Arial" w:hAnsi="Arial"/>
                <w:b/>
                <w:i w:val="0"/>
                <w:color w:val="FFFFFF"/>
                <w:sz w:val="18"/>
              </w:rPr>
              <w:t>How does this explain the sufuria lid and frozen bottle phenomenon?</w:t>
            </w:r>
          </w:p>
        </w:tc>
        <w:tc>
          <w:tcPr>
            <w:tcW w:type="dxa" w:w="3120"/>
            <w:shd w:val="clear" w:color="auto" w:fill="7030A0"/>
            <w:vAlign w:val="center"/>
          </w:tcPr>
          <w:p>
            <w:pPr>
              <w:spacing w:before="40" w:after="40"/>
              <w:jc w:val="center"/>
            </w:pPr>
            <w:r>
              <w:rPr>
                <w:rFonts w:ascii="Arial" w:hAnsi="Arial"/>
                <w:b/>
                <w:i w:val="0"/>
                <w:color w:val="FFFFFF"/>
                <w:sz w:val="18"/>
              </w:rPr>
              <w:t>DQB and Model Update</w:t>
            </w:r>
          </w:p>
        </w:tc>
      </w:tr>
      <w:tr>
        <w:tc>
          <w:tcPr>
            <w:tcW w:type="dxa" w:w="1199"/>
            <w:shd w:val="clear" w:color="auto" w:fill="D5E8F0"/>
            <w:vAlign w:val="top"/>
          </w:tcPr>
          <w:p>
            <w:pPr>
              <w:spacing w:before="40" w:after="40"/>
              <w:jc w:val="left"/>
            </w:pPr>
            <w:r>
              <w:rPr>
                <w:rFonts w:ascii="Arial" w:hAnsi="Arial"/>
                <w:b/>
                <w:i w:val="0"/>
                <w:color w:val="000000"/>
                <w:sz w:val="18"/>
              </w:rPr>
              <w:t>Lesson 1: Introduction to Temperature and Heat</w:t>
            </w:r>
          </w:p>
        </w:tc>
        <w:tc>
          <w:tcPr>
            <w:tcW w:type="dxa" w:w="3120"/>
            <w:shd w:val="clear" w:color="auto" w:fill="FFFFFF"/>
            <w:vAlign w:val="top"/>
          </w:tcPr>
          <w:p>
            <w:pPr>
              <w:spacing w:before="20" w:after="20"/>
              <w:jc w:val="left"/>
            </w:pPr>
            <w:r>
              <w:rPr>
                <w:rFonts w:ascii="Arial" w:hAnsi="Arial"/>
                <w:b w:val="0"/>
                <w:i w:val="0"/>
                <w:color w:val="000000"/>
                <w:sz w:val="18"/>
              </w:rPr>
              <w:t>Measured temperature of different objects using thermometers. Discussed what 'hot' and 'cold' mean and shared everyday experiences.</w:t>
            </w:r>
          </w:p>
        </w:tc>
        <w:tc>
          <w:tcPr>
            <w:tcW w:type="dxa" w:w="3120"/>
            <w:shd w:val="clear" w:color="auto" w:fill="FFFFFF"/>
            <w:vAlign w:val="top"/>
          </w:tcPr>
          <w:p>
            <w:pPr>
              <w:spacing w:before="20" w:after="20"/>
              <w:jc w:val="left"/>
            </w:pPr>
            <w:r>
              <w:rPr>
                <w:rFonts w:ascii="Arial" w:hAnsi="Arial"/>
                <w:b w:val="0"/>
                <w:i w:val="0"/>
                <w:color w:val="000000"/>
                <w:sz w:val="18"/>
              </w:rPr>
              <w:t>Temperature measures the average kinetic energy of particles. Heat is energy transferred from hotter to cooler objects. They are related but different.</w:t>
            </w:r>
          </w:p>
        </w:tc>
        <w:tc>
          <w:tcPr>
            <w:tcW w:type="dxa" w:w="3120"/>
            <w:shd w:val="clear" w:color="auto" w:fill="FFFFFF"/>
            <w:vAlign w:val="top"/>
          </w:tcPr>
          <w:p>
            <w:pPr>
              <w:spacing w:before="20" w:after="20"/>
              <w:jc w:val="left"/>
            </w:pPr>
            <w:r>
              <w:rPr>
                <w:rFonts w:ascii="Arial" w:hAnsi="Arial"/>
                <w:b w:val="0"/>
                <w:i w:val="0"/>
                <w:color w:val="000000"/>
                <w:sz w:val="18"/>
              </w:rPr>
              <w:t>This sets the foundation: when we run hot water over the sufuria lid, heat transfers to the lid and increases its temperature. But we don't yet know why this makes it easier to open.</w:t>
            </w:r>
          </w:p>
        </w:tc>
        <w:tc>
          <w:tcPr>
            <w:tcW w:type="dxa" w:w="3120"/>
            <w:shd w:val="clear" w:color="auto" w:fill="EAD1F5"/>
            <w:vAlign w:val="top"/>
          </w:tcPr>
          <w:p>
            <w:pPr>
              <w:spacing w:before="20" w:after="20"/>
              <w:jc w:val="left"/>
            </w:pPr>
            <w:r>
              <w:rPr>
                <w:rFonts w:ascii="Arial" w:hAnsi="Arial"/>
                <w:b w:val="0"/>
                <w:i w:val="0"/>
                <w:color w:val="000000"/>
                <w:sz w:val="18"/>
              </w:rPr>
              <w:t>DQB Started: Why do things expand when heated? What happens to particles when temperature increases?</w:t>
            </w:r>
          </w:p>
          <w:p>
            <w:pPr>
              <w:spacing w:before="20" w:after="20"/>
              <w:jc w:val="left"/>
            </w:pPr>
            <w:r>
              <w:rPr>
                <w:rFonts w:ascii="Arial" w:hAnsi="Arial"/>
                <w:b w:val="0"/>
                <w:i w:val="0"/>
                <w:color w:val="000000"/>
                <w:sz w:val="18"/>
              </w:rPr>
              <w:t>Initial Model: Particles in a solid vibrate but stay in place.</w:t>
            </w:r>
          </w:p>
        </w:tc>
      </w:tr>
      <w:tr>
        <w:tc>
          <w:tcPr>
            <w:tcW w:type="dxa" w:w="1199"/>
            <w:shd w:val="clear" w:color="auto" w:fill="D5E8F0"/>
            <w:vAlign w:val="top"/>
          </w:tcPr>
          <w:p>
            <w:pPr>
              <w:spacing w:before="40" w:after="40"/>
              <w:jc w:val="left"/>
            </w:pPr>
            <w:r>
              <w:rPr>
                <w:rFonts w:ascii="Arial" w:hAnsi="Arial"/>
                <w:b/>
                <w:i w:val="0"/>
                <w:color w:val="000000"/>
                <w:sz w:val="18"/>
              </w:rPr>
              <w:t>Lesson 2: Particle Model of Matter and Temperature</w:t>
            </w:r>
          </w:p>
        </w:tc>
        <w:tc>
          <w:tcPr>
            <w:tcW w:type="dxa" w:w="3120"/>
            <w:shd w:val="clear" w:color="auto" w:fill="F2F2F2"/>
            <w:vAlign w:val="top"/>
          </w:tcPr>
          <w:p>
            <w:pPr>
              <w:spacing w:before="20" w:after="20"/>
              <w:jc w:val="left"/>
            </w:pPr>
            <w:r>
              <w:rPr>
                <w:rFonts w:ascii="Arial" w:hAnsi="Arial"/>
                <w:b w:val="0"/>
                <w:i w:val="0"/>
                <w:color w:val="000000"/>
                <w:sz w:val="18"/>
              </w:rPr>
              <w:t>Built particle diagrams for solids, liquids, and gases. Investigated how particle motion changes with temperature using demonstrations. Explored kinetic theory of matter.</w:t>
            </w:r>
          </w:p>
        </w:tc>
        <w:tc>
          <w:tcPr>
            <w:tcW w:type="dxa" w:w="3120"/>
            <w:shd w:val="clear" w:color="auto" w:fill="F2F2F2"/>
            <w:vAlign w:val="top"/>
          </w:tcPr>
          <w:p>
            <w:pPr>
              <w:spacing w:before="20" w:after="20"/>
              <w:jc w:val="left"/>
            </w:pPr>
            <w:r>
              <w:rPr>
                <w:rFonts w:ascii="Arial" w:hAnsi="Arial"/>
                <w:b w:val="0"/>
                <w:i w:val="0"/>
                <w:color w:val="000000"/>
                <w:sz w:val="18"/>
              </w:rPr>
              <w:t>Temperature measures the average kinetic energy of particles. When temperature rises, particles move faster and need more space — this causes expansion. Solids vibrate in fixed positions; liquids flow; gases move freely. Higher temperature = faster particle motion.</w:t>
            </w:r>
          </w:p>
        </w:tc>
        <w:tc>
          <w:tcPr>
            <w:tcW w:type="dxa" w:w="3120"/>
            <w:shd w:val="clear" w:color="auto" w:fill="F2F2F2"/>
            <w:vAlign w:val="top"/>
          </w:tcPr>
          <w:p>
            <w:pPr>
              <w:spacing w:before="20" w:after="20"/>
              <w:jc w:val="left"/>
            </w:pPr>
            <w:r>
              <w:rPr>
                <w:rFonts w:ascii="Arial" w:hAnsi="Arial"/>
                <w:b w:val="0"/>
                <w:i w:val="0"/>
                <w:color w:val="000000"/>
                <w:sz w:val="18"/>
              </w:rPr>
              <w:t>When hot water runs over the sufuria lid, energy transfers to the metal particles. They vibrate more vigorously and the metal expands — this is why heating helps open the lid. The particle model explains thermal expansion at the microscopic level.</w:t>
            </w:r>
          </w:p>
        </w:tc>
        <w:tc>
          <w:tcPr>
            <w:tcW w:type="dxa" w:w="3120"/>
            <w:shd w:val="clear" w:color="auto" w:fill="EAD1F5"/>
            <w:vAlign w:val="top"/>
          </w:tcPr>
          <w:p>
            <w:pPr>
              <w:spacing w:before="20" w:after="20"/>
              <w:jc w:val="left"/>
            </w:pPr>
            <w:r>
              <w:rPr>
                <w:rFonts w:ascii="Arial" w:hAnsi="Arial"/>
                <w:b w:val="0"/>
                <w:i w:val="0"/>
                <w:color w:val="000000"/>
                <w:sz w:val="18"/>
              </w:rPr>
              <w:t>DQB Updated: Answered 'What happens to particles when something heats up?'</w:t>
            </w:r>
          </w:p>
          <w:p>
            <w:pPr>
              <w:spacing w:before="20" w:after="20"/>
              <w:jc w:val="left"/>
            </w:pPr>
            <w:r>
              <w:rPr>
                <w:rFonts w:ascii="Arial" w:hAnsi="Arial"/>
                <w:b w:val="0"/>
                <w:i w:val="0"/>
                <w:color w:val="000000"/>
                <w:sz w:val="18"/>
              </w:rPr>
              <w:t>Model Revised: Particle diagrams added showing vibrating solids and moving liquids/gases with temperature arrows.</w:t>
            </w:r>
          </w:p>
        </w:tc>
      </w:tr>
      <w:tr>
        <w:tc>
          <w:tcPr>
            <w:tcW w:type="dxa" w:w="1199"/>
            <w:shd w:val="clear" w:color="auto" w:fill="D5E8F0"/>
            <w:vAlign w:val="top"/>
          </w:tcPr>
          <w:p>
            <w:pPr>
              <w:spacing w:before="40" w:after="40"/>
              <w:jc w:val="left"/>
            </w:pPr>
            <w:r>
              <w:rPr>
                <w:rFonts w:ascii="Arial" w:hAnsi="Arial"/>
                <w:b/>
                <w:i w:val="0"/>
                <w:color w:val="000000"/>
                <w:sz w:val="18"/>
              </w:rPr>
              <w:t>Lesson 3: Thermal Expansion in Solids</w:t>
            </w:r>
          </w:p>
        </w:tc>
        <w:tc>
          <w:tcPr>
            <w:tcW w:type="dxa" w:w="3120"/>
            <w:shd w:val="clear" w:color="auto" w:fill="FFFFFF"/>
            <w:vAlign w:val="top"/>
          </w:tcPr>
          <w:p>
            <w:pPr>
              <w:spacing w:before="20" w:after="20"/>
              <w:jc w:val="left"/>
            </w:pPr>
            <w:r>
              <w:rPr>
                <w:rFonts w:ascii="Arial" w:hAnsi="Arial"/>
                <w:b w:val="0"/>
                <w:i w:val="0"/>
                <w:color w:val="000000"/>
                <w:sz w:val="18"/>
              </w:rPr>
              <w:t>Heated a metal ball until it no longer fit through a ring. Observed a bimetallic strip bend when heated. Measured change in length of a metal rod with a dial gauge.</w:t>
            </w:r>
          </w:p>
        </w:tc>
        <w:tc>
          <w:tcPr>
            <w:tcW w:type="dxa" w:w="3120"/>
            <w:shd w:val="clear" w:color="auto" w:fill="FFFFFF"/>
            <w:vAlign w:val="top"/>
          </w:tcPr>
          <w:p>
            <w:pPr>
              <w:spacing w:before="20" w:after="20"/>
              <w:jc w:val="left"/>
            </w:pPr>
            <w:r>
              <w:rPr>
                <w:rFonts w:ascii="Arial" w:hAnsi="Arial"/>
                <w:b w:val="0"/>
                <w:i w:val="0"/>
                <w:color w:val="000000"/>
                <w:sz w:val="18"/>
              </w:rPr>
              <w:t>Thermal expansion: most solids expand when heated because particles vibrate more vigorously and need more space. Different metals have different coefficients of linear expansion (α). Engineers use expansion joints to accommodate this.</w:t>
            </w:r>
          </w:p>
        </w:tc>
        <w:tc>
          <w:tcPr>
            <w:tcW w:type="dxa" w:w="3120"/>
            <w:shd w:val="clear" w:color="auto" w:fill="FFFFFF"/>
            <w:vAlign w:val="top"/>
          </w:tcPr>
          <w:p>
            <w:pPr>
              <w:spacing w:before="20" w:after="20"/>
              <w:jc w:val="left"/>
            </w:pPr>
            <w:r>
              <w:rPr>
                <w:rFonts w:ascii="Arial" w:hAnsi="Arial"/>
                <w:b w:val="0"/>
                <w:i w:val="0"/>
                <w:color w:val="000000"/>
                <w:sz w:val="18"/>
              </w:rPr>
              <w:t>Sufuria lid: the metal lid expands when heated with hot water, breaking the tight seal and making it easier to twist off. Frozen bottle: we know solids usually expand when heated — water may behave differently (anomaly to investigate).</w:t>
            </w:r>
          </w:p>
        </w:tc>
        <w:tc>
          <w:tcPr>
            <w:tcW w:type="dxa" w:w="3120"/>
            <w:shd w:val="clear" w:color="auto" w:fill="EAD1F5"/>
            <w:vAlign w:val="top"/>
          </w:tcPr>
          <w:p>
            <w:pPr>
              <w:spacing w:before="20" w:after="20"/>
              <w:jc w:val="left"/>
            </w:pPr>
            <w:r>
              <w:rPr>
                <w:rFonts w:ascii="Arial" w:hAnsi="Arial"/>
                <w:b w:val="0"/>
                <w:i w:val="0"/>
                <w:color w:val="000000"/>
                <w:sz w:val="18"/>
              </w:rPr>
              <w:t>DQB Updated: Answered 'Why does the lid open when heated?' (differential expansion breaks the seal.)</w:t>
            </w:r>
          </w:p>
          <w:p>
            <w:pPr>
              <w:spacing w:before="20" w:after="20"/>
              <w:jc w:val="left"/>
            </w:pPr>
            <w:r>
              <w:rPr>
                <w:rFonts w:ascii="Arial" w:hAnsi="Arial"/>
                <w:b w:val="0"/>
                <w:i w:val="0"/>
                <w:color w:val="000000"/>
                <w:sz w:val="18"/>
              </w:rPr>
              <w:t>New question: Does water expand or contract when it freezes?</w:t>
            </w:r>
          </w:p>
          <w:p>
            <w:pPr>
              <w:spacing w:before="20" w:after="20"/>
              <w:jc w:val="left"/>
            </w:pPr>
            <w:r>
              <w:rPr>
                <w:rFonts w:ascii="Arial" w:hAnsi="Arial"/>
                <w:b w:val="0"/>
                <w:i w:val="0"/>
                <w:color w:val="000000"/>
                <w:sz w:val="18"/>
              </w:rPr>
              <w:t>Model Revised: Added arrows showing particles moving further apart when heated.</w:t>
            </w:r>
          </w:p>
        </w:tc>
      </w:tr>
      <w:tr>
        <w:tc>
          <w:tcPr>
            <w:tcW w:type="dxa" w:w="1199"/>
            <w:shd w:val="clear" w:color="auto" w:fill="D5E8F0"/>
            <w:vAlign w:val="top"/>
          </w:tcPr>
          <w:p>
            <w:pPr>
              <w:spacing w:before="40" w:after="40"/>
              <w:jc w:val="left"/>
            </w:pPr>
            <w:r>
              <w:rPr>
                <w:rFonts w:ascii="Arial" w:hAnsi="Arial"/>
                <w:b/>
                <w:i w:val="0"/>
                <w:color w:val="000000"/>
                <w:sz w:val="18"/>
              </w:rPr>
              <w:t>Lesson 4: Thermal Expansion in Liquids</w:t>
            </w:r>
          </w:p>
        </w:tc>
        <w:tc>
          <w:tcPr>
            <w:tcW w:type="dxa" w:w="3120"/>
            <w:shd w:val="clear" w:color="auto" w:fill="F2F2F2"/>
            <w:vAlign w:val="top"/>
          </w:tcPr>
          <w:p>
            <w:pPr>
              <w:spacing w:before="20" w:after="20"/>
              <w:jc w:val="left"/>
            </w:pPr>
            <w:r>
              <w:rPr>
                <w:rFonts w:ascii="Arial" w:hAnsi="Arial"/>
                <w:b w:val="0"/>
                <w:i w:val="0"/>
                <w:color w:val="000000"/>
                <w:sz w:val="18"/>
              </w:rPr>
              <w:t>Observed coloured water and alcohol rising in thin glass tubes when heated. Compared expansion rates of different liquids. Investigated how liquid thermometers work using expansion principles.</w:t>
            </w:r>
          </w:p>
        </w:tc>
        <w:tc>
          <w:tcPr>
            <w:tcW w:type="dxa" w:w="3120"/>
            <w:shd w:val="clear" w:color="auto" w:fill="F2F2F2"/>
            <w:vAlign w:val="top"/>
          </w:tcPr>
          <w:p>
            <w:pPr>
              <w:spacing w:before="20" w:after="20"/>
              <w:jc w:val="left"/>
            </w:pPr>
            <w:r>
              <w:rPr>
                <w:rFonts w:ascii="Arial" w:hAnsi="Arial"/>
                <w:b w:val="0"/>
                <w:i w:val="0"/>
                <w:color w:val="000000"/>
                <w:sz w:val="18"/>
              </w:rPr>
              <w:t>Liquids expand more than solids for the same temperature rise because their particles are free to move further apart. This is why liquid-in-glass thermometers work — the liquid expands up the calibrated tube. Different liquids have different expansion rates.</w:t>
            </w:r>
          </w:p>
        </w:tc>
        <w:tc>
          <w:tcPr>
            <w:tcW w:type="dxa" w:w="3120"/>
            <w:shd w:val="clear" w:color="auto" w:fill="F2F2F2"/>
            <w:vAlign w:val="top"/>
          </w:tcPr>
          <w:p>
            <w:pPr>
              <w:spacing w:before="20" w:after="20"/>
              <w:jc w:val="left"/>
            </w:pPr>
            <w:r>
              <w:rPr>
                <w:rFonts w:ascii="Arial" w:hAnsi="Arial"/>
                <w:b w:val="0"/>
                <w:i w:val="0"/>
                <w:color w:val="000000"/>
                <w:sz w:val="18"/>
              </w:rPr>
              <w:t>Liquids also expand when heated. The water in the glass bottle was a liquid when placed in the freezer. As it cooled, it first contracted slightly (normal liquid behaviour) before eventually freezing. The expansion happened when it froze — this is the anomaly we need to investigate.</w:t>
            </w:r>
          </w:p>
        </w:tc>
        <w:tc>
          <w:tcPr>
            <w:tcW w:type="dxa" w:w="3120"/>
            <w:shd w:val="clear" w:color="auto" w:fill="EAD1F5"/>
            <w:vAlign w:val="top"/>
          </w:tcPr>
          <w:p>
            <w:pPr>
              <w:spacing w:before="20" w:after="20"/>
              <w:jc w:val="left"/>
            </w:pPr>
            <w:r>
              <w:rPr>
                <w:rFonts w:ascii="Arial" w:hAnsi="Arial"/>
                <w:b w:val="0"/>
                <w:i w:val="0"/>
                <w:color w:val="000000"/>
                <w:sz w:val="18"/>
              </w:rPr>
              <w:t>DQB Updated: Added 'Do liquids expand the same as solids?' Answered — liquids expand more.</w:t>
            </w:r>
          </w:p>
          <w:p>
            <w:pPr>
              <w:spacing w:before="20" w:after="20"/>
              <w:jc w:val="left"/>
            </w:pPr>
            <w:r>
              <w:rPr>
                <w:rFonts w:ascii="Arial" w:hAnsi="Arial"/>
                <w:b w:val="0"/>
                <w:i w:val="0"/>
                <w:color w:val="000000"/>
                <w:sz w:val="18"/>
              </w:rPr>
              <w:t>Model Revised: Added liquid expansion diagram showing particles spreading out more freely than solids.</w:t>
            </w:r>
          </w:p>
        </w:tc>
      </w:tr>
      <w:tr>
        <w:tc>
          <w:tcPr>
            <w:tcW w:type="dxa" w:w="1199"/>
            <w:shd w:val="clear" w:color="auto" w:fill="D5E8F0"/>
            <w:vAlign w:val="top"/>
          </w:tcPr>
          <w:p>
            <w:pPr>
              <w:spacing w:before="40" w:after="40"/>
              <w:jc w:val="left"/>
            </w:pPr>
            <w:r>
              <w:rPr>
                <w:rFonts w:ascii="Arial" w:hAnsi="Arial"/>
                <w:b/>
                <w:i w:val="0"/>
                <w:color w:val="000000"/>
                <w:sz w:val="18"/>
              </w:rPr>
              <w:t>Lesson 5: Anomalous Expansion of Water</w:t>
            </w:r>
          </w:p>
        </w:tc>
        <w:tc>
          <w:tcPr>
            <w:tcW w:type="dxa" w:w="3120"/>
            <w:shd w:val="clear" w:color="auto" w:fill="FFFFFF"/>
            <w:vAlign w:val="top"/>
          </w:tcPr>
          <w:p>
            <w:pPr>
              <w:spacing w:before="20" w:after="20"/>
              <w:jc w:val="left"/>
            </w:pPr>
            <w:r>
              <w:rPr>
                <w:rFonts w:ascii="Arial" w:hAnsi="Arial"/>
                <w:b w:val="0"/>
                <w:i w:val="0"/>
                <w:color w:val="000000"/>
                <w:sz w:val="18"/>
              </w:rPr>
              <w:t>Investigated the density of water at different temperatures. Observed ice floating on water. Studied hydrogen bonding and hexagonal ice crystal structure models.</w:t>
            </w:r>
          </w:p>
        </w:tc>
        <w:tc>
          <w:tcPr>
            <w:tcW w:type="dxa" w:w="3120"/>
            <w:shd w:val="clear" w:color="auto" w:fill="FFFFFF"/>
            <w:vAlign w:val="top"/>
          </w:tcPr>
          <w:p>
            <w:pPr>
              <w:spacing w:before="20" w:after="20"/>
              <w:jc w:val="left"/>
            </w:pPr>
            <w:r>
              <w:rPr>
                <w:rFonts w:ascii="Arial" w:hAnsi="Arial"/>
                <w:b w:val="0"/>
                <w:i w:val="0"/>
                <w:color w:val="000000"/>
                <w:sz w:val="18"/>
              </w:rPr>
              <w:t>Water is anomalous: it is densest at 4°C and EXPANDS when cooling from 4°C to 0°C. When water freezes, hydrogen bonds form a hexagonal lattice with MORE space than liquid water — so ice is less dense than water and expands by ~9%.</w:t>
            </w:r>
          </w:p>
        </w:tc>
        <w:tc>
          <w:tcPr>
            <w:tcW w:type="dxa" w:w="3120"/>
            <w:shd w:val="clear" w:color="auto" w:fill="FFFFFF"/>
            <w:vAlign w:val="top"/>
          </w:tcPr>
          <w:p>
            <w:pPr>
              <w:spacing w:before="20" w:after="20"/>
              <w:jc w:val="left"/>
            </w:pPr>
            <w:r>
              <w:rPr>
                <w:rFonts w:ascii="Arial" w:hAnsi="Arial"/>
                <w:b w:val="0"/>
                <w:i w:val="0"/>
                <w:color w:val="000000"/>
                <w:sz w:val="18"/>
              </w:rPr>
              <w:t>MYSTERY SOLVED for the frozen bottle: water expands ~9% when it freezes due to hydrogen bond hexagonal lattice formation. A bottle completely full of water had no room for this expansion — the outward force cracked the glass. This is anomalous — most substances contract when freezing!</w:t>
            </w:r>
          </w:p>
        </w:tc>
        <w:tc>
          <w:tcPr>
            <w:tcW w:type="dxa" w:w="3120"/>
            <w:shd w:val="clear" w:color="auto" w:fill="EAD1F5"/>
            <w:vAlign w:val="top"/>
          </w:tcPr>
          <w:p>
            <w:pPr>
              <w:spacing w:before="20" w:after="20"/>
              <w:jc w:val="left"/>
            </w:pPr>
            <w:r>
              <w:rPr>
                <w:rFonts w:ascii="Arial" w:hAnsi="Arial"/>
                <w:b w:val="0"/>
                <w:i w:val="0"/>
                <w:color w:val="000000"/>
                <w:sz w:val="18"/>
              </w:rPr>
              <w:t>DQB Updated: Answered 'Why did the glass bottle crack?' Water expands (anomalously) on freezing.</w:t>
            </w:r>
          </w:p>
          <w:p>
            <w:pPr>
              <w:spacing w:before="20" w:after="20"/>
              <w:jc w:val="left"/>
            </w:pPr>
            <w:r>
              <w:rPr>
                <w:rFonts w:ascii="Arial" w:hAnsi="Arial"/>
                <w:b w:val="0"/>
                <w:i w:val="0"/>
                <w:color w:val="000000"/>
                <w:sz w:val="18"/>
              </w:rPr>
              <w:t>Model Revised: Hydrogen bond hexagonal ice structure drawn. Water anomaly explained at molecular level.</w:t>
            </w:r>
          </w:p>
        </w:tc>
      </w:tr>
      <w:tr>
        <w:tc>
          <w:tcPr>
            <w:tcW w:type="dxa" w:w="1199"/>
            <w:shd w:val="clear" w:color="auto" w:fill="D5E8F0"/>
            <w:vAlign w:val="top"/>
          </w:tcPr>
          <w:p>
            <w:pPr>
              <w:spacing w:before="40" w:after="40"/>
              <w:jc w:val="left"/>
            </w:pPr>
            <w:r>
              <w:rPr>
                <w:rFonts w:ascii="Arial" w:hAnsi="Arial"/>
                <w:b/>
                <w:i w:val="0"/>
                <w:color w:val="000000"/>
                <w:sz w:val="18"/>
              </w:rPr>
              <w:t>Lesson 6: Engineering Applications and Design Challenge</w:t>
            </w:r>
          </w:p>
        </w:tc>
        <w:tc>
          <w:tcPr>
            <w:tcW w:type="dxa" w:w="3120"/>
            <w:shd w:val="clear" w:color="auto" w:fill="F2F2F2"/>
            <w:vAlign w:val="top"/>
          </w:tcPr>
          <w:p>
            <w:pPr>
              <w:spacing w:before="20" w:after="20"/>
              <w:jc w:val="left"/>
            </w:pPr>
            <w:r>
              <w:rPr>
                <w:rFonts w:ascii="Arial" w:hAnsi="Arial"/>
                <w:b w:val="0"/>
                <w:i w:val="0"/>
                <w:color w:val="000000"/>
                <w:sz w:val="18"/>
              </w:rPr>
              <w:t>Investigated expansion joints on bridges and railway tracks. Studied bimetallic strip bending. Designed a solution to a thermal expansion engineering problem (e.g. railway track joint).</w:t>
            </w:r>
          </w:p>
        </w:tc>
        <w:tc>
          <w:tcPr>
            <w:tcW w:type="dxa" w:w="3120"/>
            <w:shd w:val="clear" w:color="auto" w:fill="F2F2F2"/>
            <w:vAlign w:val="top"/>
          </w:tcPr>
          <w:p>
            <w:pPr>
              <w:spacing w:before="20" w:after="20"/>
              <w:jc w:val="left"/>
            </w:pPr>
            <w:r>
              <w:rPr>
                <w:rFonts w:ascii="Arial" w:hAnsi="Arial"/>
                <w:b w:val="0"/>
                <w:i w:val="0"/>
                <w:color w:val="000000"/>
                <w:sz w:val="18"/>
              </w:rPr>
              <w:t>Engineers must account for thermal expansion in all structures. Expansion joints allow materials to expand and contract safely. Bimetallic strips (two metals with different expansion rates) bend when heated — used in thermostats, fire alarms, and circuit breakers.</w:t>
            </w:r>
          </w:p>
        </w:tc>
        <w:tc>
          <w:tcPr>
            <w:tcW w:type="dxa" w:w="3120"/>
            <w:shd w:val="clear" w:color="auto" w:fill="F2F2F2"/>
            <w:vAlign w:val="top"/>
          </w:tcPr>
          <w:p>
            <w:pPr>
              <w:spacing w:before="20" w:after="20"/>
              <w:jc w:val="left"/>
            </w:pPr>
            <w:r>
              <w:rPr>
                <w:rFonts w:ascii="Arial" w:hAnsi="Arial"/>
                <w:b w:val="0"/>
                <w:i w:val="0"/>
                <w:color w:val="000000"/>
                <w:sz w:val="18"/>
              </w:rPr>
              <w:t>The cracked bottle represents a failure to account for thermal expansion (water expanding on freezing). Engineers prevent similar failures: expansion joints in SGR railway tracks, flexible PET water bottles, gap-fitted mabati roofing, bridge deck joints on the Thika Superhighway.</w:t>
            </w:r>
          </w:p>
        </w:tc>
        <w:tc>
          <w:tcPr>
            <w:tcW w:type="dxa" w:w="3120"/>
            <w:shd w:val="clear" w:color="auto" w:fill="EAD1F5"/>
            <w:vAlign w:val="top"/>
          </w:tcPr>
          <w:p>
            <w:pPr>
              <w:spacing w:before="20" w:after="20"/>
              <w:jc w:val="left"/>
            </w:pPr>
            <w:r>
              <w:rPr>
                <w:rFonts w:ascii="Arial" w:hAnsi="Arial"/>
                <w:b w:val="0"/>
                <w:i w:val="0"/>
                <w:color w:val="000000"/>
                <w:sz w:val="18"/>
              </w:rPr>
              <w:t>DQB Completed: Answered driving question — materials change size because particles move more at higher temperatures; engineers use expansion joints, bimetallic strips, and flexible materials to keep structures safe.</w:t>
            </w:r>
          </w:p>
          <w:p>
            <w:pPr>
              <w:spacing w:before="20" w:after="20"/>
              <w:jc w:val="left"/>
            </w:pPr>
            <w:r>
              <w:rPr>
                <w:rFonts w:ascii="Arial" w:hAnsi="Arial"/>
                <w:b w:val="0"/>
                <w:i w:val="0"/>
                <w:color w:val="000000"/>
                <w:sz w:val="18"/>
              </w:rPr>
              <w:t>Final Model: Complete model explaining thermal expansion in solids and liquids, including water's anomalous behavior, with engineering applications.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7030A0"/>
          </w:tcPr>
          <w:p>
            <w:pPr>
              <w:spacing w:before="40" w:after="40"/>
              <w:jc w:val="left"/>
            </w:pPr>
            <w:r>
              <w:rPr>
                <w:rFonts w:ascii="Arial" w:hAnsi="Arial"/>
                <w:b/>
                <w:i w:val="0"/>
                <w:color w:val="FFFFFF"/>
                <w:sz w:val="22"/>
              </w:rPr>
              <w:t>DQB AND MODEL TRACKING GUIDE</w:t>
            </w:r>
          </w:p>
        </w:tc>
      </w:tr>
      <w:tr>
        <w:tc>
          <w:tcPr>
            <w:tcW w:type="dxa" w:w="13680"/>
            <w:shd w:val="clear" w:color="auto" w:fill="FFFFFF"/>
          </w:tcPr>
          <w:p>
            <w:pPr>
              <w:spacing w:before="20" w:after="20"/>
              <w:jc w:val="left"/>
            </w:pPr>
            <w:r>
              <w:rPr>
                <w:rFonts w:ascii="Arial" w:hAnsi="Arial"/>
                <w:b/>
                <w:i w:val="0"/>
                <w:color w:val="000000"/>
                <w:sz w:val="18"/>
              </w:rPr>
              <w:t>Driving Question Board (DQB) Progression:</w:t>
            </w:r>
          </w:p>
          <w:p>
            <w:pPr>
              <w:spacing w:before="20" w:after="20"/>
              <w:ind w:left="240"/>
              <w:jc w:val="left"/>
            </w:pPr>
            <w:r>
              <w:rPr>
                <w:rFonts w:ascii="Arial" w:hAnsi="Arial"/>
                <w:b w:val="0"/>
                <w:i w:val="0"/>
                <w:color w:val="000000"/>
                <w:sz w:val="18"/>
              </w:rPr>
              <w:t>• Lesson 1: DQB Started — Initial questions posted based on anchoring phenomena</w:t>
            </w:r>
          </w:p>
          <w:p>
            <w:pPr>
              <w:spacing w:before="20" w:after="20"/>
              <w:ind w:left="240"/>
              <w:jc w:val="left"/>
            </w:pPr>
            <w:r>
              <w:rPr>
                <w:rFonts w:ascii="Arial" w:hAnsi="Arial"/>
                <w:b w:val="0"/>
                <w:i w:val="0"/>
                <w:color w:val="000000"/>
                <w:sz w:val="18"/>
              </w:rPr>
              <w:t>• Lessons 2–5: DQB Updated — Questions answered, new questions added, ideas refined</w:t>
            </w:r>
          </w:p>
          <w:p>
            <w:pPr>
              <w:spacing w:before="20" w:after="20"/>
              <w:ind w:left="240"/>
              <w:jc w:val="left"/>
            </w:pPr>
            <w:r>
              <w:rPr>
                <w:rFonts w:ascii="Arial" w:hAnsi="Arial"/>
                <w:b w:val="0"/>
                <w:i w:val="0"/>
                <w:color w:val="000000"/>
                <w:sz w:val="18"/>
              </w:rPr>
              <w:t>• Lesson 6: DQB Completed — Driving question fully answered with evidence-based explanation</w:t>
            </w:r>
          </w:p>
          <w:p>
            <w:pPr>
              <w:spacing w:before="20" w:after="20"/>
              <w:jc w:val="left"/>
            </w:pPr>
            <w:r>
              <w:rPr>
                <w:rFonts w:ascii="Arial" w:hAnsi="Arial"/>
                <w:b/>
                <w:i w:val="0"/>
                <w:color w:val="000000"/>
                <w:sz w:val="18"/>
              </w:rPr>
              <w:t>Scientific Model Progression:</w:t>
            </w:r>
          </w:p>
          <w:p>
            <w:pPr>
              <w:spacing w:before="20" w:after="20"/>
              <w:ind w:left="240"/>
              <w:jc w:val="left"/>
            </w:pPr>
            <w:r>
              <w:rPr>
                <w:rFonts w:ascii="Arial" w:hAnsi="Arial"/>
                <w:b w:val="0"/>
                <w:i w:val="0"/>
                <w:color w:val="000000"/>
                <w:sz w:val="18"/>
              </w:rPr>
              <w:t>• Lesson 1: Initial Model — Basic particle representation of solids, liquids, and gases</w:t>
            </w:r>
          </w:p>
          <w:p>
            <w:pPr>
              <w:spacing w:before="20" w:after="20"/>
              <w:ind w:left="240"/>
              <w:jc w:val="left"/>
            </w:pPr>
            <w:r>
              <w:rPr>
                <w:rFonts w:ascii="Arial" w:hAnsi="Arial"/>
                <w:b w:val="0"/>
                <w:i w:val="0"/>
                <w:color w:val="000000"/>
                <w:sz w:val="18"/>
              </w:rPr>
              <w:t>• Lessons 2–5: Model Revised — Adding detail about particle motion, energy, spacing, and material-specific behavior</w:t>
            </w:r>
          </w:p>
          <w:p>
            <w:pPr>
              <w:spacing w:before="20" w:after="20"/>
              <w:ind w:left="240"/>
              <w:jc w:val="left"/>
            </w:pPr>
            <w:r>
              <w:rPr>
                <w:rFonts w:ascii="Arial" w:hAnsi="Arial"/>
                <w:b w:val="0"/>
                <w:i w:val="0"/>
                <w:color w:val="000000"/>
                <w:sz w:val="18"/>
              </w:rPr>
              <w:t>• Lesson 6: Final Model — Complete model explaining thermal expansion in solids and liquids, including water’s anomalous behavior, with applications to real-world engineering</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END-OF-UNIT REFLECTION QUESTIONS</w:t>
            </w:r>
          </w:p>
        </w:tc>
      </w:tr>
      <w:tr>
        <w:tc>
          <w:tcPr>
            <w:tcW w:type="dxa" w:w="13680"/>
            <w:shd w:val="clear" w:color="auto" w:fill="FFFFFF"/>
          </w:tcPr>
          <w:p>
            <w:pPr>
              <w:spacing w:before="20" w:after="20"/>
              <w:jc w:val="left"/>
            </w:pPr>
            <w:r>
              <w:rPr>
                <w:rFonts w:ascii="Arial" w:hAnsi="Arial"/>
                <w:b w:val="0"/>
                <w:i w:val="0"/>
                <w:color w:val="000000"/>
                <w:sz w:val="18"/>
              </w:rPr>
              <w:t>After completing the Summary Table, respond to the following questions in your science notebook:</w:t>
            </w:r>
          </w:p>
          <w:p>
            <w:pPr>
              <w:spacing w:before="20" w:after="20"/>
              <w:jc w:val="left"/>
            </w:pPr>
            <w:r>
              <w:rPr>
                <w:rFonts w:ascii="Arial" w:hAnsi="Arial"/>
                <w:b w:val="0"/>
                <w:i w:val="0"/>
                <w:color w:val="000000"/>
                <w:sz w:val="18"/>
              </w:rPr>
              <w:t>Conceptual Connection: How does the particle model of matter help explain why materials expand when heated? Use evidence from at least two lessons.</w:t>
            </w:r>
          </w:p>
          <w:p>
            <w:pPr>
              <w:spacing w:before="20" w:after="20"/>
              <w:jc w:val="left"/>
            </w:pPr>
            <w:r>
              <w:rPr>
                <w:rFonts w:ascii="Arial" w:hAnsi="Arial"/>
                <w:b w:val="0"/>
                <w:i w:val="0"/>
                <w:color w:val="000000"/>
                <w:sz w:val="18"/>
              </w:rPr>
              <w:t>Phenomenon Explanation: Write a complete scientific explanation for either the sufuria lid or the frozen bottle phenomenon. Include:</w:t>
            </w:r>
          </w:p>
          <w:p>
            <w:pPr>
              <w:spacing w:before="20" w:after="20"/>
              <w:ind w:left="240"/>
              <w:jc w:val="left"/>
            </w:pPr>
            <w:r>
              <w:rPr>
                <w:rFonts w:ascii="Arial" w:hAnsi="Arial"/>
                <w:b w:val="0"/>
                <w:i w:val="0"/>
                <w:color w:val="000000"/>
                <w:sz w:val="18"/>
              </w:rPr>
              <w:t>• Claim (what happens and why)</w:t>
            </w:r>
          </w:p>
          <w:p>
            <w:pPr>
              <w:spacing w:before="20" w:after="20"/>
              <w:ind w:left="240"/>
              <w:jc w:val="left"/>
            </w:pPr>
            <w:r>
              <w:rPr>
                <w:rFonts w:ascii="Arial" w:hAnsi="Arial"/>
                <w:b w:val="0"/>
                <w:i w:val="0"/>
                <w:color w:val="000000"/>
                <w:sz w:val="18"/>
              </w:rPr>
              <w:t>• Evidence (observations and data from lessons)</w:t>
            </w:r>
          </w:p>
          <w:p>
            <w:pPr>
              <w:spacing w:before="20" w:after="20"/>
              <w:ind w:left="240"/>
              <w:jc w:val="left"/>
            </w:pPr>
            <w:r>
              <w:rPr>
                <w:rFonts w:ascii="Arial" w:hAnsi="Arial"/>
                <w:b w:val="0"/>
                <w:i w:val="0"/>
                <w:color w:val="000000"/>
                <w:sz w:val="18"/>
              </w:rPr>
              <w:t>• Reasoning (how the evidence supports your claim using scientific principles)</w:t>
            </w:r>
          </w:p>
          <w:p>
            <w:pPr>
              <w:spacing w:before="20" w:after="20"/>
              <w:jc w:val="left"/>
            </w:pPr>
            <w:r>
              <w:rPr>
                <w:rFonts w:ascii="Arial" w:hAnsi="Arial"/>
                <w:b w:val="0"/>
                <w:i w:val="0"/>
                <w:color w:val="000000"/>
                <w:sz w:val="18"/>
              </w:rPr>
              <w:t>Cross-Cutting Concepts: Identify at least two patterns you noticed across different lessons (e.g., patterns in how solids vs. liquids expand, patterns in material behavior).</w:t>
            </w:r>
          </w:p>
          <w:p>
            <w:pPr>
              <w:spacing w:before="20" w:after="20"/>
              <w:jc w:val="left"/>
            </w:pPr>
            <w:r>
              <w:rPr>
                <w:rFonts w:ascii="Arial" w:hAnsi="Arial"/>
                <w:b w:val="0"/>
                <w:i w:val="0"/>
                <w:color w:val="000000"/>
                <w:sz w:val="18"/>
              </w:rPr>
              <w:t>Engineering Connection: Choose one engineering application of thermal expansion you learned about. Explain the problem engineers faced and how understanding thermal expansion helped them design a solution.</w:t>
            </w:r>
          </w:p>
          <w:p>
            <w:pPr>
              <w:spacing w:before="20" w:after="20"/>
              <w:jc w:val="left"/>
            </w:pPr>
            <w:r>
              <w:rPr>
                <w:rFonts w:ascii="Arial" w:hAnsi="Arial"/>
                <w:b w:val="0"/>
                <w:i w:val="0"/>
                <w:color w:val="000000"/>
                <w:sz w:val="18"/>
              </w:rPr>
              <w:t>Metacognition: Which lesson or activity helped you understand thermal expansion most clearly? Why was it effective for your learning?</w:t>
            </w:r>
          </w:p>
          <w:p>
            <w:pPr>
              <w:spacing w:before="20" w:after="20"/>
              <w:jc w:val="left"/>
            </w:pPr>
            <w:r>
              <w:rPr>
                <w:rFonts w:ascii="Arial" w:hAnsi="Arial"/>
                <w:b w:val="0"/>
                <w:i w:val="0"/>
                <w:color w:val="000000"/>
                <w:sz w:val="18"/>
              </w:rPr>
              <w:t>Lingering Questions: What questions do you still have about temperature, heat, or thermal expansion? What would you like to investigate further?</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3864"/>
          </w:tcPr>
          <w:p>
            <w:pPr>
              <w:spacing w:before="40" w:after="40"/>
              <w:jc w:val="left"/>
            </w:pPr>
            <w:r>
              <w:rPr>
                <w:rFonts w:ascii="Arial" w:hAnsi="Arial"/>
                <w:b/>
                <w:i w:val="0"/>
                <w:color w:val="FFFFFF"/>
                <w:sz w:val="22"/>
              </w:rPr>
              <w:t>TEACHER NOTES: FORMATIVE USE OF THIS TABLE</w:t>
            </w:r>
          </w:p>
        </w:tc>
      </w:tr>
      <w:tr>
        <w:tc>
          <w:tcPr>
            <w:tcW w:type="dxa" w:w="13680"/>
            <w:shd w:val="clear" w:color="auto" w:fill="FFFFFF"/>
          </w:tcPr>
          <w:p>
            <w:pPr>
              <w:spacing w:before="20" w:after="20"/>
              <w:jc w:val="left"/>
            </w:pPr>
            <w:r>
              <w:rPr>
                <w:rFonts w:ascii="Arial" w:hAnsi="Arial"/>
                <w:b/>
                <w:i w:val="0"/>
                <w:color w:val="000000"/>
                <w:sz w:val="18"/>
              </w:rPr>
              <w:t>Purpose and Pedagogical Framework:</w:t>
            </w:r>
          </w:p>
          <w:p>
            <w:pPr>
              <w:spacing w:before="20" w:after="20"/>
              <w:jc w:val="left"/>
            </w:pPr>
            <w:r>
              <w:rPr>
                <w:rFonts w:ascii="Arial" w:hAnsi="Arial"/>
                <w:b w:val="0"/>
                <w:i w:val="0"/>
                <w:color w:val="000000"/>
                <w:sz w:val="18"/>
              </w:rPr>
              <w:t>This Summary Table is designed as a formative assessment tool aligned with three-dimensional learning (NGSS-style framework adaptable to various curricula). It makes student thinking visible across a multi-lesson learning progression and supports: - Coherence: Students see connections between lessons and build toward answering the driving question - Sensemaking: Students actively construct explanations rather than passively receiving information - Equity: All students have a structured way to organize and express their learning</w:t>
            </w:r>
          </w:p>
          <w:p>
            <w:pPr>
              <w:spacing w:before="20" w:after="20"/>
              <w:jc w:val="left"/>
            </w:pPr>
            <w:r>
              <w:rPr>
                <w:rFonts w:ascii="Arial" w:hAnsi="Arial"/>
                <w:b/>
                <w:i w:val="0"/>
                <w:color w:val="000000"/>
                <w:sz w:val="18"/>
              </w:rPr>
              <w:t>Formative Assessment Opportunities:</w:t>
            </w:r>
          </w:p>
          <w:p>
            <w:pPr>
              <w:spacing w:before="20" w:after="20"/>
              <w:jc w:val="left"/>
            </w:pPr>
            <w:r>
              <w:rPr>
                <w:rFonts w:ascii="Arial" w:hAnsi="Arial"/>
                <w:b w:val="0"/>
                <w:i w:val="0"/>
                <w:color w:val="000000"/>
                <w:sz w:val="18"/>
              </w:rPr>
              <w:t>1. Monitor Conceptual Development: - Column 3 (What did I learn?): Check for accurate use of scientific vocabulary and conceptual understanding. Common misconceptions to watch for: - Confusing heat and temperature - Thinking particles themselves expand (rather than spacing increasing) - Believing all materials expand equally - Not recognizing water’s anomalous behavior</w:t>
            </w:r>
          </w:p>
          <w:p>
            <w:pPr>
              <w:spacing w:before="20" w:after="20"/>
              <w:jc w:val="left"/>
            </w:pPr>
            <w:r>
              <w:rPr>
                <w:rFonts w:ascii="Arial" w:hAnsi="Arial"/>
                <w:b w:val="0"/>
                <w:i w:val="0"/>
                <w:color w:val="000000"/>
                <w:sz w:val="18"/>
              </w:rPr>
              <w:t>2. Assess Three-Dimensional Learning: - Science and Engineering Practices (SEPs): Column 2 reveals engagement with investigations, data collection, and observations - Disciplinary Core Ideas (DCIs): Column 3 shows understanding of thermal energy, particle motion, and material properties - Crosscutting Concepts (CCCs): Column 4 demonstrates cause-and-effect reasoning, patterns, and scale/proportion thinking</w:t>
            </w:r>
          </w:p>
          <w:p>
            <w:pPr>
              <w:spacing w:before="20" w:after="20"/>
              <w:jc w:val="left"/>
            </w:pPr>
            <w:r>
              <w:rPr>
                <w:rFonts w:ascii="Arial" w:hAnsi="Arial"/>
                <w:b w:val="0"/>
                <w:i w:val="0"/>
                <w:color w:val="000000"/>
                <w:sz w:val="18"/>
              </w:rPr>
              <w:t>3. Track Model-Based Reasoning: - Column 5 (Model Update): Review student model revisions to assess: - Increasing sophistication (from simple to detailed particle representations) - Incorporation of new evidence - Use of models as explanatory tools (not just drawings)</w:t>
            </w:r>
          </w:p>
          <w:p>
            <w:pPr>
              <w:spacing w:before="20" w:after="20"/>
              <w:jc w:val="left"/>
            </w:pPr>
            <w:r>
              <w:rPr>
                <w:rFonts w:ascii="Arial" w:hAnsi="Arial"/>
                <w:b w:val="0"/>
                <w:i w:val="0"/>
                <w:color w:val="000000"/>
                <w:sz w:val="18"/>
              </w:rPr>
              <w:t>4. Identify Students Needing Support: - Incomplete or vague entries: May indicate absence, confusion, or language barriers - Persistent misconceptions: Require targeted intervention or re-teaching - Lack of connection to phenomena (Column 4): Student may be learning facts without sensemaking</w:t>
            </w:r>
          </w:p>
          <w:p>
            <w:pPr>
              <w:spacing w:before="20" w:after="20"/>
              <w:jc w:val="left"/>
            </w:pPr>
            <w:r>
              <w:rPr>
                <w:rFonts w:ascii="Arial" w:hAnsi="Arial"/>
                <w:b/>
                <w:i w:val="0"/>
                <w:color w:val="000000"/>
                <w:sz w:val="18"/>
              </w:rPr>
              <w:t>Instructional Strategies:</w:t>
            </w:r>
          </w:p>
          <w:p>
            <w:pPr>
              <w:spacing w:before="20" w:after="20"/>
              <w:jc w:val="left"/>
            </w:pPr>
            <w:r>
              <w:rPr>
                <w:rFonts w:ascii="Arial" w:hAnsi="Arial"/>
                <w:b w:val="0"/>
                <w:i w:val="0"/>
                <w:color w:val="000000"/>
                <w:sz w:val="18"/>
              </w:rPr>
              <w:t>During the Unit: - Lesson closure routine: Reserve 8–10 minutes at the end of each lesson for students to complete the corresponding row - Peer review: Have students exchange tables and provide feedback using a simple protocol (“One thing that’s clear + one question”) - Gallery walk: Post selected student entries (with permission) to highlight strong explanations or interesting questions - Just-in-time support: Circulate while students complete entries; provide scaffolding questions for struggling students</w:t>
            </w:r>
          </w:p>
          <w:p>
            <w:pPr>
              <w:spacing w:before="20" w:after="20"/>
              <w:jc w:val="left"/>
            </w:pPr>
            <w:r>
              <w:rPr>
                <w:rFonts w:ascii="Arial" w:hAnsi="Arial"/>
                <w:b w:val="0"/>
                <w:i w:val="0"/>
                <w:color w:val="000000"/>
                <w:sz w:val="18"/>
              </w:rPr>
              <w:t>Differentiation: - Emerging learners: Provide sentence frames for Columns 3 and 4 (e.g., “When temperature increases, particles _____ because _____.”) - Advanced learners: Challenge them to include quantitative reasoning (e.g., calculate expansion using α values) or compare multiple materials - Multilingual learners: Allow use of home language alongside English; encourage labeled diagrams in Column 5</w:t>
            </w:r>
          </w:p>
          <w:p>
            <w:pPr>
              <w:spacing w:before="20" w:after="20"/>
              <w:jc w:val="left"/>
            </w:pPr>
            <w:r>
              <w:rPr>
                <w:rFonts w:ascii="Arial" w:hAnsi="Arial"/>
                <w:b w:val="0"/>
                <w:i w:val="0"/>
                <w:color w:val="000000"/>
                <w:sz w:val="18"/>
              </w:rPr>
              <w:t>End-of-Unit Use: - Self-assessment: Students review their complete table and reflection questions before summative assessment - Grading evidence: Use completed tables as part of formative grade or as evidence of learning progression (not as high-stakes assessment) - Parent communication: Tables provide concrete evidence of student learning to share at conferences</w:t>
            </w:r>
          </w:p>
          <w:p>
            <w:pPr>
              <w:spacing w:before="20" w:after="20"/>
              <w:jc w:val="left"/>
            </w:pPr>
            <w:r>
              <w:rPr>
                <w:rFonts w:ascii="Arial" w:hAnsi="Arial"/>
                <w:b/>
                <w:i w:val="0"/>
                <w:color w:val="000000"/>
                <w:sz w:val="18"/>
              </w:rPr>
              <w:t>Alignment with Summative Assessment:</w:t>
            </w:r>
          </w:p>
          <w:p>
            <w:pPr>
              <w:spacing w:before="20" w:after="20"/>
              <w:jc w:val="left"/>
            </w:pPr>
            <w:r>
              <w:rPr>
                <w:rFonts w:ascii="Arial" w:hAnsi="Arial"/>
                <w:b w:val="0"/>
                <w:i w:val="0"/>
                <w:color w:val="000000"/>
                <w:sz w:val="18"/>
              </w:rPr>
              <w:t>The completed Summary Table prepares students for summative tasks such as: - Written explanations of novel thermal expansion phenomena - Design challenges requiring application of thermal expansion principles - Model-based reasoning tasks (e.g., predict and explain behavior of new materials) - Transfer tasks (e.g., explain why thermometers work, why power lines sag in summer)</w:t>
            </w:r>
          </w:p>
          <w:p>
            <w:pPr>
              <w:spacing w:before="20" w:after="20"/>
              <w:jc w:val="left"/>
            </w:pPr>
            <w:r>
              <w:rPr>
                <w:rFonts w:ascii="Arial" w:hAnsi="Arial"/>
                <w:b/>
                <w:i w:val="0"/>
                <w:color w:val="000000"/>
                <w:sz w:val="18"/>
              </w:rPr>
              <w:t>Time Management:</w:t>
            </w:r>
          </w:p>
          <w:p>
            <w:pPr>
              <w:spacing w:before="20" w:after="20"/>
              <w:ind w:left="240"/>
              <w:jc w:val="left"/>
            </w:pPr>
            <w:r>
              <w:rPr>
                <w:rFonts w:ascii="Arial" w:hAnsi="Arial"/>
                <w:b w:val="0"/>
                <w:i w:val="0"/>
                <w:color w:val="000000"/>
                <w:sz w:val="18"/>
              </w:rPr>
              <w:t>• In-class completion: 8–10 minutes per lesson (total ~60 minutes across unit)</w:t>
            </w:r>
          </w:p>
          <w:p>
            <w:pPr>
              <w:spacing w:before="20" w:after="20"/>
              <w:ind w:left="240"/>
              <w:jc w:val="left"/>
            </w:pPr>
            <w:r>
              <w:rPr>
                <w:rFonts w:ascii="Arial" w:hAnsi="Arial"/>
                <w:b w:val="0"/>
                <w:i w:val="0"/>
                <w:color w:val="000000"/>
                <w:sz w:val="18"/>
              </w:rPr>
              <w:t>• Reflection questions: 20–30 minutes (can be homework or extended class activity)</w:t>
            </w:r>
          </w:p>
          <w:p>
            <w:pPr>
              <w:spacing w:before="20" w:after="20"/>
              <w:ind w:left="240"/>
              <w:jc w:val="left"/>
            </w:pPr>
            <w:r>
              <w:rPr>
                <w:rFonts w:ascii="Arial" w:hAnsi="Arial"/>
                <w:b w:val="0"/>
                <w:i w:val="0"/>
                <w:color w:val="000000"/>
                <w:sz w:val="18"/>
              </w:rPr>
              <w:t>• Teacher review: 2–3 minutes per student per lesson (or sample 5–6 students per lesson on rotation)</w:t>
            </w:r>
          </w:p>
          <w:p>
            <w:pPr>
              <w:spacing w:before="20" w:after="20"/>
              <w:jc w:val="left"/>
            </w:pPr>
            <w:r>
              <w:rPr>
                <w:rFonts w:ascii="Arial" w:hAnsi="Arial"/>
                <w:b w:val="0"/>
                <w:i w:val="0"/>
                <w:color w:val="000000"/>
                <w:sz w:val="18"/>
              </w:rPr>
              <w:t>Document Version: 1.0</w:t>
              <w:br/>
              <w:t>Created: April 2026</w:t>
              <w:br/>
              <w:t>Curriculum Alignment: Grade 10 Physics, Sub-Strand 1.4 (Temperature and Thermal Expansion)</w:t>
              <w:br/>
              <w:t>Framework: Phenomenon-based, three-dimensional learning with formative assessment integration</w:t>
            </w:r>
          </w:p>
        </w:tc>
      </w:tr>
    </w:tbl>
    <w:sectPr w:rsidR="00FC693F" w:rsidRPr="0006063C" w:rsidSect="00034616">
      <w:pgSz w:w="15840" w:h="122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