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i w:val="false"/>
          <w:iCs w:val="false"/>
          <w:color w:val="1F3864"/>
          <w:sz w:val="36"/>
          <w:szCs w:val="36"/>
        </w:rPr>
        <w:t xml:space="preserve">SUMMARY TABLE: BIOLOGY GRADE 10 — GASEOUS EXCHANGE AND RESPIRATION (PLANTS)</w:t>
      </w:r>
    </w:p>
    <w:p>
      <w:pPr>
        <w:spacing w:after="360" w:before="0"/>
        <w:jc w:val="left"/>
      </w:pPr>
      <w:r>
        <w:rPr>
          <w:rFonts w:ascii="Arial" w:cs="Arial" w:eastAsia="Arial" w:hAnsi="Arial"/>
          <w:b w:val="false"/>
          <w:bCs w:val="false"/>
          <w:i/>
          <w:iCs/>
          <w:color w:val="1F6B75"/>
          <w:sz w:val="22"/>
          <w:szCs w:val="22"/>
        </w:rPr>
        <w:t xml:space="preserve">Sub-Strand 2.3 — Teacher Reference (Lessons 1-6 Test Bundle)</w:t>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3200"/>
        <w:gridCol w:w="104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SUMMARY TABLE: BIOLOGY GRADE 10 — GASEOUS EXCHANGE AND RESPIRATION (PLANTS)</w:t>
            </w:r>
          </w:p>
        </w:tc>
      </w:tr>
      <w:tr>
        <w:tc>
          <w:tcPr>
            <w:tcW w:type="dxa" w:w="32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Sub-Strand</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2.3: Gaseous Exchange and Respiration (Plants)</w:t>
            </w:r>
          </w:p>
        </w:tc>
      </w:tr>
      <w:tr>
        <w:tc>
          <w:tcPr>
            <w:tcW w:type="dxa" w:w="3200"/>
            <w:tcBorders>
              <w:top w:val="single" w:color="808080" w:sz="4"/>
              <w:left w:val="single" w:color="808080" w:sz="4"/>
              <w:bottom w:val="single" w:color="808080" w:sz="4"/>
              <w:right w:val="single" w:color="808080" w:sz="4"/>
            </w:tcBorders>
            <w:shd w:fill="EAD1F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000000"/>
                <w:sz w:val="18"/>
                <w:szCs w:val="18"/>
              </w:rPr>
              <w:t xml:space="preserve">Driving Question</w:t>
            </w:r>
          </w:p>
        </w:tc>
        <w:tc>
          <w:tcPr>
            <w:tcW w:type="dxa" w:w="104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Why do leaves dipped in warm water produce bubbles, and what does this tell us about how plants breathe and live?</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INSTRUCTIONS</w:t>
            </w:r>
          </w:p>
        </w:tc>
      </w:tr>
      <w:tr>
        <w:tc>
          <w:tcPr>
            <w:tcW w:type="dxa" w:w="13680"/>
            <w:tcBorders>
              <w:top w:val="single" w:color="808080" w:sz="4"/>
              <w:left w:val="single" w:color="808080" w:sz="4"/>
              <w:bottom w:val="single" w:color="808080" w:sz="4"/>
              <w:right w:val="single" w:color="808080" w:sz="4"/>
            </w:tcBorders>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(with blank cells) can be derived from this template. Note: This is a 6-lesson test bundle. The full Summary Table for the 22-lesson sub-strand will include rows for respiration, fermentation, and synthesis lessons.</w:t>
            </w:r>
          </w:p>
        </w:tc>
      </w:tr>
    </w:tbl>
    <w:p>
      <w:pPr>
        <w:spacing w:after="80" w:before="0"/>
      </w:pPr>
      <w:r>
        <w:rPr>
          <w:rFonts w:ascii="Arial" w:cs="Arial" w:eastAsia="Arial" w:hAnsi="Arial"/>
          <w:b w:val="false"/>
          <w:bCs w:val="false"/>
          <w:i w:val="false"/>
          <w:iCs w:val="false"/>
          <w:color w:val="000000"/>
          <w:sz w:val="18"/>
          <w:szCs w:val="18"/>
        </w:rPr>
        <w:t xml:space="preserve"/>
      </w:r>
    </w:p>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3680"/>
      </w:tblGrid>
      <w:tr>
        <w:tc>
          <w:tcPr>
            <w:tcW w:type="dxa" w:w="13680"/>
            <w:gridSpan w:val="1"/>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FFFFFF"/>
                <w:sz w:val="22"/>
                <w:szCs w:val="22"/>
              </w:rPr>
              <w:t xml:space="preserve">LESSON-BY-LESSON SUMMARY TABLE</w:t>
            </w:r>
          </w:p>
        </w:tc>
      </w:tr>
    </w:tbl>
    <w:tbl>
      <w:tblPr>
        <w:tblW w:type="dxa" w:w="13680"/>
        <w:tblBorders>
          <w:top w:val="single" w:color="808080" w:sz="4"/>
          <w:left w:val="single" w:color="808080" w:sz="4"/>
          <w:bottom w:val="single" w:color="808080" w:sz="4"/>
          <w:right w:val="single" w:color="808080" w:sz="4"/>
          <w:insideH w:val="single" w:color="808080" w:sz="4"/>
          <w:insideV w:val="single" w:color="808080" w:sz="4"/>
        </w:tblBorders>
      </w:tblPr>
      <w:tblGrid>
        <w:gridCol w:w="1800"/>
        <w:gridCol w:w="3360"/>
        <w:gridCol w:w="3360"/>
        <w:gridCol w:w="3360"/>
        <w:gridCol w:w="1800"/>
      </w:tblGrid>
      <w:tr>
        <w:trPr>
          <w:tblHeader/>
        </w:trPr>
        <w:tc>
          <w:tcPr>
            <w:tcW w:type="dxa" w:w="1800"/>
            <w:tcBorders>
              <w:top w:val="single" w:color="808080" w:sz="4"/>
              <w:left w:val="single" w:color="808080" w:sz="4"/>
              <w:bottom w:val="single" w:color="808080" w:sz="4"/>
              <w:right w:val="single" w:color="808080" w:sz="4"/>
            </w:tcBorders>
            <w:shd w:fill="1F3864"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Lesson # and Title</w:t>
            </w:r>
          </w:p>
        </w:tc>
        <w:tc>
          <w:tcPr>
            <w:tcW w:type="dxa" w:w="3360"/>
            <w:tcBorders>
              <w:top w:val="single" w:color="808080" w:sz="4"/>
              <w:left w:val="single" w:color="808080" w:sz="4"/>
              <w:bottom w:val="single" w:color="808080" w:sz="4"/>
              <w:right w:val="single" w:color="808080" w:sz="4"/>
            </w:tcBorders>
            <w:shd w:fill="2E75B6"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What did I observe?</w:t>
            </w:r>
          </w:p>
        </w:tc>
        <w:tc>
          <w:tcPr>
            <w:tcW w:type="dxa" w:w="3360"/>
            <w:tcBorders>
              <w:top w:val="single" w:color="808080" w:sz="4"/>
              <w:left w:val="single" w:color="808080" w:sz="4"/>
              <w:bottom w:val="single" w:color="808080" w:sz="4"/>
              <w:right w:val="single" w:color="808080" w:sz="4"/>
            </w:tcBorders>
            <w:shd w:fill="1F6B75"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What did I learn?</w:t>
            </w:r>
          </w:p>
        </w:tc>
        <w:tc>
          <w:tcPr>
            <w:tcW w:type="dxa" w:w="3360"/>
            <w:tcBorders>
              <w:top w:val="single" w:color="808080" w:sz="4"/>
              <w:left w:val="single" w:color="808080" w:sz="4"/>
              <w:bottom w:val="single" w:color="808080" w:sz="4"/>
              <w:right w:val="single" w:color="808080" w:sz="4"/>
            </w:tcBorders>
            <w:shd w:fill="7030A0"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How does this explain the phenomenon?</w:t>
            </w:r>
          </w:p>
        </w:tc>
        <w:tc>
          <w:tcPr>
            <w:tcW w:type="dxa" w:w="1800"/>
            <w:tcBorders>
              <w:top w:val="single" w:color="808080" w:sz="4"/>
              <w:left w:val="single" w:color="808080" w:sz="4"/>
              <w:bottom w:val="single" w:color="808080" w:sz="4"/>
              <w:right w:val="single" w:color="808080" w:sz="4"/>
            </w:tcBorders>
            <w:shd w:fill="C55A11" w:color="auto" w:val="clear"/>
            <w:tcMar>
              <w:top w:type="dxa" w:w="80"/>
              <w:left w:type="dxa" w:w="120"/>
              <w:bottom w:type="dxa" w:w="80"/>
              <w:right w:type="dxa" w:w="120"/>
            </w:tcMar>
            <w:vAlign w:val="top"/>
          </w:tcPr>
          <w:p>
            <w:pPr>
              <w:spacing w:after="60" w:before="0"/>
              <w:jc w:val="left"/>
            </w:pPr>
            <w:r>
              <w:rPr>
                <w:rFonts w:ascii="Arial" w:cs="Arial" w:eastAsia="Arial" w:hAnsi="Arial"/>
                <w:b/>
                <w:bCs/>
                <w:i w:val="false"/>
                <w:iCs w:val="false"/>
                <w:color w:val="FFFFFF"/>
                <w:sz w:val="18"/>
                <w:szCs w:val="18"/>
              </w:rPr>
              <w:t xml:space="preserve">DQB Tracking</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1</w:t>
            </w:r>
          </w:p>
          <w:p>
            <w:pPr>
              <w:spacing w:after="60" w:before="0"/>
            </w:pPr>
            <w:r>
              <w:rPr>
                <w:rFonts w:ascii="Arial" w:cs="Arial" w:eastAsia="Arial" w:hAnsi="Arial"/>
                <w:b/>
                <w:bCs/>
                <w:i w:val="false"/>
                <w:iCs w:val="false"/>
                <w:color w:val="000000"/>
                <w:sz w:val="16"/>
                <w:szCs w:val="16"/>
              </w:rPr>
              <w:t xml:space="preserve">The Bubble Mystery - Phenomenon Launch</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Warm-water demonstration: fresh leaves of maize, Tradescantia, and a succulent placed in warm water (40 degrees Celsius) produced fine streams of bubbles within one minute. Bubbles came from the underside of the leaves. The maize leaf bubbled fastest; the succulent slowest. Hotter water produced more bubbles per minute.</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Plants exchange gases with their environment, just as animals do. The bubbles must be a gas leaving the leaf. We do not yet know which gas, exactly where on the leaf the gas is leaving from, or why temperature matters. Driving question opened: why do leaves dipped in warm water produce bubbles, and what does this tell us about how plants breathe and live?</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bubbles are direct evidence that plants are exchanging gases with their environment. They are coming from somewhere specific on the leaf (the underside) and are released faster at higher temperatures. The rest of the unit will identify the gas, the structures involved, and the cellular processes producing it.</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Opened - initial wonderings posted. Initial Model Created.</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2</w:t>
            </w:r>
          </w:p>
          <w:p>
            <w:pPr>
              <w:spacing w:after="60" w:before="0"/>
            </w:pPr>
            <w:r>
              <w:rPr>
                <w:rFonts w:ascii="Arial" w:cs="Arial" w:eastAsia="Arial" w:hAnsi="Arial"/>
                <w:b/>
                <w:bCs/>
                <w:i w:val="false"/>
                <w:iCs w:val="false"/>
                <w:color w:val="000000"/>
                <w:sz w:val="16"/>
                <w:szCs w:val="16"/>
              </w:rPr>
              <w:t xml:space="preserve">Where the Bubbles Come From - Sites of Gaseous Exchange</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Examined the underside of a Tradescantia leaf with a hand lens and microscope. Saw small mouth-shaped openings (stomata) surrounded by paired guard cells. Stomata were dense on the underside, sparse on the upperside. Connected this to yesterday: that is where the bubbles came from.</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Plants have four gas-exchange sites: stomata (most leaves, primary), cuticle (limited), lenticels (woody stems), pneumatophores (mangroves). Stomata are concentrated on the leaf underside - which is why bubbles in Lesson 1 came from there.</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origin question is now answered: bubbles came from stomata on the leaf underside. The next questions are: which gas? Why warmer water? How do stomata open and close to let gas through?</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'where do bubbles come from?' moved to ANSWERED. New questions added on stomatal mechanism.</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3</w:t>
            </w:r>
          </w:p>
          <w:p>
            <w:pPr>
              <w:spacing w:after="60" w:before="0"/>
            </w:pPr>
            <w:r>
              <w:rPr>
                <w:rFonts w:ascii="Arial" w:cs="Arial" w:eastAsia="Arial" w:hAnsi="Arial"/>
                <w:b/>
                <w:bCs/>
                <w:i w:val="false"/>
                <w:iCs w:val="false"/>
                <w:color w:val="000000"/>
                <w:sz w:val="16"/>
                <w:szCs w:val="16"/>
              </w:rPr>
              <w:t xml:space="preserve">Adaptations to Environment - Mangroves, Maize, and the Kenyan Coast</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Compared three case studies: maize (terrestrial, stomata on underside, waxy cuticle), water lily (aquatic, stomata on upper surface, aerenchyma), and Kenyan mangrove at Mida Creek (pneumatophores poking out of mud at low tide).</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Gas-exchange adaptations are environment-specific. Terrestrial plants minimise water loss (waxy cuticle, underside stomata). Aquatic plants put stomata on the upper surface and use aerenchyma to transport gas to submerged tissues. Mangroves use pneumatophores - aerial roots - to bring oxygen to roots in oxygen-poor mud.</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phenomenon is now contextualised: it would look very different in different plants. A water lily would not bubble from the underside; a mangrove pneumatophore is exchanging gas in completely different conditions. The same need (gas exchange) has many structural solutions.</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rice paddy question seeded for Lesson 16. Mangrove case study added.</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4</w:t>
            </w:r>
          </w:p>
          <w:p>
            <w:pPr>
              <w:spacing w:after="60" w:before="0"/>
            </w:pPr>
            <w:r>
              <w:rPr>
                <w:rFonts w:ascii="Arial" w:cs="Arial" w:eastAsia="Arial" w:hAnsi="Arial"/>
                <w:b/>
                <w:bCs/>
                <w:i w:val="false"/>
                <w:iCs w:val="false"/>
                <w:color w:val="000000"/>
                <w:sz w:val="16"/>
                <w:szCs w:val="16"/>
              </w:rPr>
              <w:t xml:space="preserve">Looking Closer - Stomata Under the Microscope</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Prepared and observed a temporary slide of Tradescantia lower epidermis. Saw paired guard cells flanking a stomatal pore. Counted approximately 60 stomata in a field of view of about 0.2 mm squared - density approximately 300 per mm squared. Maize guard cells are dumbbell-shaped (a grass adaptation); kale and Tradescantia (dicots) have kidney-shaped guard cells.</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Stomata consist of two guard cells flanking a pore. Their shape varies - dicots have kidney-shaped guard cells, grasses have dumbbell-shaped ones. Stomatal density varies across species and is typically higher on the leaf underside. The pore can be open or closed, controlled by the guard cells.</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Direct observation confirms what Lessons 1-3 inferred: bubbles came from stomata. We now know what stomata look like and that the guard cells control the pore. The next question - driving Lessons 5-8 - is HOW.</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stomatal location confirmed by direct observation. Mechanism question sharpened.</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5</w:t>
            </w:r>
          </w:p>
          <w:p>
            <w:pPr>
              <w:spacing w:after="60" w:before="0"/>
            </w:pPr>
            <w:r>
              <w:rPr>
                <w:rFonts w:ascii="Arial" w:cs="Arial" w:eastAsia="Arial" w:hAnsi="Arial"/>
                <w:b/>
                <w:bCs/>
                <w:i w:val="false"/>
                <w:iCs w:val="false"/>
                <w:color w:val="000000"/>
                <w:sz w:val="16"/>
                <w:szCs w:val="16"/>
              </w:rPr>
              <w:t xml:space="preserve">Three Theories - How Stomata Open and Close</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Read three theory cards: photosynthetic, starch-sugar interconversion, and potassium ion theories of stomatal opening. All three converge on the same final mechanism: water enters guard cells by osmosis, the cells swell, and the pore opens. They differ in the trigger and the mechanism that lowers water potential.</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Stomatal opening is a contested scientific question with three live theories. All agree water enters by osmosis. They disagree on what lowers the water potential in the guard cells - photosynthesis-derived sugars, starch-to-sugar conversion, or active K+ pumping. The modern view is that all three may contribute, with K+ pumping playing a dominant short-term role.</w:t>
            </w:r>
          </w:p>
        </w:tc>
        <w:tc>
          <w:tcPr>
            <w:tcW w:type="dxa" w:w="3360"/>
            <w:tcBorders>
              <w:top w:val="single" w:color="808080" w:sz="4"/>
              <w:left w:val="single" w:color="808080" w:sz="4"/>
              <w:bottom w:val="single" w:color="808080" w:sz="4"/>
              <w:right w:val="single" w:color="808080" w:sz="4"/>
            </w:tcBorders>
            <w:shd w:fill="FFFFFF"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We now have three candidate mechanisms for the bubble phenomenon's gas-out step: stomata open via guard-cell swelling, but how exactly? The next three lessons examine each theory in detail.</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three-theory investigation thread opened. Multi-lesson question added.</w:t>
            </w:r>
          </w:p>
        </w:tc>
      </w:tr>
      <w:tr>
        <w:tc>
          <w:tcPr>
            <w:tcW w:type="dxa" w:w="1800"/>
            <w:tcBorders>
              <w:top w:val="single" w:color="808080" w:sz="4"/>
              <w:left w:val="single" w:color="808080" w:sz="4"/>
              <w:bottom w:val="single" w:color="808080" w:sz="4"/>
              <w:right w:val="single" w:color="808080" w:sz="4"/>
            </w:tcBorders>
            <w:shd w:fill="D5E8F0" w:color="auto" w:val="clear"/>
            <w:tcMar>
              <w:top w:type="dxa" w:w="80"/>
              <w:left w:type="dxa" w:w="120"/>
              <w:bottom w:type="dxa" w:w="80"/>
              <w:right w:type="dxa" w:w="120"/>
            </w:tcMar>
            <w:vAlign w:val="top"/>
          </w:tcPr>
          <w:p>
            <w:pPr>
              <w:spacing w:after="40" w:before="0"/>
            </w:pPr>
            <w:r>
              <w:rPr>
                <w:rFonts w:ascii="Arial" w:cs="Arial" w:eastAsia="Arial" w:hAnsi="Arial"/>
                <w:b/>
                <w:bCs/>
                <w:i w:val="false"/>
                <w:iCs w:val="false"/>
                <w:color w:val="000000"/>
                <w:sz w:val="18"/>
                <w:szCs w:val="18"/>
              </w:rPr>
              <w:t xml:space="preserve">Lesson 6</w:t>
            </w:r>
          </w:p>
          <w:p>
            <w:pPr>
              <w:spacing w:after="60" w:before="0"/>
            </w:pPr>
            <w:r>
              <w:rPr>
                <w:rFonts w:ascii="Arial" w:cs="Arial" w:eastAsia="Arial" w:hAnsi="Arial"/>
                <w:b/>
                <w:bCs/>
                <w:i w:val="false"/>
                <w:iCs w:val="false"/>
                <w:color w:val="000000"/>
                <w:sz w:val="16"/>
                <w:szCs w:val="16"/>
              </w:rPr>
              <w:t xml:space="preserve">Photosynthetic Theory of Stomatal Opening</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Sorted evidence cards into support/contradict columns for photosynthetic theory of stomatal opening. Found: chloroplasts in guard cells (supports), light-dependent opening (supports), but stomata can open in CO2-free air (contradicts).</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Photosynthetic theory: light leads to photosynthesis in guard cells, sugar accumulation, osmotic water entry, swelling, pore opens. The theory is partially supported - explains light dependence and the unusual presence of chloroplasts in guard cells, but cannot explain stomatal opening in CO2-free air. Another mechanism must also be operating.</w:t>
            </w:r>
          </w:p>
        </w:tc>
        <w:tc>
          <w:tcPr>
            <w:tcW w:type="dxa" w:w="3360"/>
            <w:tcBorders>
              <w:top w:val="single" w:color="808080" w:sz="4"/>
              <w:left w:val="single" w:color="808080" w:sz="4"/>
              <w:bottom w:val="single" w:color="808080" w:sz="4"/>
              <w:right w:val="single" w:color="808080" w:sz="4"/>
            </w:tcBorders>
            <w:shd w:fill="F2F2F2"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val="false"/>
                <w:iCs w:val="false"/>
                <w:color w:val="000000"/>
                <w:sz w:val="18"/>
                <w:szCs w:val="18"/>
              </w:rPr>
              <w:t xml:space="preserve">The bubble phenomenon's gas-exchange step requires open stomata, and stomata are partly opened by light via guard-cell photosynthesis. But the full mechanism includes more than this - the next two lessons examine the alternative theories.</w:t>
            </w:r>
          </w:p>
        </w:tc>
        <w:tc>
          <w:tcPr>
            <w:tcW w:type="dxa" w:w="1800"/>
            <w:tcBorders>
              <w:top w:val="single" w:color="808080" w:sz="4"/>
              <w:left w:val="single" w:color="808080" w:sz="4"/>
              <w:bottom w:val="single" w:color="808080" w:sz="4"/>
              <w:right w:val="single" w:color="808080" w:sz="4"/>
            </w:tcBorders>
            <w:shd w:fill="FCE4D6" w:color="auto" w:val="clear"/>
            <w:tcMar>
              <w:top w:type="dxa" w:w="80"/>
              <w:left w:type="dxa" w:w="120"/>
              <w:bottom w:type="dxa" w:w="80"/>
              <w:right w:type="dxa" w:w="120"/>
            </w:tcMar>
            <w:vAlign w:val="top"/>
          </w:tcPr>
          <w:p>
            <w:pPr>
              <w:spacing w:after="60" w:before="0"/>
              <w:jc w:val="left"/>
            </w:pPr>
            <w:r>
              <w:rPr>
                <w:rFonts w:ascii="Arial" w:cs="Arial" w:eastAsia="Arial" w:hAnsi="Arial"/>
                <w:b w:val="false"/>
                <w:bCs w:val="false"/>
                <w:i/>
                <w:iCs/>
                <w:color w:val="000000"/>
                <w:sz w:val="18"/>
                <w:szCs w:val="18"/>
              </w:rPr>
              <w:t xml:space="preserve">DQB: photosynthetic theory partially supported - qualified answer recorded.</w:t>
            </w:r>
          </w:p>
        </w:tc>
      </w:tr>
    </w:tbl>
    <w:p>
      <w:pPr>
        <w:spacing w:after="80" w:before="0"/>
      </w:pPr>
      <w:r>
        <w:rPr>
          <w:rFonts w:ascii="Arial" w:cs="Arial" w:eastAsia="Arial" w:hAnsi="Arial"/>
          <w:b w:val="false"/>
          <w:bCs w:val="false"/>
          <w:i w:val="false"/>
          <w:iCs w:val="false"/>
          <w:color w:val="000000"/>
          <w:sz w:val="18"/>
          <w:szCs w:val="18"/>
        </w:rPr>
        <w:t xml:space="preserve"/>
      </w:r>
    </w:p>
    <w:p>
      <w:pPr>
        <w:spacing w:after="240" w:before="240"/>
        <w:jc w:val="left"/>
      </w:pPr>
      <w:r>
        <w:rPr>
          <w:rFonts w:ascii="Arial" w:cs="Arial" w:eastAsia="Arial" w:hAnsi="Arial"/>
          <w:b w:val="false"/>
          <w:bCs w:val="false"/>
          <w:i/>
          <w:iCs/>
          <w:color w:val="707070"/>
          <w:sz w:val="18"/>
          <w:szCs w:val="18"/>
        </w:rPr>
        <w:t xml:space="preserve">Note: This 6-lesson test bundle covers Lessons 1-6 of the 22-lesson sub-strand. In the full production run, this Summary Table will extend to all 22 lessons, with the final-lesson row showing the complete answer to the driving question.</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Grade 10 Sub-Strand 2.3 Summary Table (L1-6 test bundle)</dc:title>
  <dc:creator>CBE Generation System</dc:creator>
  <cp:lastModifiedBy>Un-named</cp:lastModifiedBy>
  <cp:revision>1</cp:revision>
  <dcterms:created xsi:type="dcterms:W3CDTF">2026-04-27T23:49:35.380Z</dcterms:created>
  <dcterms:modified xsi:type="dcterms:W3CDTF">2026-04-27T23:49:35.380Z</dcterms:modified>
</cp:coreProperties>
</file>

<file path=docProps/custom.xml><?xml version="1.0" encoding="utf-8"?>
<Properties xmlns="http://schemas.openxmlformats.org/officeDocument/2006/custom-properties" xmlns:vt="http://schemas.openxmlformats.org/officeDocument/2006/docPropsVTypes"/>
</file>