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DQB Update and Model Building: Unifying the Turning Effect of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rombmaxeymvdvzk2ltk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txgndfrax6bgj7olm56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zgb0wrwmjtz7wme2pc4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rombmaxeymvdvzk2ltkx" Type="http://schemas.openxmlformats.org/officeDocument/2006/relationships/hyperlink" Target="https://creativecommons.org/licenses/by-nc/4.0/" TargetMode="External"/><Relationship Id="rId1txgndfrax6bgj7olm560" Type="http://schemas.openxmlformats.org/officeDocument/2006/relationships/hyperlink" Target="https://creativecommons.org/licenses/by-nc/4.0/" TargetMode="External"/><Relationship Id="rIdhzgb0wrwmjtz7wme2pc4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2026-10-07T04:15:34.301Z</dcterms:created>
  <dcterms:modified xsi:type="dcterms:W3CDTF">2026-10-07T04:15:34.301Z</dcterms:modified>
</cp:coreProperties>
</file>

<file path=docProps/custom.xml><?xml version="1.0" encoding="utf-8"?>
<Properties xmlns="http://schemas.openxmlformats.org/officeDocument/2006/custom-properties" xmlns:vt="http://schemas.openxmlformats.org/officeDocument/2006/docPropsVTypes"/>
</file>