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Chemistry | Grade 10 | Sub-Strand 1.4: Chemical Bonding</w:t>
      </w:r>
    </w:p>
    <w:p>
      <w:pPr>
        <w:spacing w:before="0" w:after="120"/>
        <w:jc w:val="left"/>
      </w:pPr>
      <w:r>
        <w:rPr>
          <w:rFonts w:ascii="Arial" w:hAnsi="Arial"/>
          <w:b w:val="0"/>
          <w:i w:val="0"/>
          <w:color w:val="1F6B75"/>
          <w:sz w:val="22"/>
        </w:rPr>
        <w:t>Final Explanation Document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FINAL EXPLANATION: CHEMICAL BONDING</w:t>
            </w:r>
          </w:p>
        </w:tc>
      </w:tr>
      <w:tr>
        <w:tc>
          <w:tcPr>
            <w:tcW w:type="dxa" w:w="13679"/>
            <w:gridSpan w:val="2"/>
            <w:shd w:val="clear" w:color="auto" w:fill="1F6B75"/>
          </w:tcPr>
          <w:p>
            <w:pPr>
              <w:spacing w:before="40" w:after="40"/>
              <w:jc w:val="left"/>
            </w:pPr>
            <w:r>
              <w:rPr>
                <w:rFonts w:ascii="Arial" w:hAnsi="Arial"/>
                <w:b/>
                <w:i w:val="0"/>
                <w:color w:val="FFFFFF"/>
                <w:sz w:val="22"/>
              </w:rPr>
              <w:t>Chemistry Grade 10 — Student Assessment Document</w:t>
            </w:r>
          </w:p>
        </w:tc>
      </w:tr>
      <w:tr>
        <w:tc>
          <w:tcPr>
            <w:tcW w:type="dxa" w:w="2999"/>
            <w:shd w:val="clear" w:color="auto" w:fill="D5E8F0"/>
          </w:tcPr>
          <w:p>
            <w:pPr>
              <w:spacing w:before="40" w:after="40"/>
              <w:jc w:val="left"/>
            </w:pPr>
            <w:r>
              <w:rPr>
                <w:rFonts w:ascii="Arial" w:hAnsi="Arial"/>
                <w:b/>
                <w:i w:val="0"/>
                <w:color w:val="000000"/>
                <w:sz w:val="18"/>
              </w:rPr>
              <w:t>Student Name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Class</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Date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INSTRUCTIONS FOR STUDENTS</w:t>
            </w:r>
          </w:p>
        </w:tc>
      </w:tr>
      <w:tr>
        <w:tc>
          <w:tcPr>
            <w:tcW w:type="dxa" w:w="13680"/>
            <w:shd w:val="clear" w:color="auto" w:fill="FFFFFF"/>
          </w:tcPr>
          <w:p>
            <w:pPr>
              <w:spacing w:before="40" w:after="40"/>
              <w:jc w:val="left"/>
            </w:pPr>
            <w:r>
              <w:rPr>
                <w:rFonts w:ascii="Arial" w:hAnsi="Arial"/>
                <w:b w:val="0"/>
                <w:i w:val="0"/>
                <w:color w:val="000000"/>
                <w:sz w:val="18"/>
              </w:rPr>
              <w:t>You have completed all 13 lessons of Sub-Strand 1.4: Chemical Bonding. Write your COMPLETE EXPLANATION by answering all sections below. Driving Question: How do the bonds between atoms determine the properties and uses of substances?</w:t>
              <w:br/>
              <w:br/>
              <w:t>Use evidence from investigations, discussions, and models from across this unit. Use scientific vocabulary accurately. Include labeled diagrams where appropriate. Show all calculations with steps. Connect your explanations back to the anchoring phenomenon throughout.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1: WHY DO ATOMS FORM BONDS?</w:t>
            </w:r>
          </w:p>
        </w:tc>
      </w:tr>
      <w:tr>
        <w:tc>
          <w:tcPr>
            <w:tcW w:type="dxa" w:w="13680"/>
            <w:shd w:val="clear" w:color="auto" w:fill="D5E8F0"/>
          </w:tcPr>
          <w:p>
            <w:pPr>
              <w:spacing w:before="40" w:after="40"/>
              <w:jc w:val="left"/>
            </w:pPr>
            <w:r>
              <w:rPr>
                <w:rFonts w:ascii="Arial" w:hAnsi="Arial"/>
                <w:b w:val="0"/>
                <w:i w:val="0"/>
                <w:color w:val="000000"/>
                <w:sz w:val="18"/>
              </w:rPr>
              <w:t>What makes an atom stable or unstable?</w:t>
              <w:br/>
              <w:t>What are valence electrons and why are they important?</w:t>
              <w:br/>
              <w:t>What is the octet rule? When does the duplet rule apply?</w:t>
              <w:br/>
              <w:t>How does bonding help atoms achieve stability?</w:t>
            </w:r>
          </w:p>
        </w:tc>
      </w:tr>
      <w:tr>
        <w:tc>
          <w:tcPr>
            <w:tcW w:type="dxa" w:w="13680"/>
            <w:shd w:val="clear" w:color="auto" w:fill="FFFFFF"/>
          </w:tcPr>
          <w:p>
            <w:pPr>
              <w:spacing w:before="40" w:after="40"/>
              <w:jc w:val="left"/>
            </w:pPr>
            <w:r>
              <w:rPr>
                <w:rFonts w:ascii="Arial" w:hAnsi="Arial"/>
                <w:b w:val="0"/>
                <w:i w:val="0"/>
                <w:color w:val="000000"/>
                <w:sz w:val="18"/>
              </w:rPr>
              <w:t>Atoms are stable when their outermost shell (valence shell) is full. Valence electrons are the electrons in the outermost shell — they determine how an atom bonds. Most atoms follow the octet rule: they become stable with 8 valence electrons (like noble gases). Hydrogen and helium follow the duplet rule: stable with 2 electrons.</w:t>
              <w:br/>
              <w:br/>
              <w:t>Carbon has 4 valence electrons (outer shell: 2,4) and needs 4 more to complete its octet. It achieves stability by forming 4 bonds with other atoms — either ionic or covalent depending on what it bonds with. Bonding allows atoms to reach the electron configuration of the nearest noble gas, which is the lowest-energy, most stable arrangement.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2: HOW DO IONIC BONDS FORM AND WHAT PROPERTIES DO THEY GIVE SUBSTANCES?</w:t>
            </w:r>
          </w:p>
        </w:tc>
      </w:tr>
      <w:tr>
        <w:tc>
          <w:tcPr>
            <w:tcW w:type="dxa" w:w="13680"/>
            <w:shd w:val="clear" w:color="auto" w:fill="D5E8F0"/>
          </w:tcPr>
          <w:p>
            <w:pPr>
              <w:spacing w:before="40" w:after="40"/>
              <w:jc w:val="left"/>
            </w:pPr>
            <w:r>
              <w:rPr>
                <w:rFonts w:ascii="Arial" w:hAnsi="Arial"/>
                <w:b w:val="0"/>
                <w:i w:val="0"/>
                <w:color w:val="000000"/>
                <w:sz w:val="18"/>
              </w:rPr>
              <w:t>How do ionic bonds form through electron transfer?</w:t>
              <w:br/>
              <w:t>What types of atoms form ionic bonds?</w:t>
              <w:br/>
              <w:t>How can we represent ionic bonding using Lewis diagrams?</w:t>
              <w:br/>
              <w:t>What properties do ionic compounds have (melting point, conductivity, solubility, brittleness)?</w:t>
              <w:br/>
              <w:t>Why do ionic compounds have these properties?</w:t>
            </w:r>
          </w:p>
        </w:tc>
      </w:tr>
      <w:tr>
        <w:tc>
          <w:tcPr>
            <w:tcW w:type="dxa" w:w="13680"/>
            <w:shd w:val="clear" w:color="auto" w:fill="FFFFFF"/>
          </w:tcPr>
          <w:p>
            <w:pPr>
              <w:spacing w:before="40" w:after="40"/>
              <w:jc w:val="left"/>
            </w:pPr>
            <w:r>
              <w:rPr>
                <w:rFonts w:ascii="Arial" w:hAnsi="Arial"/>
                <w:b w:val="0"/>
                <w:i w:val="0"/>
                <w:color w:val="000000"/>
                <w:sz w:val="18"/>
              </w:rPr>
              <w:t>Ionic bonds form when a metal atom transfers one or more electrons to a non-metal atom. The metal loses electrons to form a positive ion (cation); the non-metal gains electrons to form a negative ion (anion). The strong electrostatic attraction between oppositely charged ions is the ionic bond.</w:t>
              <w:br/>
              <w:br/>
              <w:t>Example (Lewis diagram): Na· + ·Cl: → Na⁺ [:Cl:]⁻ — sodium transfers its 1 valence electron to chlorine, giving both the configuration of the nearest noble gas.</w:t>
              <w:br/>
              <w:br/>
              <w:t>Ionic compounds form giant ionic lattices — a regular 3D arrangement of millions of ions. This explains their properties:</w:t>
              <w:br/>
              <w:t>• High melting/boiling points: strong electrostatic forces require a lot of energy to break.</w:t>
              <w:br/>
              <w:t>• Conduct electricity when molten or dissolved (ions are free to move), but NOT as solids (ions locked in lattice).</w:t>
              <w:br/>
              <w:t>• Soluble in water: polar water molecules surround and separate the ions.</w:t>
              <w:br/>
              <w:t>• Brittle: shifting layers brings like charges together, creating repulsion that shatters the crystal.</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3: HOW DO COVALENT BONDS FORM AND WHAT STRUCTURES DO THEY CREATE?</w:t>
            </w:r>
          </w:p>
        </w:tc>
      </w:tr>
      <w:tr>
        <w:tc>
          <w:tcPr>
            <w:tcW w:type="dxa" w:w="13680"/>
            <w:shd w:val="clear" w:color="auto" w:fill="D5E8F0"/>
          </w:tcPr>
          <w:p>
            <w:pPr>
              <w:spacing w:before="40" w:after="40"/>
              <w:jc w:val="left"/>
            </w:pPr>
            <w:r>
              <w:rPr>
                <w:rFonts w:ascii="Arial" w:hAnsi="Arial"/>
                <w:b w:val="0"/>
                <w:i w:val="0"/>
                <w:color w:val="000000"/>
                <w:sz w:val="18"/>
              </w:rPr>
              <w:t>How do covalent bonds form through electron sharing?</w:t>
              <w:br/>
              <w:t>What is the difference between simple molecular and giant covalent structures?</w:t>
              <w:br/>
              <w:t>How do diamond and graphite differ in structure despite both being carbon?</w:t>
              <w:br/>
              <w:t>What properties do simple molecular substances have vs. giant covalent structures?</w:t>
              <w:br/>
              <w:t>Draw Lewis diagrams for simple molecules (H₂, H₂O, CO₂, CH₄).</w:t>
            </w:r>
          </w:p>
        </w:tc>
      </w:tr>
      <w:tr>
        <w:tc>
          <w:tcPr>
            <w:tcW w:type="dxa" w:w="13680"/>
            <w:shd w:val="clear" w:color="auto" w:fill="FFFFFF"/>
          </w:tcPr>
          <w:p>
            <w:pPr>
              <w:spacing w:before="40" w:after="40"/>
              <w:jc w:val="left"/>
            </w:pPr>
            <w:r>
              <w:rPr>
                <w:rFonts w:ascii="Arial" w:hAnsi="Arial"/>
                <w:b w:val="0"/>
                <w:i w:val="0"/>
                <w:color w:val="000000"/>
                <w:sz w:val="18"/>
              </w:rPr>
              <w:t>Covalent bonds form when two non-metal atoms share electrons to achieve full outer shells. Each shared pair of electrons counts toward the octet of both atoms.</w:t>
              <w:br/>
              <w:br/>
              <w:t>Lewis diagrams: H–H (H₂: 1 shared pair), H–O–H with 2 lone pairs on O (H₂O), O=C=O (CO₂: 2 double bonds), H–C–H with 4 single bonds (CH₄).</w:t>
              <w:br/>
              <w:br/>
              <w:t>Simple molecular structures (H₂O, CO₂, CH₄): small molecules held together by strong covalent bonds, but the forces BETWEEN molecules (Van der Waals / hydrogen bonds) are weak. Result: low melting/boiling points, do not conduct electricity.</w:t>
              <w:br/>
              <w:br/>
              <w:t>Giant covalent structures: millions of atoms bonded in a continuous 3D network.</w:t>
              <w:br/>
              <w:t>• Diamond: each carbon forms 4 strong covalent bonds to 4 other carbons in a tetrahedral structure. No free electrons → does not conduct. All bonds must break to melt → very high melting point → extremely hard.</w:t>
              <w:br/>
              <w:t>• Graphite: each carbon forms 3 covalent bonds in flat hexagonal layers; the 4th valence electron is delocalised and free to move between layers → conducts electricity. Layers are held by weak Van der Waals forces → layers slide over each other → soft and slippery.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4: WHAT ARE DATIVE COVALENT, METALLIC, HYDROGEN, AND VAN DER WAALS BONDS?</w:t>
            </w:r>
          </w:p>
        </w:tc>
      </w:tr>
      <w:tr>
        <w:tc>
          <w:tcPr>
            <w:tcW w:type="dxa" w:w="13680"/>
            <w:shd w:val="clear" w:color="auto" w:fill="D5E8F0"/>
          </w:tcPr>
          <w:p>
            <w:pPr>
              <w:spacing w:before="40" w:after="40"/>
              <w:jc w:val="left"/>
            </w:pPr>
            <w:r>
              <w:rPr>
                <w:rFonts w:ascii="Arial" w:hAnsi="Arial"/>
                <w:b w:val="0"/>
                <w:i w:val="0"/>
                <w:color w:val="000000"/>
                <w:sz w:val="18"/>
              </w:rPr>
              <w:t>What is a dative covalent bond and how does it differ from a regular covalent bond?</w:t>
              <w:br/>
              <w:t>How do metallic bonds form and what properties do they give?</w:t>
              <w:br/>
              <w:t>What are hydrogen bonds and when do they form?</w:t>
              <w:br/>
              <w:t>What are Van der Waals forces and how do they affect properties?</w:t>
            </w:r>
          </w:p>
        </w:tc>
      </w:tr>
      <w:tr>
        <w:tc>
          <w:tcPr>
            <w:tcW w:type="dxa" w:w="13680"/>
            <w:shd w:val="clear" w:color="auto" w:fill="FFFFFF"/>
          </w:tcPr>
          <w:p>
            <w:pPr>
              <w:spacing w:before="40" w:after="40"/>
              <w:jc w:val="left"/>
            </w:pPr>
            <w:r>
              <w:rPr>
                <w:rFonts w:ascii="Arial" w:hAnsi="Arial"/>
                <w:b w:val="0"/>
                <w:i w:val="0"/>
                <w:color w:val="000000"/>
                <w:sz w:val="18"/>
              </w:rPr>
              <w:t>Dative covalent (coordinate) bond: both electrons in the shared pair come from the SAME atom (the donor). Example: the ammonium ion NH₄⁺ forms when NH₃ donates its lone pair to H⁺. Once formed, a dative bond is indistinguishable from a normal covalent bond.</w:t>
              <w:br/>
              <w:br/>
              <w:t>Metallic bonds: metal atoms release their valence electrons into a 'sea' of delocalised electrons. The positive metal ions are held together by electrostatic attraction to the electron sea. This explains: high melting points (strong metallic bonds), electrical conductivity (delocalised electrons carry charge), malleability/ductility (layers of ions slide without breaking bonds), and metallic lustre.</w:t>
              <w:br/>
              <w:br/>
              <w:t>Hydrogen bonds: a relatively strong intermolecular force forming between a δ+ hydrogen (bonded to N, O, or F) and a lone pair on N, O, or F of another molecule. They are NOT covalent bonds — they are between molecules. Hydrogen bonds give water its unusually high boiling point, surface tension, and solvent properties.</w:t>
              <w:br/>
              <w:br/>
              <w:t>Van der Waals forces: temporary dipoles caused by uneven electron distribution create weak attractions between all molecules. Stronger for larger molecules (more electrons). Explains why simple molecular substances have low but non-zero melting/boiling points.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5: HOW DOES BOND TYPE EXPLAIN PHYSICAL PROPERTIES AND REAL-LIFE USES?</w:t>
            </w:r>
          </w:p>
        </w:tc>
      </w:tr>
      <w:tr>
        <w:tc>
          <w:tcPr>
            <w:tcW w:type="dxa" w:w="13680"/>
            <w:shd w:val="clear" w:color="auto" w:fill="D5E8F0"/>
          </w:tcPr>
          <w:p>
            <w:pPr>
              <w:spacing w:before="40" w:after="40"/>
              <w:jc w:val="left"/>
            </w:pPr>
            <w:r>
              <w:rPr>
                <w:rFonts w:ascii="Arial" w:hAnsi="Arial"/>
                <w:b w:val="0"/>
                <w:i w:val="0"/>
                <w:color w:val="000000"/>
                <w:sz w:val="18"/>
              </w:rPr>
              <w:t>Create a comparison table of ionic, simple molecular, giant covalent, and metallic substances (covering melting point, conductivity, hardness, solubility).</w:t>
              <w:br/>
              <w:t>Choose at least 4 substances and explain how their bonding and structure make them suitable for their uses (e.g. NaCl, diamond, graphite, copper, water).</w:t>
              <w:br/>
              <w:t>Answer the driving question: How do the bonds between atoms determine the properties and uses of substances?</w:t>
            </w:r>
          </w:p>
        </w:tc>
      </w:tr>
      <w:tr>
        <w:tc>
          <w:tcPr>
            <w:tcW w:type="dxa" w:w="13680"/>
            <w:shd w:val="clear" w:color="auto" w:fill="FFFFFF"/>
          </w:tcPr>
          <w:p>
            <w:pPr>
              <w:spacing w:before="40" w:after="40"/>
              <w:jc w:val="left"/>
            </w:pPr>
            <w:r>
              <w:rPr>
                <w:rFonts w:ascii="Arial" w:hAnsi="Arial"/>
                <w:b w:val="0"/>
                <w:i w:val="0"/>
                <w:color w:val="000000"/>
                <w:sz w:val="18"/>
              </w:rPr>
              <w:t>Comparison Table:</w:t>
              <w:br/>
              <w:t>| Type | Example | M.Pt | Electricity | Hardness | Water Solubility |</w:t>
              <w:br/>
              <w:t>| Ionic | NaCl | High | Yes (aq/l) | Hard, brittle | Soluble |</w:t>
              <w:br/>
              <w:t>| Simple Molecular | H₂O | Low | No | Soft | Variable |</w:t>
              <w:br/>
              <w:t>| Giant Covalent | Diamond | Very high | No (except graphite) | Very hard | Insoluble |</w:t>
              <w:br/>
              <w:t>| Metallic | Copper | High | Yes | Hard, malleable | Insoluble |</w:t>
              <w:br/>
              <w:br/>
              <w:t>Applications:</w:t>
              <w:br/>
              <w:t>• NaCl: used as food preservative and in medicine (saline drips) — dissolves in water, safe for consumption.</w:t>
              <w:br/>
              <w:t>• Diamond: used in cutting tools and drill bits — hardest natural substance due to strong 3D covalent network.</w:t>
              <w:br/>
              <w:t>• Graphite: used in pencils and as electrodes — soft (layers slide) and conducts electricity (delocalised electrons).</w:t>
              <w:br/>
              <w:t>• Copper: used in electrical wiring — excellent conductor, malleable, does not corrode easily.</w:t>
              <w:br/>
              <w:br/>
              <w:t>Driving Question Answer: The bonds between atoms determine atomic/molecular structure, which directly controls macroscopic properties. Diamond and graphite are both pure carbon — but in diamond, each carbon forms 4 bonds in a 3D tetrahedral network (making it the hardest substance), while in graphite, each carbon forms 3 bonds in flat layers with delocalised electrons (making it soft and conductive). The bond type IS the structure IS the property.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6: HOW DOES BOND TYPE AND STRUCTURE EXPLAIN THE USES OF SUBSTANCES IN EVERYDAY LIFE?</w:t>
            </w:r>
          </w:p>
        </w:tc>
      </w:tr>
      <w:tr>
        <w:tc>
          <w:tcPr>
            <w:tcW w:type="dxa" w:w="13680"/>
            <w:shd w:val="clear" w:color="auto" w:fill="D5E8F0"/>
          </w:tcPr>
          <w:p>
            <w:pPr>
              <w:spacing w:before="40" w:after="40"/>
              <w:jc w:val="left"/>
            </w:pPr>
            <w:r>
              <w:rPr>
                <w:rFonts w:ascii="Arial" w:hAnsi="Arial"/>
                <w:b w:val="0"/>
                <w:i w:val="0"/>
                <w:color w:val="000000"/>
                <w:sz w:val="18"/>
              </w:rPr>
              <w:t>How do the properties of substances determine their uses?</w:t>
              <w:br/>
              <w:t>Can you explain specific real-world applications using bonding concepts?</w:t>
              <w:br/>
              <w:t>Choose at least 4 substances and explain how their bonding and structure make them suitable for their uses.</w:t>
              <w:br/>
              <w:t>For each substance explain: what type of bonding it has; what structure this creates; what properties result; how these properties make it useful.</w:t>
            </w:r>
          </w:p>
        </w:tc>
      </w:tr>
      <w:tr>
        <w:tc>
          <w:tcPr>
            <w:tcW w:type="dxa" w:w="13680"/>
            <w:shd w:val="clear" w:color="auto" w:fill="FFFFFF"/>
          </w:tcPr>
          <w:p>
            <w:pPr>
              <w:spacing w:before="40" w:after="40"/>
              <w:jc w:val="left"/>
            </w:pPr>
            <w:r>
              <w:rPr>
                <w:rFonts w:ascii="Arial" w:hAnsi="Arial"/>
                <w:b w:val="0"/>
                <w:i w:val="0"/>
                <w:color w:val="000000"/>
                <w:sz w:val="18"/>
              </w:rPr>
              <w:t>Substance Applications:</w:t>
              <w:br/>
              <w:br/>
              <w:t>Sodium chloride (NaCl) — Table salt and de-icing roads:</w:t>
              <w:br/>
              <w:t>Ionic bonding → giant ionic lattice → soluble in water (ions dissociate), safe to consume, lowers freezing point of water. Used as food preservative, in oral rehydration salts (saline drips), and to melt ice on roads in cold climates.</w:t>
              <w:br/>
              <w:br/>
              <w:t>Diamond — Cutting tools, drill bits, jewelry:</w:t>
              <w:br/>
              <w:t>Giant covalent structure — each carbon bonded to 4 others in a 3D tetrahedral network → all bonds must break to scratch or melt it → extremely hard (hardest natural substance, Mohs 10) and very high melting point. Used in industrial cutting tools, drill bits for oil exploration, and gemstones.</w:t>
              <w:br/>
              <w:br/>
              <w:t>Graphite — Pencil leads, lubricants, electrodes:</w:t>
              <w:br/>
              <w:t>Layered giant covalent structure — each carbon forms 3 bonds in flat hexagonal layers; one delocalised electron per carbon moves freely between layers → conducts electricity; layers held by weak Van der Waals forces → slide easily (soft and lubricating). Used in pencil leads (leaves a mark when layers slide onto paper), industrial lubricants, and as electrodes in electrolysis.</w:t>
              <w:br/>
              <w:br/>
              <w:t>Metals (copper, aluminium, iron) — Electrical wiring, construction, cookware:</w:t>
              <w:br/>
              <w:t>Metallic bonding — sea of delocalised electrons around positive metal ions → electrons carry charge freely (excellent conductor); ions can slide past each other (malleable and ductile); strong metallic bonds → high melting points and structural strength.</w:t>
              <w:br/>
              <w:br/>
              <w:t>Water (H₂O) — Universal solvent, biological processes:</w:t>
              <w:br/>
              <w:t>Polar covalent bonds + hydrogen bonding between molecules → unusually high boiling point for such a small molecule (100°C), remains liquid at room temperature, excellent solvent for ionic and polar substances. Essential for life and all biochemical reactions.</w:t>
              <w:br/>
              <w:br/>
              <w:t>Silicon dioxide (SiO₂) — Glass, electronics, construction:</w:t>
              <w:br/>
              <w:t>Giant covalent structure (like diamond but with O atoms between Si atoms) → very hard, very high melting point (~1700°C), transparent when pure, chemically inert. Used in glass making, optical fibres, microchip substrates, and as a construction material (sand, concrete).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700"/>
        <w:gridCol w:w="2700"/>
        <w:gridCol w:w="2700"/>
        <w:gridCol w:w="2700"/>
      </w:tblGrid>
      <w:tr>
        <w:tc>
          <w:tcPr>
            <w:tcW w:type="dxa" w:w="13680"/>
            <w:gridSpan w:val="5"/>
            <w:shd w:val="clear" w:color="auto" w:fill="1F3864"/>
          </w:tcPr>
          <w:p>
            <w:pPr>
              <w:spacing w:before="40" w:after="40"/>
              <w:jc w:val="center"/>
            </w:pPr>
            <w:r>
              <w:rPr>
                <w:rFonts w:ascii="Arial" w:hAnsi="Arial"/>
                <w:b/>
                <w:i w:val="0"/>
                <w:color w:val="FFFFFF"/>
                <w:sz w:val="22"/>
              </w:rPr>
              <w:t>ASSESSMENT RUBRIC</w:t>
            </w:r>
          </w:p>
        </w:tc>
      </w:tr>
      <w:tr>
        <w:tc>
          <w:tcPr>
            <w:tcW w:type="dxa" w:w="2880"/>
            <w:shd w:val="clear" w:color="auto" w:fill="2E75B6"/>
          </w:tcPr>
          <w:p>
            <w:pPr>
              <w:spacing w:before="40" w:after="40"/>
              <w:jc w:val="center"/>
            </w:pPr>
            <w:r>
              <w:rPr>
                <w:rFonts w:ascii="Arial" w:hAnsi="Arial"/>
                <w:b/>
                <w:i w:val="0"/>
                <w:color w:val="FFFFFF"/>
                <w:sz w:val="18"/>
              </w:rPr>
              <w:t>Criterion</w:t>
            </w:r>
          </w:p>
        </w:tc>
        <w:tc>
          <w:tcPr>
            <w:tcW w:type="dxa" w:w="2700"/>
            <w:shd w:val="clear" w:color="auto" w:fill="1F6B75"/>
          </w:tcPr>
          <w:p>
            <w:pPr>
              <w:spacing w:before="40" w:after="40"/>
              <w:jc w:val="center"/>
            </w:pPr>
            <w:r>
              <w:rPr>
                <w:rFonts w:ascii="Arial" w:hAnsi="Arial"/>
                <w:b/>
                <w:i w:val="0"/>
                <w:color w:val="FFFFFF"/>
                <w:sz w:val="18"/>
              </w:rPr>
              <w:t>Beginning (1)</w:t>
            </w:r>
          </w:p>
        </w:tc>
        <w:tc>
          <w:tcPr>
            <w:tcW w:type="dxa" w:w="2700"/>
            <w:shd w:val="clear" w:color="auto" w:fill="2E75B6"/>
          </w:tcPr>
          <w:p>
            <w:pPr>
              <w:spacing w:before="40" w:after="40"/>
              <w:jc w:val="center"/>
            </w:pPr>
            <w:r>
              <w:rPr>
                <w:rFonts w:ascii="Arial" w:hAnsi="Arial"/>
                <w:b/>
                <w:i w:val="0"/>
                <w:color w:val="FFFFFF"/>
                <w:sz w:val="18"/>
              </w:rPr>
              <w:t>Developing (2)</w:t>
            </w:r>
          </w:p>
        </w:tc>
        <w:tc>
          <w:tcPr>
            <w:tcW w:type="dxa" w:w="2700"/>
            <w:shd w:val="clear" w:color="auto" w:fill="1F6B75"/>
          </w:tcPr>
          <w:p>
            <w:pPr>
              <w:spacing w:before="40" w:after="40"/>
              <w:jc w:val="center"/>
            </w:pPr>
            <w:r>
              <w:rPr>
                <w:rFonts w:ascii="Arial" w:hAnsi="Arial"/>
                <w:b/>
                <w:i w:val="0"/>
                <w:color w:val="FFFFFF"/>
                <w:sz w:val="18"/>
              </w:rPr>
              <w:t>Proficient (3)</w:t>
            </w:r>
          </w:p>
        </w:tc>
        <w:tc>
          <w:tcPr>
            <w:tcW w:type="dxa" w:w="2700"/>
            <w:shd w:val="clear" w:color="auto" w:fill="2E75B6"/>
          </w:tcPr>
          <w:p>
            <w:pPr>
              <w:spacing w:before="40" w:after="40"/>
              <w:jc w:val="center"/>
            </w:pPr>
            <w:r>
              <w:rPr>
                <w:rFonts w:ascii="Arial" w:hAnsi="Arial"/>
                <w:b/>
                <w:i w:val="0"/>
                <w:color w:val="FFFFFF"/>
                <w:sz w:val="18"/>
              </w:rPr>
              <w:t>Advanced (4)</w:t>
            </w:r>
          </w:p>
        </w:tc>
      </w:tr>
      <w:tr>
        <w:tc>
          <w:tcPr>
            <w:tcW w:type="dxa" w:w="2880"/>
            <w:shd w:val="clear" w:color="auto" w:fill="D5E8F0"/>
          </w:tcPr>
          <w:p>
            <w:pPr>
              <w:spacing w:before="40" w:after="40"/>
              <w:jc w:val="left"/>
            </w:pPr>
            <w:r>
              <w:rPr>
                <w:rFonts w:ascii="Arial" w:hAnsi="Arial"/>
                <w:b/>
                <w:i w:val="0"/>
                <w:color w:val="000000"/>
                <w:sz w:val="18"/>
              </w:rPr>
              <w:t>1. Completeness</w:t>
            </w:r>
          </w:p>
        </w:tc>
        <w:tc>
          <w:tcPr>
            <w:tcW w:type="dxa" w:w="2700"/>
            <w:shd w:val="clear" w:color="auto" w:fill="FFFFFF"/>
          </w:tcPr>
          <w:p>
            <w:pPr>
              <w:spacing w:before="40" w:after="40"/>
              <w:jc w:val="left"/>
            </w:pPr>
            <w:r>
              <w:rPr>
                <w:rFonts w:ascii="Arial" w:hAnsi="Arial"/>
                <w:b w:val="0"/>
                <w:i w:val="0"/>
                <w:color w:val="000000"/>
                <w:sz w:val="18"/>
              </w:rPr>
              <w:t>Addresses fewer than 4 sections; major gaps in content</w:t>
            </w:r>
          </w:p>
        </w:tc>
        <w:tc>
          <w:tcPr>
            <w:tcW w:type="dxa" w:w="2700"/>
            <w:shd w:val="clear" w:color="auto" w:fill="F2F2F2"/>
          </w:tcPr>
          <w:p>
            <w:pPr>
              <w:spacing w:before="40" w:after="40"/>
              <w:jc w:val="left"/>
            </w:pPr>
            <w:r>
              <w:rPr>
                <w:rFonts w:ascii="Arial" w:hAnsi="Arial"/>
                <w:b w:val="0"/>
                <w:i w:val="0"/>
                <w:color w:val="000000"/>
                <w:sz w:val="18"/>
              </w:rPr>
              <w:t>Addresses 4–5 sections; some important concepts missing</w:t>
            </w:r>
          </w:p>
        </w:tc>
        <w:tc>
          <w:tcPr>
            <w:tcW w:type="dxa" w:w="2700"/>
            <w:shd w:val="clear" w:color="auto" w:fill="FFFFFF"/>
          </w:tcPr>
          <w:p>
            <w:pPr>
              <w:spacing w:before="40" w:after="40"/>
              <w:jc w:val="left"/>
            </w:pPr>
            <w:r>
              <w:rPr>
                <w:rFonts w:ascii="Arial" w:hAnsi="Arial"/>
                <w:b w:val="0"/>
                <w:i w:val="0"/>
                <w:color w:val="000000"/>
                <w:sz w:val="18"/>
              </w:rPr>
              <w:t>Addresses all 6 sections with all key concepts included</w:t>
            </w:r>
          </w:p>
        </w:tc>
        <w:tc>
          <w:tcPr>
            <w:tcW w:type="dxa" w:w="2700"/>
            <w:shd w:val="clear" w:color="auto" w:fill="F2F2F2"/>
          </w:tcPr>
          <w:p>
            <w:pPr>
              <w:spacing w:before="40" w:after="40"/>
              <w:jc w:val="left"/>
            </w:pPr>
            <w:r>
              <w:rPr>
                <w:rFonts w:ascii="Arial" w:hAnsi="Arial"/>
                <w:b w:val="0"/>
                <w:i w:val="0"/>
                <w:color w:val="000000"/>
                <w:sz w:val="18"/>
              </w:rPr>
              <w:t>Addresses all 6 sections comprehensively with depth and additional connections</w:t>
            </w:r>
          </w:p>
        </w:tc>
      </w:tr>
      <w:tr>
        <w:tc>
          <w:tcPr>
            <w:tcW w:type="dxa" w:w="2880"/>
            <w:shd w:val="clear" w:color="auto" w:fill="D5E8F0"/>
          </w:tcPr>
          <w:p>
            <w:pPr>
              <w:spacing w:before="40" w:after="40"/>
              <w:jc w:val="left"/>
            </w:pPr>
            <w:r>
              <w:rPr>
                <w:rFonts w:ascii="Arial" w:hAnsi="Arial"/>
                <w:b/>
                <w:i w:val="0"/>
                <w:color w:val="000000"/>
                <w:sz w:val="18"/>
              </w:rPr>
              <w:t>2. Scientific Accuracy</w:t>
            </w:r>
          </w:p>
        </w:tc>
        <w:tc>
          <w:tcPr>
            <w:tcW w:type="dxa" w:w="2700"/>
            <w:shd w:val="clear" w:color="auto" w:fill="FFFFFF"/>
          </w:tcPr>
          <w:p>
            <w:pPr>
              <w:spacing w:before="40" w:after="40"/>
              <w:jc w:val="left"/>
            </w:pPr>
            <w:r>
              <w:rPr>
                <w:rFonts w:ascii="Arial" w:hAnsi="Arial"/>
                <w:b w:val="0"/>
                <w:i w:val="0"/>
                <w:color w:val="000000"/>
                <w:sz w:val="18"/>
              </w:rPr>
              <w:t>Multiple significant errors or misconceptions in bonding concepts</w:t>
            </w:r>
          </w:p>
        </w:tc>
        <w:tc>
          <w:tcPr>
            <w:tcW w:type="dxa" w:w="2700"/>
            <w:shd w:val="clear" w:color="auto" w:fill="F2F2F2"/>
          </w:tcPr>
          <w:p>
            <w:pPr>
              <w:spacing w:before="40" w:after="40"/>
              <w:jc w:val="left"/>
            </w:pPr>
            <w:r>
              <w:rPr>
                <w:rFonts w:ascii="Arial" w:hAnsi="Arial"/>
                <w:b w:val="0"/>
                <w:i w:val="0"/>
                <w:color w:val="000000"/>
                <w:sz w:val="18"/>
              </w:rPr>
              <w:t>Some minor errors; generally accurate but may have 2–3 misconceptions</w:t>
            </w:r>
          </w:p>
        </w:tc>
        <w:tc>
          <w:tcPr>
            <w:tcW w:type="dxa" w:w="2700"/>
            <w:shd w:val="clear" w:color="auto" w:fill="FFFFFF"/>
          </w:tcPr>
          <w:p>
            <w:pPr>
              <w:spacing w:before="40" w:after="40"/>
              <w:jc w:val="left"/>
            </w:pPr>
            <w:r>
              <w:rPr>
                <w:rFonts w:ascii="Arial" w:hAnsi="Arial"/>
                <w:b w:val="0"/>
                <w:i w:val="0"/>
                <w:color w:val="000000"/>
                <w:sz w:val="18"/>
              </w:rPr>
              <w:t>Scientifically accurate throughout; no significant errors</w:t>
            </w:r>
          </w:p>
        </w:tc>
        <w:tc>
          <w:tcPr>
            <w:tcW w:type="dxa" w:w="2700"/>
            <w:shd w:val="clear" w:color="auto" w:fill="F2F2F2"/>
          </w:tcPr>
          <w:p>
            <w:pPr>
              <w:spacing w:before="40" w:after="40"/>
              <w:jc w:val="left"/>
            </w:pPr>
            <w:r>
              <w:rPr>
                <w:rFonts w:ascii="Arial" w:hAnsi="Arial"/>
                <w:b w:val="0"/>
                <w:i w:val="0"/>
                <w:color w:val="000000"/>
                <w:sz w:val="18"/>
              </w:rPr>
              <w:t>Scientifically accurate with sophisticated understanding; addresses exceptions and nuance</w:t>
            </w:r>
          </w:p>
        </w:tc>
      </w:tr>
      <w:tr>
        <w:tc>
          <w:tcPr>
            <w:tcW w:type="dxa" w:w="2880"/>
            <w:shd w:val="clear" w:color="auto" w:fill="D5E8F0"/>
          </w:tcPr>
          <w:p>
            <w:pPr>
              <w:spacing w:before="40" w:after="40"/>
              <w:jc w:val="left"/>
            </w:pPr>
            <w:r>
              <w:rPr>
                <w:rFonts w:ascii="Arial" w:hAnsi="Arial"/>
                <w:b/>
                <w:i w:val="0"/>
                <w:color w:val="000000"/>
                <w:sz w:val="18"/>
              </w:rPr>
              <w:t>3. Explanation Quality</w:t>
            </w:r>
          </w:p>
        </w:tc>
        <w:tc>
          <w:tcPr>
            <w:tcW w:type="dxa" w:w="2700"/>
            <w:shd w:val="clear" w:color="auto" w:fill="FFFFFF"/>
          </w:tcPr>
          <w:p>
            <w:pPr>
              <w:spacing w:before="40" w:after="40"/>
              <w:jc w:val="left"/>
            </w:pPr>
            <w:r>
              <w:rPr>
                <w:rFonts w:ascii="Arial" w:hAnsi="Arial"/>
                <w:b w:val="0"/>
                <w:i w:val="0"/>
                <w:color w:val="000000"/>
                <w:sz w:val="18"/>
              </w:rPr>
              <w:t>Mostly describes what happens without explaining why; limited cause-effect</w:t>
            </w:r>
          </w:p>
        </w:tc>
        <w:tc>
          <w:tcPr>
            <w:tcW w:type="dxa" w:w="2700"/>
            <w:shd w:val="clear" w:color="auto" w:fill="F2F2F2"/>
          </w:tcPr>
          <w:p>
            <w:pPr>
              <w:spacing w:before="40" w:after="40"/>
              <w:jc w:val="left"/>
            </w:pPr>
            <w:r>
              <w:rPr>
                <w:rFonts w:ascii="Arial" w:hAnsi="Arial"/>
                <w:b w:val="0"/>
                <w:i w:val="0"/>
                <w:color w:val="000000"/>
                <w:sz w:val="18"/>
              </w:rPr>
              <w:t>Provides some explanations but reasoning is incomplete or unclear</w:t>
            </w:r>
          </w:p>
        </w:tc>
        <w:tc>
          <w:tcPr>
            <w:tcW w:type="dxa" w:w="2700"/>
            <w:shd w:val="clear" w:color="auto" w:fill="FFFFFF"/>
          </w:tcPr>
          <w:p>
            <w:pPr>
              <w:spacing w:before="40" w:after="40"/>
              <w:jc w:val="left"/>
            </w:pPr>
            <w:r>
              <w:rPr>
                <w:rFonts w:ascii="Arial" w:hAnsi="Arial"/>
                <w:b w:val="0"/>
                <w:i w:val="0"/>
                <w:color w:val="000000"/>
                <w:sz w:val="18"/>
              </w:rPr>
              <w:t>Clearly explains how bonding determines properties using cause-and-effect throughout</w:t>
            </w:r>
          </w:p>
        </w:tc>
        <w:tc>
          <w:tcPr>
            <w:tcW w:type="dxa" w:w="2700"/>
            <w:shd w:val="clear" w:color="auto" w:fill="F2F2F2"/>
          </w:tcPr>
          <w:p>
            <w:pPr>
              <w:spacing w:before="40" w:after="40"/>
              <w:jc w:val="left"/>
            </w:pPr>
            <w:r>
              <w:rPr>
                <w:rFonts w:ascii="Arial" w:hAnsi="Arial"/>
                <w:b w:val="0"/>
                <w:i w:val="0"/>
                <w:color w:val="000000"/>
                <w:sz w:val="18"/>
              </w:rPr>
              <w:t>Deep, sophisticated explanations with multiple lines of reasoning and original synthesis</w:t>
            </w:r>
          </w:p>
        </w:tc>
      </w:tr>
      <w:tr>
        <w:tc>
          <w:tcPr>
            <w:tcW w:type="dxa" w:w="2880"/>
            <w:shd w:val="clear" w:color="auto" w:fill="D5E8F0"/>
          </w:tcPr>
          <w:p>
            <w:pPr>
              <w:spacing w:before="40" w:after="40"/>
              <w:jc w:val="left"/>
            </w:pPr>
            <w:r>
              <w:rPr>
                <w:rFonts w:ascii="Arial" w:hAnsi="Arial"/>
                <w:b/>
                <w:i w:val="0"/>
                <w:color w:val="000000"/>
                <w:sz w:val="18"/>
              </w:rPr>
              <w:t>4. Use of Evidence &amp; Examples</w:t>
            </w:r>
          </w:p>
        </w:tc>
        <w:tc>
          <w:tcPr>
            <w:tcW w:type="dxa" w:w="2700"/>
            <w:shd w:val="clear" w:color="auto" w:fill="FFFFFF"/>
          </w:tcPr>
          <w:p>
            <w:pPr>
              <w:spacing w:before="40" w:after="40"/>
              <w:jc w:val="left"/>
            </w:pPr>
            <w:r>
              <w:rPr>
                <w:rFonts w:ascii="Arial" w:hAnsi="Arial"/>
                <w:b w:val="0"/>
                <w:i w:val="0"/>
                <w:color w:val="000000"/>
                <w:sz w:val="18"/>
              </w:rPr>
              <w:t>Few or no specific examples; claims lack support</w:t>
            </w:r>
          </w:p>
        </w:tc>
        <w:tc>
          <w:tcPr>
            <w:tcW w:type="dxa" w:w="2700"/>
            <w:shd w:val="clear" w:color="auto" w:fill="F2F2F2"/>
          </w:tcPr>
          <w:p>
            <w:pPr>
              <w:spacing w:before="40" w:after="40"/>
              <w:jc w:val="left"/>
            </w:pPr>
            <w:r>
              <w:rPr>
                <w:rFonts w:ascii="Arial" w:hAnsi="Arial"/>
                <w:b w:val="0"/>
                <w:i w:val="0"/>
                <w:color w:val="000000"/>
                <w:sz w:val="18"/>
              </w:rPr>
              <w:t>Some examples provided but not well-explained or connected to bonding theory</w:t>
            </w:r>
          </w:p>
        </w:tc>
        <w:tc>
          <w:tcPr>
            <w:tcW w:type="dxa" w:w="2700"/>
            <w:shd w:val="clear" w:color="auto" w:fill="FFFFFF"/>
          </w:tcPr>
          <w:p>
            <w:pPr>
              <w:spacing w:before="40" w:after="40"/>
              <w:jc w:val="left"/>
            </w:pPr>
            <w:r>
              <w:rPr>
                <w:rFonts w:ascii="Arial" w:hAnsi="Arial"/>
                <w:b w:val="0"/>
                <w:i w:val="0"/>
                <w:color w:val="000000"/>
                <w:sz w:val="18"/>
              </w:rPr>
              <w:t>Appropriate examples throughout; evidence clearly supports claims</w:t>
            </w:r>
          </w:p>
        </w:tc>
        <w:tc>
          <w:tcPr>
            <w:tcW w:type="dxa" w:w="2700"/>
            <w:shd w:val="clear" w:color="auto" w:fill="F2F2F2"/>
          </w:tcPr>
          <w:p>
            <w:pPr>
              <w:spacing w:before="40" w:after="40"/>
              <w:jc w:val="left"/>
            </w:pPr>
            <w:r>
              <w:rPr>
                <w:rFonts w:ascii="Arial" w:hAnsi="Arial"/>
                <w:b w:val="0"/>
                <w:i w:val="0"/>
                <w:color w:val="000000"/>
                <w:sz w:val="18"/>
              </w:rPr>
              <w:t>Rich, well-chosen examples; evidence is thoroughly analysed and connected to theory</w:t>
            </w:r>
          </w:p>
        </w:tc>
      </w:tr>
      <w:tr>
        <w:tc>
          <w:tcPr>
            <w:tcW w:type="dxa" w:w="2880"/>
            <w:shd w:val="clear" w:color="auto" w:fill="D5E8F0"/>
          </w:tcPr>
          <w:p>
            <w:pPr>
              <w:spacing w:before="40" w:after="40"/>
              <w:jc w:val="left"/>
            </w:pPr>
            <w:r>
              <w:rPr>
                <w:rFonts w:ascii="Arial" w:hAnsi="Arial"/>
                <w:b/>
                <w:i w:val="0"/>
                <w:color w:val="000000"/>
                <w:sz w:val="18"/>
              </w:rPr>
              <w:t>5. Structure-Property Connections</w:t>
            </w:r>
          </w:p>
        </w:tc>
        <w:tc>
          <w:tcPr>
            <w:tcW w:type="dxa" w:w="2700"/>
            <w:shd w:val="clear" w:color="auto" w:fill="FFFFFF"/>
          </w:tcPr>
          <w:p>
            <w:pPr>
              <w:spacing w:before="40" w:after="40"/>
              <w:jc w:val="left"/>
            </w:pPr>
            <w:r>
              <w:rPr>
                <w:rFonts w:ascii="Arial" w:hAnsi="Arial"/>
                <w:b w:val="0"/>
                <w:i w:val="0"/>
                <w:color w:val="000000"/>
                <w:sz w:val="18"/>
              </w:rPr>
              <w:t>Does not clearly connect atomic/molecular structure to macroscopic properties</w:t>
            </w:r>
          </w:p>
        </w:tc>
        <w:tc>
          <w:tcPr>
            <w:tcW w:type="dxa" w:w="2700"/>
            <w:shd w:val="clear" w:color="auto" w:fill="F2F2F2"/>
          </w:tcPr>
          <w:p>
            <w:pPr>
              <w:spacing w:before="40" w:after="40"/>
              <w:jc w:val="left"/>
            </w:pPr>
            <w:r>
              <w:rPr>
                <w:rFonts w:ascii="Arial" w:hAnsi="Arial"/>
                <w:b w:val="0"/>
                <w:i w:val="0"/>
                <w:color w:val="000000"/>
                <w:sz w:val="18"/>
              </w:rPr>
              <w:t>Makes some connections but they are superficial or incomplete</w:t>
            </w:r>
          </w:p>
        </w:tc>
        <w:tc>
          <w:tcPr>
            <w:tcW w:type="dxa" w:w="2700"/>
            <w:shd w:val="clear" w:color="auto" w:fill="FFFFFF"/>
          </w:tcPr>
          <w:p>
            <w:pPr>
              <w:spacing w:before="40" w:after="40"/>
              <w:jc w:val="left"/>
            </w:pPr>
            <w:r>
              <w:rPr>
                <w:rFonts w:ascii="Arial" w:hAnsi="Arial"/>
                <w:b w:val="0"/>
                <w:i w:val="0"/>
                <w:color w:val="000000"/>
                <w:sz w:val="18"/>
              </w:rPr>
              <w:t>Consistently and clearly connects structure to properties across all bond types</w:t>
            </w:r>
          </w:p>
        </w:tc>
        <w:tc>
          <w:tcPr>
            <w:tcW w:type="dxa" w:w="2700"/>
            <w:shd w:val="clear" w:color="auto" w:fill="F2F2F2"/>
          </w:tcPr>
          <w:p>
            <w:pPr>
              <w:spacing w:before="40" w:after="40"/>
              <w:jc w:val="left"/>
            </w:pPr>
            <w:r>
              <w:rPr>
                <w:rFonts w:ascii="Arial" w:hAnsi="Arial"/>
                <w:b w:val="0"/>
                <w:i w:val="0"/>
                <w:color w:val="000000"/>
                <w:sz w:val="18"/>
              </w:rPr>
              <w:t>Makes sophisticated connections; explains subtle differences between similar structures</w:t>
            </w:r>
          </w:p>
        </w:tc>
      </w:tr>
      <w:tr>
        <w:tc>
          <w:tcPr>
            <w:tcW w:type="dxa" w:w="2880"/>
            <w:shd w:val="clear" w:color="auto" w:fill="D5E8F0"/>
          </w:tcPr>
          <w:p>
            <w:pPr>
              <w:spacing w:before="40" w:after="40"/>
              <w:jc w:val="left"/>
            </w:pPr>
            <w:r>
              <w:rPr>
                <w:rFonts w:ascii="Arial" w:hAnsi="Arial"/>
                <w:b/>
                <w:i w:val="0"/>
                <w:color w:val="000000"/>
                <w:sz w:val="18"/>
              </w:rPr>
              <w:t>6. Scientific Vocabulary</w:t>
            </w:r>
          </w:p>
        </w:tc>
        <w:tc>
          <w:tcPr>
            <w:tcW w:type="dxa" w:w="2700"/>
            <w:shd w:val="clear" w:color="auto" w:fill="FFFFFF"/>
          </w:tcPr>
          <w:p>
            <w:pPr>
              <w:spacing w:before="40" w:after="40"/>
              <w:jc w:val="left"/>
            </w:pPr>
            <w:r>
              <w:rPr>
                <w:rFonts w:ascii="Arial" w:hAnsi="Arial"/>
                <w:b w:val="0"/>
                <w:i w:val="0"/>
                <w:color w:val="000000"/>
                <w:sz w:val="18"/>
              </w:rPr>
              <w:t>Limited use of scientific terms; frequent use of everyday language instead</w:t>
            </w:r>
          </w:p>
        </w:tc>
        <w:tc>
          <w:tcPr>
            <w:tcW w:type="dxa" w:w="2700"/>
            <w:shd w:val="clear" w:color="auto" w:fill="F2F2F2"/>
          </w:tcPr>
          <w:p>
            <w:pPr>
              <w:spacing w:before="40" w:after="40"/>
              <w:jc w:val="left"/>
            </w:pPr>
            <w:r>
              <w:rPr>
                <w:rFonts w:ascii="Arial" w:hAnsi="Arial"/>
                <w:b w:val="0"/>
                <w:i w:val="0"/>
                <w:color w:val="000000"/>
                <w:sz w:val="18"/>
              </w:rPr>
              <w:t>Uses some scientific vocabulary but inconsistently or occasionally incorrectly</w:t>
            </w:r>
          </w:p>
        </w:tc>
        <w:tc>
          <w:tcPr>
            <w:tcW w:type="dxa" w:w="2700"/>
            <w:shd w:val="clear" w:color="auto" w:fill="FFFFFF"/>
          </w:tcPr>
          <w:p>
            <w:pPr>
              <w:spacing w:before="40" w:after="40"/>
              <w:jc w:val="left"/>
            </w:pPr>
            <w:r>
              <w:rPr>
                <w:rFonts w:ascii="Arial" w:hAnsi="Arial"/>
                <w:b w:val="0"/>
                <w:i w:val="0"/>
                <w:color w:val="000000"/>
                <w:sz w:val="18"/>
              </w:rPr>
              <w:t>Uses scientific vocabulary accurately and appropriately throughout</w:t>
            </w:r>
          </w:p>
        </w:tc>
        <w:tc>
          <w:tcPr>
            <w:tcW w:type="dxa" w:w="2700"/>
            <w:shd w:val="clear" w:color="auto" w:fill="F2F2F2"/>
          </w:tcPr>
          <w:p>
            <w:pPr>
              <w:spacing w:before="40" w:after="40"/>
              <w:jc w:val="left"/>
            </w:pPr>
            <w:r>
              <w:rPr>
                <w:rFonts w:ascii="Arial" w:hAnsi="Arial"/>
                <w:b w:val="0"/>
                <w:i w:val="0"/>
                <w:color w:val="000000"/>
                <w:sz w:val="18"/>
              </w:rPr>
              <w:t>Uses sophisticated scientific vocabulary precisely; demonstrates mastery of terminology</w:t>
            </w:r>
          </w:p>
        </w:tc>
      </w:tr>
      <w:tr>
        <w:tc>
          <w:tcPr>
            <w:tcW w:type="dxa" w:w="2880"/>
            <w:shd w:val="clear" w:color="auto" w:fill="D5E8F0"/>
          </w:tcPr>
          <w:p>
            <w:pPr>
              <w:spacing w:before="40" w:after="40"/>
              <w:jc w:val="left"/>
            </w:pPr>
            <w:r>
              <w:rPr>
                <w:rFonts w:ascii="Arial" w:hAnsi="Arial"/>
                <w:b/>
                <w:i w:val="0"/>
                <w:color w:val="000000"/>
                <w:sz w:val="18"/>
              </w:rPr>
              <w:t>7. Visual Representations</w:t>
            </w:r>
          </w:p>
        </w:tc>
        <w:tc>
          <w:tcPr>
            <w:tcW w:type="dxa" w:w="2700"/>
            <w:shd w:val="clear" w:color="auto" w:fill="FFFFFF"/>
          </w:tcPr>
          <w:p>
            <w:pPr>
              <w:spacing w:before="40" w:after="40"/>
              <w:jc w:val="left"/>
            </w:pPr>
            <w:r>
              <w:rPr>
                <w:rFonts w:ascii="Arial" w:hAnsi="Arial"/>
                <w:b w:val="0"/>
                <w:i w:val="0"/>
                <w:color w:val="000000"/>
                <w:sz w:val="18"/>
              </w:rPr>
              <w:t>Missing diagrams or diagrams are inaccurate/unlabeled</w:t>
            </w:r>
          </w:p>
        </w:tc>
        <w:tc>
          <w:tcPr>
            <w:tcW w:type="dxa" w:w="2700"/>
            <w:shd w:val="clear" w:color="auto" w:fill="F2F2F2"/>
          </w:tcPr>
          <w:p>
            <w:pPr>
              <w:spacing w:before="40" w:after="40"/>
              <w:jc w:val="left"/>
            </w:pPr>
            <w:r>
              <w:rPr>
                <w:rFonts w:ascii="Arial" w:hAnsi="Arial"/>
                <w:b w:val="0"/>
                <w:i w:val="0"/>
                <w:color w:val="000000"/>
                <w:sz w:val="18"/>
              </w:rPr>
              <w:t>Some diagrams included but may lack labels, clarity, or accuracy</w:t>
            </w:r>
          </w:p>
        </w:tc>
        <w:tc>
          <w:tcPr>
            <w:tcW w:type="dxa" w:w="2700"/>
            <w:shd w:val="clear" w:color="auto" w:fill="FFFFFF"/>
          </w:tcPr>
          <w:p>
            <w:pPr>
              <w:spacing w:before="40" w:after="40"/>
              <w:jc w:val="left"/>
            </w:pPr>
            <w:r>
              <w:rPr>
                <w:rFonts w:ascii="Arial" w:hAnsi="Arial"/>
                <w:b w:val="0"/>
                <w:i w:val="0"/>
                <w:color w:val="000000"/>
                <w:sz w:val="18"/>
              </w:rPr>
              <w:t>Appropriate diagrams included (Lewis structures, structural models); clearly labeled</w:t>
            </w:r>
          </w:p>
        </w:tc>
        <w:tc>
          <w:tcPr>
            <w:tcW w:type="dxa" w:w="2700"/>
            <w:shd w:val="clear" w:color="auto" w:fill="F2F2F2"/>
          </w:tcPr>
          <w:p>
            <w:pPr>
              <w:spacing w:before="40" w:after="40"/>
              <w:jc w:val="left"/>
            </w:pPr>
            <w:r>
              <w:rPr>
                <w:rFonts w:ascii="Arial" w:hAnsi="Arial"/>
                <w:b w:val="0"/>
                <w:i w:val="0"/>
                <w:color w:val="000000"/>
                <w:sz w:val="18"/>
              </w:rPr>
              <w:t>Excellent diagrams that enhance understanding; creative and scientifically sophisticated</w:t>
            </w:r>
          </w:p>
        </w:tc>
      </w:tr>
      <w:tr>
        <w:tc>
          <w:tcPr>
            <w:tcW w:type="dxa" w:w="2880"/>
            <w:shd w:val="clear" w:color="auto" w:fill="D5E8F0"/>
          </w:tcPr>
          <w:p>
            <w:pPr>
              <w:spacing w:before="40" w:after="40"/>
              <w:jc w:val="left"/>
            </w:pPr>
            <w:r>
              <w:rPr>
                <w:rFonts w:ascii="Arial" w:hAnsi="Arial"/>
                <w:b/>
                <w:i w:val="0"/>
                <w:color w:val="000000"/>
                <w:sz w:val="18"/>
              </w:rPr>
              <w:t>8. Communication &amp; Organisation</w:t>
            </w:r>
          </w:p>
        </w:tc>
        <w:tc>
          <w:tcPr>
            <w:tcW w:type="dxa" w:w="2700"/>
            <w:shd w:val="clear" w:color="auto" w:fill="FFFFFF"/>
          </w:tcPr>
          <w:p>
            <w:pPr>
              <w:spacing w:before="40" w:after="40"/>
              <w:jc w:val="left"/>
            </w:pPr>
            <w:r>
              <w:rPr>
                <w:rFonts w:ascii="Arial" w:hAnsi="Arial"/>
                <w:b w:val="0"/>
                <w:i w:val="0"/>
                <w:color w:val="000000"/>
                <w:sz w:val="18"/>
              </w:rPr>
              <w:t>Difficult to follow; lacks clear organisation; many writing errors</w:t>
            </w:r>
          </w:p>
        </w:tc>
        <w:tc>
          <w:tcPr>
            <w:tcW w:type="dxa" w:w="2700"/>
            <w:shd w:val="clear" w:color="auto" w:fill="F2F2F2"/>
          </w:tcPr>
          <w:p>
            <w:pPr>
              <w:spacing w:before="40" w:after="40"/>
              <w:jc w:val="left"/>
            </w:pPr>
            <w:r>
              <w:rPr>
                <w:rFonts w:ascii="Arial" w:hAnsi="Arial"/>
                <w:b w:val="0"/>
                <w:i w:val="0"/>
                <w:color w:val="000000"/>
                <w:sz w:val="18"/>
              </w:rPr>
              <w:t>Somewhat organised; writing is understandable but may be unclear in places</w:t>
            </w:r>
          </w:p>
        </w:tc>
        <w:tc>
          <w:tcPr>
            <w:tcW w:type="dxa" w:w="2700"/>
            <w:shd w:val="clear" w:color="auto" w:fill="FFFFFF"/>
          </w:tcPr>
          <w:p>
            <w:pPr>
              <w:spacing w:before="40" w:after="40"/>
              <w:jc w:val="left"/>
            </w:pPr>
            <w:r>
              <w:rPr>
                <w:rFonts w:ascii="Arial" w:hAnsi="Arial"/>
                <w:b w:val="0"/>
                <w:i w:val="0"/>
                <w:color w:val="000000"/>
                <w:sz w:val="18"/>
              </w:rPr>
              <w:t>Well-organised and clear; easy to follow; few writing errors</w:t>
            </w:r>
          </w:p>
        </w:tc>
        <w:tc>
          <w:tcPr>
            <w:tcW w:type="dxa" w:w="2700"/>
            <w:shd w:val="clear" w:color="auto" w:fill="F2F2F2"/>
          </w:tcPr>
          <w:p>
            <w:pPr>
              <w:spacing w:before="40" w:after="40"/>
              <w:jc w:val="left"/>
            </w:pPr>
            <w:r>
              <w:rPr>
                <w:rFonts w:ascii="Arial" w:hAnsi="Arial"/>
                <w:b w:val="0"/>
                <w:i w:val="0"/>
                <w:color w:val="000000"/>
                <w:sz w:val="18"/>
              </w:rPr>
              <w:t>Exceptionally clear and engaging; sophisticated organisation; polished, error-free writing</w:t>
            </w:r>
          </w:p>
        </w:tc>
      </w:tr>
    </w:tbl>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