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different surface areas. This is why the frustum tank in Kisumu uses less metal sheet than the cylinder-hemisphere tank despite holding the same 5,000 litres of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16.29 m² (R = 1.0 m, r = 0.8 m, l = 1.97 m), costing approximately Ksh 13,850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which is about 0.64 m² (4%) larger than the frustum tank's 16.29 m² computed in Lesson 3 — even though both tanks are advertised as holding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two tanks' numbers must still be set side by side (Lesson 9) before a full comparison — and a complete answer to the driving question — can be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4% smaller; it is shorter and wider while the cylinder-hemisphere tank is tall and narrow), even though both tanks hold about the same volume of water (about 5,030 and 5,010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(13.15 m², 13.69 m² and 15.39 m² with the base not counted).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(R = 1.0 m, r = 0.8 m, h = 1.96 m) uses about 4% less metal sheet than the composite cylinder-hemisphere tank (16.29 m² against 16.93 m² with both bases counted) for about the same 5,000 litres, because it is shorter and wider: the cylinder-hemisphere tank is tall and narrow (a 2.8 m cylinder of radius 0.7 m), so it needs more wall for the same volume. The slant height l = √[h² + (R−r)²] links the frustum's dimensions to the area of its sloping side. Volume and surface area are determined by different aspects of a solid's shape and dimensions; they do not change proportionally together. Engineers exploit this geometric independence to design cost-efficient, high-capacity storage structures.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r3vfr55-aaktsb7kzef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6bftsu5pbeagkuhpccq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l3lagg-qfq4qu7yoi5c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3vfr55-aaktsb7kzeft" Type="http://schemas.openxmlformats.org/officeDocument/2006/relationships/hyperlink" Target="https://creativecommons.org/licenses/by-nc/4.0/" TargetMode="External"/><Relationship Id="rIdf6bftsu5pbeagkuhpccqr" Type="http://schemas.openxmlformats.org/officeDocument/2006/relationships/hyperlink" Target="https://creativecommons.org/licenses/by-nc/4.0/" TargetMode="External"/><Relationship Id="rIdyl3lagg-qfq4qu7yoi5c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2026-10-15T12:58:05.499Z</dcterms:created>
  <dcterms:modified xsi:type="dcterms:W3CDTF">2026-10-15T12:58:05.499Z</dcterms:modified>
</cp:coreProperties>
</file>

<file path=docProps/custom.xml><?xml version="1.0" encoding="utf-8"?>
<Properties xmlns="http://schemas.openxmlformats.org/officeDocument/2006/custom-properties" xmlns:vt="http://schemas.openxmlformats.org/officeDocument/2006/docPropsVTypes"/>
</file>